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82" w:rsidRPr="00D6564C" w:rsidRDefault="00AF0282" w:rsidP="00AF0282">
      <w:pPr>
        <w:tabs>
          <w:tab w:val="right" w:pos="10260"/>
        </w:tabs>
        <w:spacing w:after="200" w:line="276" w:lineRule="auto"/>
        <w:jc w:val="center"/>
        <w:rPr>
          <w:rFonts w:asciiTheme="majorHAnsi" w:eastAsiaTheme="minorHAnsi" w:hAnsiTheme="majorHAnsi" w:cstheme="minorBidi"/>
          <w:sz w:val="52"/>
          <w:szCs w:val="52"/>
        </w:rPr>
      </w:pPr>
      <w:r w:rsidRPr="00D6564C">
        <w:rPr>
          <w:rFonts w:asciiTheme="majorHAnsi" w:eastAsiaTheme="minorHAnsi" w:hAnsiTheme="majorHAnsi" w:cstheme="minorBidi"/>
          <w:sz w:val="52"/>
          <w:szCs w:val="52"/>
        </w:rPr>
        <w:t>ATTACHMENT A</w:t>
      </w:r>
    </w:p>
    <w:p w:rsidR="00AF0282" w:rsidRPr="00D6564C" w:rsidRDefault="00AF0282" w:rsidP="00AF0282">
      <w:pPr>
        <w:tabs>
          <w:tab w:val="right" w:pos="10260"/>
        </w:tabs>
        <w:spacing w:after="200" w:line="276" w:lineRule="auto"/>
        <w:jc w:val="center"/>
        <w:rPr>
          <w:rFonts w:asciiTheme="majorHAnsi" w:eastAsiaTheme="minorHAnsi" w:hAnsiTheme="majorHAnsi" w:cstheme="minorBidi"/>
          <w:sz w:val="28"/>
          <w:szCs w:val="28"/>
        </w:rPr>
      </w:pPr>
    </w:p>
    <w:p w:rsidR="00AF0282" w:rsidRPr="00D6564C" w:rsidRDefault="00AF0282" w:rsidP="00AF0282">
      <w:pPr>
        <w:pBdr>
          <w:bottom w:val="single" w:sz="8" w:space="4" w:color="4F81BD" w:themeColor="accent1"/>
        </w:pBdr>
        <w:spacing w:after="300"/>
        <w:contextualSpacing/>
        <w:jc w:val="center"/>
        <w:rPr>
          <w:rFonts w:asciiTheme="majorHAnsi" w:eastAsiaTheme="majorEastAsia" w:hAnsiTheme="majorHAnsi" w:cstheme="majorBidi"/>
          <w:color w:val="17365D" w:themeColor="text2" w:themeShade="BF"/>
          <w:spacing w:val="5"/>
          <w:kern w:val="28"/>
          <w:sz w:val="52"/>
          <w:szCs w:val="52"/>
        </w:rPr>
      </w:pPr>
      <w:r w:rsidRPr="00D6564C">
        <w:rPr>
          <w:rFonts w:asciiTheme="majorHAnsi" w:eastAsiaTheme="majorEastAsia" w:hAnsiTheme="majorHAnsi" w:cstheme="majorBidi"/>
          <w:color w:val="17365D" w:themeColor="text2" w:themeShade="BF"/>
          <w:spacing w:val="5"/>
          <w:kern w:val="28"/>
          <w:sz w:val="52"/>
          <w:szCs w:val="52"/>
        </w:rPr>
        <w:t>Standard LSE Plan</w:t>
      </w:r>
    </w:p>
    <w:p w:rsidR="00AF0282" w:rsidRPr="00D6564C" w:rsidRDefault="00AF0282" w:rsidP="00AF0282">
      <w:pPr>
        <w:tabs>
          <w:tab w:val="left" w:pos="8232"/>
        </w:tabs>
        <w:spacing w:after="200" w:line="276" w:lineRule="auto"/>
        <w:rPr>
          <w:rFonts w:asciiTheme="minorHAnsi" w:eastAsiaTheme="minorHAnsi" w:hAnsiTheme="minorHAnsi" w:cstheme="minorBidi"/>
          <w:sz w:val="22"/>
          <w:szCs w:val="22"/>
        </w:rPr>
      </w:pPr>
      <w:r w:rsidRPr="00D6564C">
        <w:rPr>
          <w:rFonts w:asciiTheme="minorHAnsi" w:eastAsiaTheme="minorHAnsi" w:hAnsiTheme="minorHAnsi" w:cstheme="minorBidi"/>
          <w:sz w:val="22"/>
          <w:szCs w:val="22"/>
        </w:rPr>
        <w:tab/>
      </w:r>
    </w:p>
    <w:p w:rsidR="00AF0282" w:rsidRPr="00D6564C" w:rsidRDefault="00AF0282" w:rsidP="00AF0282">
      <w:pPr>
        <w:spacing w:after="200" w:line="276" w:lineRule="auto"/>
        <w:jc w:val="center"/>
        <w:rPr>
          <w:rFonts w:asciiTheme="minorHAnsi" w:eastAsiaTheme="minorHAnsi" w:hAnsiTheme="minorHAnsi" w:cstheme="minorBidi"/>
          <w:sz w:val="24"/>
          <w:szCs w:val="24"/>
        </w:rPr>
      </w:pPr>
    </w:p>
    <w:p w:rsidR="00AF0282" w:rsidRPr="00D6564C" w:rsidRDefault="00AD46A7" w:rsidP="00AF0282">
      <w:pPr>
        <w:spacing w:after="200" w:line="276" w:lineRule="auto"/>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w:t>
      </w:r>
      <w:r w:rsidR="00AF0282" w:rsidRPr="00D6564C">
        <w:rPr>
          <w:rFonts w:asciiTheme="minorHAnsi" w:eastAsiaTheme="minorHAnsi" w:hAnsiTheme="minorHAnsi" w:cstheme="minorBidi"/>
          <w:sz w:val="24"/>
          <w:szCs w:val="24"/>
        </w:rPr>
        <w:t>NAME OF FILING ENTITY</w:t>
      </w:r>
      <w:r>
        <w:rPr>
          <w:rFonts w:asciiTheme="minorHAnsi" w:eastAsiaTheme="minorHAnsi" w:hAnsiTheme="minorHAnsi" w:cstheme="minorBidi"/>
          <w:sz w:val="24"/>
          <w:szCs w:val="24"/>
        </w:rPr>
        <w:t>]</w:t>
      </w:r>
    </w:p>
    <w:p w:rsidR="00AF0282" w:rsidRPr="00D6564C" w:rsidRDefault="00AF0282" w:rsidP="00AF0282">
      <w:pPr>
        <w:spacing w:after="200" w:line="276" w:lineRule="auto"/>
        <w:jc w:val="center"/>
        <w:rPr>
          <w:rFonts w:asciiTheme="minorHAnsi" w:eastAsiaTheme="minorHAnsi" w:hAnsiTheme="minorHAnsi" w:cstheme="minorBidi"/>
          <w:sz w:val="24"/>
          <w:szCs w:val="24"/>
        </w:rPr>
      </w:pPr>
      <w:r w:rsidRPr="00D6564C">
        <w:rPr>
          <w:rFonts w:asciiTheme="minorHAnsi" w:eastAsiaTheme="minorHAnsi" w:hAnsiTheme="minorHAnsi" w:cstheme="minorBidi"/>
          <w:sz w:val="24"/>
          <w:szCs w:val="24"/>
        </w:rPr>
        <w:t>2018 INTEGRATED RESOURCE PLAN</w:t>
      </w:r>
    </w:p>
    <w:p w:rsidR="00AF0282" w:rsidRPr="00D6564C" w:rsidRDefault="00AD46A7" w:rsidP="00AF0282">
      <w:pPr>
        <w:spacing w:after="200" w:line="276" w:lineRule="auto"/>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[DATE]</w:t>
      </w:r>
    </w:p>
    <w:p w:rsidR="00AF0282" w:rsidRPr="00D6564C" w:rsidRDefault="00AF0282" w:rsidP="00AF0282">
      <w:pPr>
        <w:spacing w:after="200" w:line="276" w:lineRule="auto"/>
        <w:rPr>
          <w:rFonts w:asciiTheme="minorHAnsi" w:eastAsiaTheme="minorHAnsi" w:hAnsiTheme="minorHAnsi" w:cstheme="minorBidi"/>
          <w:sz w:val="22"/>
          <w:szCs w:val="22"/>
        </w:rPr>
      </w:pPr>
    </w:p>
    <w:p w:rsidR="00AF0282" w:rsidRPr="00D6564C" w:rsidRDefault="00AF0282" w:rsidP="00AF0282">
      <w:pPr>
        <w:keepNext/>
        <w:keepLines/>
        <w:numPr>
          <w:ilvl w:val="0"/>
          <w:numId w:val="1"/>
        </w:numPr>
        <w:spacing w:before="480" w:after="240" w:line="276" w:lineRule="auto"/>
        <w:ind w:left="360"/>
        <w:outlineLvl w:val="0"/>
        <w:rPr>
          <w:rFonts w:asciiTheme="majorHAnsi" w:eastAsiaTheme="majorEastAsia" w:hAnsiTheme="majorHAnsi" w:cstheme="majorBidi"/>
          <w:b/>
          <w:bCs/>
          <w:sz w:val="28"/>
          <w:szCs w:val="28"/>
        </w:rPr>
      </w:pPr>
      <w:r w:rsidRPr="00D6564C">
        <w:rPr>
          <w:rFonts w:asciiTheme="majorHAnsi" w:eastAsiaTheme="majorEastAsia" w:hAnsiTheme="majorHAnsi" w:cstheme="majorBidi"/>
          <w:b/>
          <w:bCs/>
          <w:sz w:val="28"/>
          <w:szCs w:val="28"/>
        </w:rPr>
        <w:br w:type="page"/>
      </w:r>
      <w:bookmarkStart w:id="0" w:name="_GoBack"/>
      <w:bookmarkEnd w:id="0"/>
    </w:p>
    <w:bookmarkStart w:id="1" w:name="_Toc501375917" w:displacedByCustomXml="next"/>
    <w:bookmarkStart w:id="2" w:name="_Toc500430335" w:displacedByCustomXml="next"/>
    <w:sdt>
      <w:sdtPr>
        <w:rPr>
          <w:rFonts w:asciiTheme="minorHAnsi" w:eastAsiaTheme="minorHAnsi" w:hAnsiTheme="minorHAnsi" w:cstheme="minorBidi"/>
          <w:sz w:val="22"/>
          <w:szCs w:val="22"/>
        </w:rPr>
        <w:id w:val="340439288"/>
        <w:docPartObj>
          <w:docPartGallery w:val="Table of Contents"/>
          <w:docPartUnique/>
        </w:docPartObj>
      </w:sdtPr>
      <w:sdtEndPr>
        <w:rPr>
          <w:noProof/>
        </w:rPr>
      </w:sdtEndPr>
      <w:sdtContent>
        <w:p w:rsidR="00AF0282" w:rsidRPr="00D6564C" w:rsidRDefault="00AF0282" w:rsidP="00AF0282">
          <w:pPr>
            <w:keepNext/>
            <w:keepLines/>
            <w:spacing w:before="480" w:after="240" w:line="276" w:lineRule="auto"/>
            <w:outlineLvl w:val="0"/>
            <w:rPr>
              <w:rFonts w:asciiTheme="majorHAnsi" w:eastAsiaTheme="majorEastAsia" w:hAnsiTheme="majorHAnsi" w:cstheme="majorBidi"/>
              <w:b/>
              <w:bCs/>
              <w:noProof/>
              <w:sz w:val="28"/>
              <w:szCs w:val="28"/>
            </w:rPr>
          </w:pPr>
          <w:r w:rsidRPr="00D6564C">
            <w:rPr>
              <w:rFonts w:asciiTheme="majorHAnsi" w:eastAsiaTheme="majorEastAsia" w:hAnsiTheme="majorHAnsi" w:cstheme="majorBidi"/>
              <w:b/>
              <w:bCs/>
              <w:sz w:val="28"/>
              <w:szCs w:val="28"/>
            </w:rPr>
            <w:t>Table of Contents</w:t>
          </w:r>
          <w:bookmarkEnd w:id="2"/>
          <w:bookmarkEnd w:id="1"/>
          <w:r w:rsidRPr="00D6564C">
            <w:rPr>
              <w:rFonts w:asciiTheme="majorHAnsi" w:eastAsiaTheme="majorEastAsia" w:hAnsiTheme="majorHAnsi" w:cstheme="majorBidi"/>
              <w:sz w:val="28"/>
              <w:szCs w:val="28"/>
            </w:rPr>
            <w:fldChar w:fldCharType="begin"/>
          </w:r>
          <w:r w:rsidRPr="00D6564C">
            <w:rPr>
              <w:rFonts w:asciiTheme="majorHAnsi" w:eastAsiaTheme="majorEastAsia" w:hAnsiTheme="majorHAnsi" w:cstheme="majorBidi"/>
              <w:b/>
              <w:bCs/>
              <w:sz w:val="28"/>
              <w:szCs w:val="28"/>
            </w:rPr>
            <w:instrText xml:space="preserve"> TOC \o "1-3" \h \z \u </w:instrText>
          </w:r>
          <w:r w:rsidRPr="00D6564C">
            <w:rPr>
              <w:rFonts w:asciiTheme="majorHAnsi" w:eastAsiaTheme="majorEastAsia" w:hAnsiTheme="majorHAnsi" w:cstheme="majorBidi"/>
              <w:sz w:val="28"/>
              <w:szCs w:val="28"/>
            </w:rPr>
            <w:fldChar w:fldCharType="separate"/>
          </w:r>
        </w:p>
        <w:p w:rsidR="00AF0282" w:rsidRPr="00D6564C" w:rsidRDefault="001F4769" w:rsidP="00AF0282">
          <w:pPr>
            <w:tabs>
              <w:tab w:val="right" w:leader="dot" w:pos="9350"/>
            </w:tabs>
            <w:spacing w:after="100" w:line="276" w:lineRule="auto"/>
            <w:rPr>
              <w:rFonts w:asciiTheme="minorHAnsi" w:eastAsiaTheme="minorEastAsia" w:hAnsiTheme="minorHAnsi" w:cstheme="minorBidi"/>
              <w:noProof/>
              <w:sz w:val="22"/>
              <w:szCs w:val="22"/>
            </w:rPr>
          </w:pPr>
          <w:hyperlink w:anchor="_Toc501375917" w:history="1">
            <w:r w:rsidR="00AF0282" w:rsidRPr="00D6564C">
              <w:rPr>
                <w:rFonts w:asciiTheme="minorHAnsi" w:eastAsiaTheme="minorHAnsi" w:hAnsiTheme="minorHAnsi" w:cstheme="minorBidi"/>
                <w:noProof/>
                <w:color w:val="0000FF" w:themeColor="hyperlink"/>
                <w:sz w:val="22"/>
                <w:szCs w:val="22"/>
                <w:u w:val="single"/>
              </w:rPr>
              <w:t>Table of Contents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_Toc501375917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2</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1F4769" w:rsidP="00AF0282">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18" w:history="1">
            <w:r w:rsidR="00AF0282" w:rsidRPr="00D6564C">
              <w:rPr>
                <w:rFonts w:asciiTheme="minorHAnsi" w:eastAsiaTheme="minorHAnsi" w:hAnsiTheme="minorHAnsi" w:cstheme="minorBidi"/>
                <w:noProof/>
                <w:color w:val="0000FF" w:themeColor="hyperlink"/>
                <w:sz w:val="22"/>
                <w:szCs w:val="22"/>
                <w:u w:val="single"/>
              </w:rPr>
              <w:t>1.</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Executive Summary</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_Toc501375918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3</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1F4769" w:rsidP="00AF0282">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19" w:history="1">
            <w:r w:rsidR="00AF0282" w:rsidRPr="00D6564C">
              <w:rPr>
                <w:rFonts w:asciiTheme="minorHAnsi" w:eastAsiaTheme="minorHAnsi" w:hAnsiTheme="minorHAnsi" w:cstheme="minorBidi"/>
                <w:noProof/>
                <w:color w:val="0000FF" w:themeColor="hyperlink"/>
                <w:sz w:val="22"/>
                <w:szCs w:val="22"/>
                <w:u w:val="single"/>
              </w:rPr>
              <w:t>2.</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Study Design</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_Toc501375919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3</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1F4769" w:rsidP="00AF028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20" w:history="1">
            <w:r w:rsidR="00AF0282" w:rsidRPr="00D6564C">
              <w:rPr>
                <w:rFonts w:asciiTheme="minorHAnsi" w:eastAsiaTheme="minorHAnsi" w:hAnsiTheme="minorHAnsi" w:cstheme="minorBidi"/>
                <w:noProof/>
                <w:color w:val="0000FF" w:themeColor="hyperlink"/>
                <w:sz w:val="22"/>
                <w:szCs w:val="22"/>
                <w:u w:val="single"/>
              </w:rPr>
              <w:t>2.1.</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Objectives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_Toc501375920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5</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1F4769" w:rsidP="00AF028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21" w:history="1">
            <w:r w:rsidR="00AF0282" w:rsidRPr="00D6564C">
              <w:rPr>
                <w:rFonts w:asciiTheme="minorHAnsi" w:eastAsiaTheme="minorHAnsi" w:hAnsiTheme="minorHAnsi" w:cstheme="minorBidi"/>
                <w:noProof/>
                <w:color w:val="0000FF" w:themeColor="hyperlink"/>
                <w:sz w:val="22"/>
                <w:szCs w:val="22"/>
                <w:u w:val="single"/>
              </w:rPr>
              <w:t>2.2.</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Methodology</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_Toc501375921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6</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1F4769" w:rsidP="00AF0282">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2" w:history="1">
            <w:r w:rsidR="00AF0282" w:rsidRPr="00D6564C">
              <w:rPr>
                <w:rFonts w:asciiTheme="minorHAnsi" w:eastAsiaTheme="minorHAnsi" w:hAnsiTheme="minorHAnsi" w:cstheme="minorBidi"/>
                <w:noProof/>
                <w:color w:val="0000FF" w:themeColor="hyperlink"/>
                <w:sz w:val="22"/>
                <w:szCs w:val="22"/>
                <w:u w:val="single"/>
              </w:rPr>
              <w:t>2.2.1.</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Modeling Tool(s)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_Toc501375922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6</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3" w:history="1">
            <w:r w:rsidR="00AF0282" w:rsidRPr="00D6564C">
              <w:rPr>
                <w:rFonts w:asciiTheme="minorHAnsi" w:eastAsiaTheme="minorHAnsi" w:hAnsiTheme="minorHAnsi" w:cstheme="minorBidi"/>
                <w:noProof/>
                <w:color w:val="0000FF" w:themeColor="hyperlink"/>
                <w:sz w:val="22"/>
                <w:szCs w:val="22"/>
                <w:u w:val="single"/>
              </w:rPr>
              <w:t>2.2.2.</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Modeling Approach</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_Toc501375923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6</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4" w:history="1">
            <w:r w:rsidR="00AF0282" w:rsidRPr="00D6564C">
              <w:rPr>
                <w:rFonts w:asciiTheme="minorHAnsi" w:eastAsiaTheme="minorHAnsi" w:hAnsiTheme="minorHAnsi" w:cstheme="minorBidi"/>
                <w:noProof/>
                <w:color w:val="0000FF" w:themeColor="hyperlink"/>
                <w:sz w:val="22"/>
                <w:szCs w:val="22"/>
                <w:u w:val="single"/>
              </w:rPr>
              <w:t>2.2.3.</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Assumptions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_Toc501375924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6</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1F4769" w:rsidP="00AF0282">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25" w:history="1">
            <w:r w:rsidR="00AF0282" w:rsidRPr="00D6564C">
              <w:rPr>
                <w:rFonts w:asciiTheme="minorHAnsi" w:eastAsiaTheme="minorHAnsi" w:hAnsiTheme="minorHAnsi" w:cstheme="minorBidi"/>
                <w:noProof/>
                <w:color w:val="0000FF" w:themeColor="hyperlink"/>
                <w:sz w:val="22"/>
                <w:szCs w:val="22"/>
                <w:u w:val="single"/>
              </w:rPr>
              <w:t>3.</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Study Results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_Toc501375925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6</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1F4769" w:rsidP="00AF028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26" w:history="1">
            <w:r w:rsidR="00AF0282" w:rsidRPr="00D6564C">
              <w:rPr>
                <w:rFonts w:asciiTheme="minorHAnsi" w:eastAsiaTheme="minorHAnsi" w:hAnsiTheme="minorHAnsi" w:cstheme="minorBidi"/>
                <w:noProof/>
                <w:color w:val="0000FF" w:themeColor="hyperlink"/>
                <w:sz w:val="22"/>
                <w:szCs w:val="22"/>
                <w:u w:val="single"/>
              </w:rPr>
              <w:t>3.1.</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Portfolio Results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_Toc501375926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6</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27" w:history="1">
            <w:r w:rsidR="00AF0282" w:rsidRPr="00D6564C">
              <w:rPr>
                <w:rFonts w:asciiTheme="minorHAnsi" w:eastAsiaTheme="minorHAnsi" w:hAnsiTheme="minorHAnsi" w:cstheme="minorBidi"/>
                <w:noProof/>
                <w:color w:val="0000FF" w:themeColor="hyperlink"/>
                <w:sz w:val="22"/>
                <w:szCs w:val="22"/>
                <w:u w:val="single"/>
              </w:rPr>
              <w:t>3.2.</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Preferred Portfolio</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_Toc501375927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7</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8" w:history="1">
            <w:r w:rsidR="00AF0282" w:rsidRPr="00D6564C">
              <w:rPr>
                <w:rFonts w:asciiTheme="minorHAnsi" w:eastAsiaTheme="minorHAnsi" w:hAnsiTheme="minorHAnsi" w:cstheme="minorBidi"/>
                <w:noProof/>
                <w:color w:val="0000FF" w:themeColor="hyperlink"/>
                <w:sz w:val="22"/>
                <w:szCs w:val="22"/>
                <w:u w:val="single"/>
              </w:rPr>
              <w:t>3.2.1.</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Local Air Pollutant Minimization</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_Toc501375928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7</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1710"/>
              <w:tab w:val="right" w:leader="dot" w:pos="9350"/>
            </w:tabs>
            <w:spacing w:after="100" w:line="276" w:lineRule="auto"/>
            <w:ind w:left="440" w:firstLine="550"/>
            <w:rPr>
              <w:rFonts w:asciiTheme="minorHAnsi" w:eastAsiaTheme="minorEastAsia" w:hAnsiTheme="minorHAnsi" w:cstheme="minorBidi"/>
              <w:noProof/>
              <w:sz w:val="22"/>
              <w:szCs w:val="22"/>
            </w:rPr>
          </w:pPr>
          <w:hyperlink w:anchor="_Toc501375929" w:history="1">
            <w:r w:rsidR="00AF0282" w:rsidRPr="00D6564C">
              <w:rPr>
                <w:rFonts w:asciiTheme="minorHAnsi" w:eastAsiaTheme="minorHAnsi" w:hAnsiTheme="minorHAnsi" w:cstheme="minorBidi"/>
                <w:noProof/>
                <w:color w:val="0000FF" w:themeColor="hyperlink"/>
                <w:sz w:val="22"/>
                <w:szCs w:val="22"/>
                <w:u w:val="single"/>
              </w:rPr>
              <w:t>3.2.2.</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Cost and Rate Analysis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_Toc501375929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8</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0" w:history="1">
            <w:r w:rsidR="00AF0282" w:rsidRPr="00D6564C">
              <w:rPr>
                <w:rFonts w:asciiTheme="minorHAnsi" w:eastAsiaTheme="minorHAnsi" w:hAnsiTheme="minorHAnsi" w:cstheme="minorBidi"/>
                <w:noProof/>
                <w:color w:val="0000FF" w:themeColor="hyperlink"/>
                <w:sz w:val="22"/>
                <w:szCs w:val="22"/>
                <w:u w:val="single"/>
              </w:rPr>
              <w:t>3.3.</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Deviations from Current Resource Plans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_Toc501375930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9</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1" w:history="1">
            <w:r w:rsidR="00AF0282" w:rsidRPr="00D6564C">
              <w:rPr>
                <w:rFonts w:asciiTheme="minorHAnsi" w:eastAsiaTheme="minorHAnsi" w:hAnsiTheme="minorHAnsi" w:cstheme="minorBidi"/>
                <w:noProof/>
                <w:color w:val="0000FF" w:themeColor="hyperlink"/>
                <w:sz w:val="22"/>
                <w:szCs w:val="22"/>
                <w:u w:val="single"/>
              </w:rPr>
              <w:t>3.4.</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Local Needs Analysis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_Toc501375931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10</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32" w:history="1">
            <w:r w:rsidR="00AF0282" w:rsidRPr="00D6564C">
              <w:rPr>
                <w:rFonts w:asciiTheme="minorHAnsi" w:eastAsiaTheme="minorHAnsi" w:hAnsiTheme="minorHAnsi" w:cstheme="minorBidi"/>
                <w:noProof/>
                <w:color w:val="0000FF" w:themeColor="hyperlink"/>
                <w:sz w:val="22"/>
                <w:szCs w:val="22"/>
                <w:u w:val="single"/>
              </w:rPr>
              <w:t>4.</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Action Plan</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_Toc501375932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10</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3" w:history="1">
            <w:r w:rsidR="00AF0282" w:rsidRPr="00D6564C">
              <w:rPr>
                <w:rFonts w:asciiTheme="minorHAnsi" w:eastAsiaTheme="minorHAnsi" w:hAnsiTheme="minorHAnsi" w:cstheme="minorBidi"/>
                <w:noProof/>
                <w:color w:val="0000FF" w:themeColor="hyperlink"/>
                <w:sz w:val="22"/>
                <w:szCs w:val="22"/>
                <w:u w:val="single"/>
              </w:rPr>
              <w:t>4.1.</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Proposed Activities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_Toc501375933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10</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4" w:history="1">
            <w:r w:rsidR="00AF0282" w:rsidRPr="00D6564C">
              <w:rPr>
                <w:rFonts w:asciiTheme="minorHAnsi" w:eastAsiaTheme="minorHAnsi" w:hAnsiTheme="minorHAnsi" w:cstheme="minorBidi"/>
                <w:noProof/>
                <w:color w:val="0000FF" w:themeColor="hyperlink"/>
                <w:sz w:val="22"/>
                <w:szCs w:val="22"/>
                <w:u w:val="single"/>
              </w:rPr>
              <w:t>4.2.</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Barrier Analysis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_Toc501375934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11</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5" w:history="1">
            <w:r w:rsidR="00AF0282" w:rsidRPr="00D6564C">
              <w:rPr>
                <w:rFonts w:asciiTheme="minorHAnsi" w:eastAsiaTheme="minorHAnsi" w:hAnsiTheme="minorHAnsi" w:cstheme="minorBidi"/>
                <w:noProof/>
                <w:color w:val="0000FF" w:themeColor="hyperlink"/>
                <w:sz w:val="22"/>
                <w:szCs w:val="22"/>
                <w:u w:val="single"/>
              </w:rPr>
              <w:t>4.3.</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Proposed Commission Direction</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_Toc501375935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11</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36" w:history="1">
            <w:r w:rsidR="00AF0282" w:rsidRPr="00D6564C">
              <w:rPr>
                <w:rFonts w:asciiTheme="minorHAnsi" w:eastAsiaTheme="minorHAnsi" w:hAnsiTheme="minorHAnsi" w:cstheme="minorBidi"/>
                <w:noProof/>
                <w:color w:val="0000FF" w:themeColor="hyperlink"/>
                <w:sz w:val="22"/>
                <w:szCs w:val="22"/>
                <w:u w:val="single"/>
              </w:rPr>
              <w:t>5.</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Data</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_Toc501375936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11</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7" w:history="1">
            <w:r w:rsidR="00AF0282" w:rsidRPr="00D6564C">
              <w:rPr>
                <w:rFonts w:asciiTheme="minorHAnsi" w:eastAsiaTheme="minorHAnsi" w:hAnsiTheme="minorHAnsi" w:cstheme="minorBidi"/>
                <w:noProof/>
                <w:color w:val="0000FF" w:themeColor="hyperlink"/>
                <w:sz w:val="22"/>
                <w:szCs w:val="22"/>
                <w:u w:val="single"/>
              </w:rPr>
              <w:t>5.1.</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Baseline Resource Data Template</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_Toc501375937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11</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8" w:history="1">
            <w:r w:rsidR="00AF0282" w:rsidRPr="00D6564C">
              <w:rPr>
                <w:rFonts w:asciiTheme="minorHAnsi" w:eastAsiaTheme="minorHAnsi" w:hAnsiTheme="minorHAnsi" w:cstheme="minorBidi"/>
                <w:noProof/>
                <w:color w:val="0000FF" w:themeColor="hyperlink"/>
                <w:sz w:val="22"/>
                <w:szCs w:val="22"/>
                <w:u w:val="single"/>
              </w:rPr>
              <w:t>5.2.</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New Resource Data Template</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_Toc501375938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12</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990"/>
              <w:tab w:val="right" w:leader="dot" w:pos="9350"/>
            </w:tabs>
            <w:spacing w:after="100" w:line="276" w:lineRule="auto"/>
            <w:ind w:left="220" w:firstLine="230"/>
            <w:rPr>
              <w:rFonts w:asciiTheme="minorHAnsi" w:eastAsiaTheme="minorEastAsia" w:hAnsiTheme="minorHAnsi" w:cstheme="minorBidi"/>
              <w:noProof/>
              <w:sz w:val="22"/>
              <w:szCs w:val="22"/>
            </w:rPr>
          </w:pPr>
          <w:hyperlink w:anchor="_Toc501375939" w:history="1">
            <w:r w:rsidR="00AF0282" w:rsidRPr="00D6564C">
              <w:rPr>
                <w:rFonts w:asciiTheme="minorHAnsi" w:eastAsiaTheme="minorHAnsi" w:hAnsiTheme="minorHAnsi" w:cstheme="minorBidi"/>
                <w:noProof/>
                <w:color w:val="0000FF" w:themeColor="hyperlink"/>
                <w:sz w:val="22"/>
                <w:szCs w:val="22"/>
                <w:u w:val="single"/>
              </w:rPr>
              <w:t>5.3.</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Other Data Reporting Guidelines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_Toc501375939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13</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left" w:pos="440"/>
              <w:tab w:val="right" w:leader="dot" w:pos="9350"/>
            </w:tabs>
            <w:spacing w:after="100" w:line="276" w:lineRule="auto"/>
            <w:rPr>
              <w:rFonts w:asciiTheme="minorHAnsi" w:eastAsiaTheme="minorEastAsia" w:hAnsiTheme="minorHAnsi" w:cstheme="minorBidi"/>
              <w:noProof/>
              <w:sz w:val="22"/>
              <w:szCs w:val="22"/>
            </w:rPr>
          </w:pPr>
          <w:hyperlink w:anchor="_Toc501375940" w:history="1">
            <w:r w:rsidR="00AF0282" w:rsidRPr="00D6564C">
              <w:rPr>
                <w:rFonts w:asciiTheme="minorHAnsi" w:eastAsiaTheme="minorHAnsi" w:hAnsiTheme="minorHAnsi" w:cstheme="minorBidi"/>
                <w:noProof/>
                <w:color w:val="0000FF" w:themeColor="hyperlink"/>
                <w:sz w:val="22"/>
                <w:szCs w:val="22"/>
                <w:u w:val="single"/>
              </w:rPr>
              <w:t>6.</w:t>
            </w:r>
            <w:r w:rsidR="00AF0282" w:rsidRPr="00D6564C">
              <w:rPr>
                <w:rFonts w:asciiTheme="minorHAnsi" w:eastAsiaTheme="minorEastAsia" w:hAnsiTheme="minorHAnsi" w:cstheme="minorBidi"/>
                <w:noProof/>
                <w:sz w:val="22"/>
                <w:szCs w:val="22"/>
              </w:rPr>
              <w:tab/>
            </w:r>
            <w:r w:rsidR="00AF0282" w:rsidRPr="00D6564C">
              <w:rPr>
                <w:rFonts w:asciiTheme="minorHAnsi" w:eastAsiaTheme="minorHAnsi" w:hAnsiTheme="minorHAnsi" w:cstheme="minorBidi"/>
                <w:noProof/>
                <w:color w:val="0000FF" w:themeColor="hyperlink"/>
                <w:sz w:val="22"/>
                <w:szCs w:val="22"/>
                <w:u w:val="single"/>
              </w:rPr>
              <w:t>Lessons Learned</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_Toc501375940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14</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E2641A" w:rsidP="00AF0282">
          <w:pPr>
            <w:tabs>
              <w:tab w:val="right" w:leader="dot" w:pos="9350"/>
            </w:tabs>
            <w:spacing w:after="100" w:line="276" w:lineRule="auto"/>
            <w:rPr>
              <w:rFonts w:asciiTheme="minorHAnsi" w:eastAsiaTheme="minorEastAsia" w:hAnsiTheme="minorHAnsi" w:cstheme="minorBidi"/>
              <w:noProof/>
              <w:sz w:val="22"/>
              <w:szCs w:val="22"/>
            </w:rPr>
          </w:pPr>
          <w:hyperlink w:anchor="_Toc501375941" w:history="1">
            <w:r w:rsidR="00AF0282" w:rsidRPr="00D6564C">
              <w:rPr>
                <w:rFonts w:asciiTheme="minorHAnsi" w:eastAsiaTheme="minorHAnsi" w:hAnsiTheme="minorHAnsi" w:cstheme="minorBidi"/>
                <w:i/>
                <w:noProof/>
                <w:color w:val="0000FF" w:themeColor="hyperlink"/>
                <w:sz w:val="22"/>
                <w:szCs w:val="22"/>
                <w:u w:val="single"/>
              </w:rPr>
              <w:t>Glossary of Terms</w:t>
            </w:r>
            <w:r w:rsidR="00AF0282" w:rsidRPr="00D6564C">
              <w:rPr>
                <w:rFonts w:asciiTheme="minorHAnsi" w:eastAsiaTheme="minorHAnsi" w:hAnsiTheme="minorHAnsi" w:cstheme="minorBidi"/>
                <w:noProof/>
                <w:webHidden/>
                <w:sz w:val="22"/>
                <w:szCs w:val="22"/>
              </w:rPr>
              <w:tab/>
            </w:r>
            <w:r w:rsidR="00AF0282" w:rsidRPr="00D6564C">
              <w:rPr>
                <w:rFonts w:asciiTheme="minorHAnsi" w:eastAsiaTheme="minorHAnsi" w:hAnsiTheme="minorHAnsi" w:cstheme="minorBidi"/>
                <w:noProof/>
                <w:webHidden/>
                <w:sz w:val="22"/>
                <w:szCs w:val="22"/>
              </w:rPr>
              <w:fldChar w:fldCharType="begin"/>
            </w:r>
            <w:r w:rsidR="00AF0282" w:rsidRPr="00D6564C">
              <w:rPr>
                <w:rFonts w:asciiTheme="minorHAnsi" w:eastAsiaTheme="minorHAnsi" w:hAnsiTheme="minorHAnsi" w:cstheme="minorBidi"/>
                <w:noProof/>
                <w:webHidden/>
                <w:sz w:val="22"/>
                <w:szCs w:val="22"/>
              </w:rPr>
              <w:instrText xml:space="preserve"> PAGEREF _Toc501375941 \h </w:instrText>
            </w:r>
            <w:r w:rsidR="00AF0282" w:rsidRPr="00D6564C">
              <w:rPr>
                <w:rFonts w:asciiTheme="minorHAnsi" w:eastAsiaTheme="minorHAnsi" w:hAnsiTheme="minorHAnsi" w:cstheme="minorBidi"/>
                <w:noProof/>
                <w:webHidden/>
                <w:sz w:val="22"/>
                <w:szCs w:val="22"/>
              </w:rPr>
            </w:r>
            <w:r w:rsidR="00AF0282" w:rsidRPr="00D6564C">
              <w:rPr>
                <w:rFonts w:asciiTheme="minorHAnsi" w:eastAsiaTheme="minorHAnsi" w:hAnsiTheme="minorHAnsi" w:cstheme="minorBidi"/>
                <w:noProof/>
                <w:webHidden/>
                <w:sz w:val="22"/>
                <w:szCs w:val="22"/>
              </w:rPr>
              <w:fldChar w:fldCharType="separate"/>
            </w:r>
            <w:r w:rsidR="00916BEF">
              <w:rPr>
                <w:rFonts w:asciiTheme="minorHAnsi" w:eastAsiaTheme="minorHAnsi" w:hAnsiTheme="minorHAnsi" w:cstheme="minorBidi"/>
                <w:noProof/>
                <w:webHidden/>
                <w:sz w:val="22"/>
                <w:szCs w:val="22"/>
              </w:rPr>
              <w:t>15</w:t>
            </w:r>
            <w:r w:rsidR="00AF0282" w:rsidRPr="00D6564C">
              <w:rPr>
                <w:rFonts w:asciiTheme="minorHAnsi" w:eastAsiaTheme="minorHAnsi" w:hAnsiTheme="minorHAnsi" w:cstheme="minorBidi"/>
                <w:noProof/>
                <w:webHidden/>
                <w:sz w:val="22"/>
                <w:szCs w:val="22"/>
              </w:rPr>
              <w:fldChar w:fldCharType="end"/>
            </w:r>
          </w:hyperlink>
        </w:p>
        <w:p w:rsidR="00AF0282" w:rsidRPr="00D6564C" w:rsidRDefault="00AF0282" w:rsidP="00AF0282">
          <w:pPr>
            <w:spacing w:after="200" w:line="276" w:lineRule="auto"/>
            <w:rPr>
              <w:rFonts w:asciiTheme="minorHAnsi" w:eastAsiaTheme="minorHAnsi" w:hAnsiTheme="minorHAnsi" w:cstheme="minorBidi"/>
              <w:sz w:val="22"/>
              <w:szCs w:val="22"/>
            </w:rPr>
          </w:pPr>
          <w:r w:rsidRPr="00D6564C">
            <w:rPr>
              <w:rFonts w:asciiTheme="minorHAnsi" w:eastAsiaTheme="minorHAnsi" w:hAnsiTheme="minorHAnsi" w:cstheme="minorBidi"/>
              <w:b/>
              <w:bCs/>
              <w:noProof/>
              <w:sz w:val="22"/>
              <w:szCs w:val="22"/>
            </w:rPr>
            <w:fldChar w:fldCharType="end"/>
          </w:r>
        </w:p>
      </w:sdtContent>
    </w:sdt>
    <w:p w:rsidR="00AF0282" w:rsidRPr="00D6564C" w:rsidRDefault="00AF0282" w:rsidP="00AF0282">
      <w:pPr>
        <w:spacing w:after="200" w:line="276" w:lineRule="auto"/>
        <w:rPr>
          <w:rFonts w:asciiTheme="minorHAnsi" w:eastAsiaTheme="minorHAnsi" w:hAnsiTheme="minorHAnsi" w:cstheme="minorBidi"/>
          <w:sz w:val="22"/>
          <w:szCs w:val="22"/>
        </w:rPr>
      </w:pPr>
      <w:r w:rsidRPr="00D6564C">
        <w:rPr>
          <w:rFonts w:asciiTheme="minorHAnsi" w:eastAsiaTheme="minorHAnsi" w:hAnsiTheme="minorHAnsi" w:cstheme="minorBidi"/>
          <w:sz w:val="22"/>
          <w:szCs w:val="22"/>
        </w:rPr>
        <w:br w:type="page"/>
      </w:r>
    </w:p>
    <w:p w:rsidR="00AF0282" w:rsidRPr="00D6564C" w:rsidRDefault="00AF0282" w:rsidP="00AF0282">
      <w:pPr>
        <w:spacing w:after="200" w:line="276" w:lineRule="auto"/>
        <w:rPr>
          <w:rFonts w:asciiTheme="minorHAnsi" w:eastAsiaTheme="minorHAnsi" w:hAnsiTheme="minorHAnsi" w:cstheme="minorBidi"/>
          <w:b/>
          <w:i/>
          <w:sz w:val="22"/>
          <w:szCs w:val="22"/>
          <w:u w:val="single"/>
        </w:rPr>
      </w:pPr>
      <w:r w:rsidRPr="00D6564C">
        <w:rPr>
          <w:rFonts w:asciiTheme="minorHAnsi" w:eastAsiaTheme="minorHAnsi" w:hAnsiTheme="minorHAnsi" w:cstheme="minorBidi"/>
          <w:b/>
          <w:i/>
          <w:sz w:val="22"/>
          <w:szCs w:val="22"/>
          <w:u w:val="single"/>
        </w:rPr>
        <w:lastRenderedPageBreak/>
        <w:t>How to use this template:</w:t>
      </w:r>
    </w:p>
    <w:p w:rsidR="00AF0282" w:rsidRPr="00D6564C" w:rsidRDefault="00AF0282" w:rsidP="00AF0282">
      <w:pPr>
        <w:numPr>
          <w:ilvl w:val="0"/>
          <w:numId w:val="7"/>
        </w:numPr>
        <w:spacing w:after="20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Instructions are provided in italics under each section. Delete all instructions before submitting the form, but preserve the numbered section headings.</w:t>
      </w:r>
    </w:p>
    <w:p w:rsidR="00AF0282" w:rsidRPr="00D6564C" w:rsidRDefault="00AF0282" w:rsidP="00AF0282">
      <w:pPr>
        <w:numPr>
          <w:ilvl w:val="0"/>
          <w:numId w:val="7"/>
        </w:numPr>
        <w:spacing w:after="20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Complete each section. If the section is not applicable to the LSE, simply indicate “Not applicable” and provide a brief explanation.</w:t>
      </w:r>
    </w:p>
    <w:p w:rsidR="00AF0282" w:rsidRPr="00D6564C" w:rsidRDefault="00AF0282" w:rsidP="00AF0282">
      <w:pPr>
        <w:numPr>
          <w:ilvl w:val="0"/>
          <w:numId w:val="7"/>
        </w:numPr>
        <w:spacing w:after="200" w:line="276" w:lineRule="auto"/>
        <w:contextualSpacing/>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Definitions are provided in the Glossary of Terms at the end of this template.</w:t>
      </w:r>
    </w:p>
    <w:p w:rsidR="00AF0282" w:rsidRPr="00D6564C" w:rsidRDefault="00AF0282" w:rsidP="00AF0282">
      <w:pPr>
        <w:keepNext/>
        <w:keepLines/>
        <w:numPr>
          <w:ilvl w:val="0"/>
          <w:numId w:val="2"/>
        </w:numPr>
        <w:spacing w:before="480" w:after="240" w:line="276" w:lineRule="auto"/>
        <w:outlineLvl w:val="0"/>
        <w:rPr>
          <w:rFonts w:asciiTheme="majorHAnsi" w:eastAsiaTheme="majorEastAsia" w:hAnsiTheme="majorHAnsi" w:cstheme="majorBidi"/>
          <w:b/>
          <w:bCs/>
          <w:sz w:val="28"/>
          <w:szCs w:val="28"/>
        </w:rPr>
      </w:pPr>
      <w:bookmarkStart w:id="3" w:name="_Toc501375918"/>
      <w:r w:rsidRPr="00D6564C">
        <w:rPr>
          <w:rFonts w:asciiTheme="majorHAnsi" w:eastAsiaTheme="majorEastAsia" w:hAnsiTheme="majorHAnsi" w:cstheme="majorBidi"/>
          <w:b/>
          <w:bCs/>
          <w:sz w:val="28"/>
          <w:szCs w:val="28"/>
        </w:rPr>
        <w:t>Executive Summary</w:t>
      </w:r>
      <w:bookmarkEnd w:id="3"/>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this section to provide an overview of the process used by the LSE to develop its plan and summarize the LSE’s findings, including a brief overview of the LSE’s Preferred Portfolio and Action Plan.</w:t>
      </w:r>
    </w:p>
    <w:p w:rsidR="00AF0282" w:rsidRPr="00D6564C" w:rsidRDefault="00AF0282" w:rsidP="00AF0282">
      <w:pPr>
        <w:keepNext/>
        <w:keepLines/>
        <w:numPr>
          <w:ilvl w:val="0"/>
          <w:numId w:val="1"/>
        </w:numPr>
        <w:spacing w:before="480" w:after="240" w:line="276" w:lineRule="auto"/>
        <w:ind w:left="360"/>
        <w:outlineLvl w:val="0"/>
        <w:rPr>
          <w:rFonts w:asciiTheme="majorHAnsi" w:eastAsiaTheme="majorEastAsia" w:hAnsiTheme="majorHAnsi" w:cstheme="majorBidi"/>
          <w:b/>
          <w:bCs/>
          <w:sz w:val="28"/>
          <w:szCs w:val="28"/>
        </w:rPr>
      </w:pPr>
      <w:bookmarkStart w:id="4" w:name="_Toc501375919"/>
      <w:r w:rsidRPr="00D6564C">
        <w:rPr>
          <w:rFonts w:asciiTheme="majorHAnsi" w:eastAsiaTheme="majorEastAsia" w:hAnsiTheme="majorHAnsi" w:cstheme="majorBidi"/>
          <w:b/>
          <w:bCs/>
          <w:sz w:val="28"/>
          <w:szCs w:val="28"/>
        </w:rPr>
        <w:t>Study Design</w:t>
      </w:r>
      <w:bookmarkEnd w:id="4"/>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this section to describe how the LSE approached the process of developing its LSE Plan.</w:t>
      </w:r>
    </w:p>
    <w:p w:rsidR="00AF0282" w:rsidRPr="00D6564C" w:rsidRDefault="00AF0282" w:rsidP="00AF0282">
      <w:pPr>
        <w:spacing w:after="200" w:line="276" w:lineRule="auto"/>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Load Assignments for Each LSE</w:t>
      </w:r>
    </w:p>
    <w:p w:rsidR="00853F2F"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For projecting load across the IRP Planning Horizon (i.e., until 2030, for the purposes of IRP 2017-18), LSEs shall use the </w:t>
      </w:r>
      <w:r>
        <w:rPr>
          <w:rFonts w:asciiTheme="minorHAnsi" w:eastAsiaTheme="minorHAnsi" w:hAnsiTheme="minorHAnsi" w:cstheme="minorBidi"/>
          <w:i/>
          <w:sz w:val="22"/>
          <w:szCs w:val="22"/>
        </w:rPr>
        <w:t xml:space="preserve">“mid Baseline </w:t>
      </w:r>
      <w:r w:rsidRPr="00D6564C">
        <w:rPr>
          <w:rFonts w:asciiTheme="minorHAnsi" w:eastAsiaTheme="minorHAnsi" w:hAnsiTheme="minorHAnsi" w:cstheme="minorBidi"/>
          <w:i/>
          <w:sz w:val="22"/>
          <w:szCs w:val="22"/>
        </w:rPr>
        <w:t xml:space="preserve">mid AAEE </w:t>
      </w:r>
      <w:r>
        <w:rPr>
          <w:rFonts w:asciiTheme="minorHAnsi" w:eastAsiaTheme="minorHAnsi" w:hAnsiTheme="minorHAnsi" w:cstheme="minorBidi"/>
          <w:i/>
          <w:sz w:val="22"/>
          <w:szCs w:val="22"/>
        </w:rPr>
        <w:t xml:space="preserve">mid AAPV” </w:t>
      </w:r>
      <w:r w:rsidRPr="00D6564C">
        <w:rPr>
          <w:rFonts w:asciiTheme="minorHAnsi" w:eastAsiaTheme="minorHAnsi" w:hAnsiTheme="minorHAnsi" w:cstheme="minorBidi"/>
          <w:i/>
          <w:sz w:val="22"/>
          <w:szCs w:val="22"/>
        </w:rPr>
        <w:t xml:space="preserve">version of Form 1.1c of the </w:t>
      </w:r>
      <w:r>
        <w:rPr>
          <w:rFonts w:asciiTheme="minorHAnsi" w:eastAsiaTheme="minorHAnsi" w:hAnsiTheme="minorHAnsi" w:cstheme="minorBidi"/>
          <w:i/>
          <w:sz w:val="22"/>
          <w:szCs w:val="22"/>
        </w:rPr>
        <w:t xml:space="preserve">CEC’s adopted </w:t>
      </w:r>
      <w:r w:rsidRPr="00D6564C">
        <w:rPr>
          <w:rFonts w:asciiTheme="minorHAnsi" w:eastAsiaTheme="minorHAnsi" w:hAnsiTheme="minorHAnsi" w:cstheme="minorBidi"/>
          <w:i/>
          <w:sz w:val="22"/>
          <w:szCs w:val="22"/>
        </w:rPr>
        <w:t xml:space="preserve">2017 IEPR </w:t>
      </w:r>
      <w:r>
        <w:rPr>
          <w:rFonts w:asciiTheme="minorHAnsi" w:eastAsiaTheme="minorHAnsi" w:hAnsiTheme="minorHAnsi" w:cstheme="minorBidi"/>
          <w:i/>
          <w:sz w:val="22"/>
          <w:szCs w:val="22"/>
        </w:rPr>
        <w:t>forecast</w:t>
      </w:r>
      <w:r w:rsidR="00701A9B">
        <w:rPr>
          <w:rFonts w:asciiTheme="minorHAnsi" w:eastAsiaTheme="minorHAnsi" w:hAnsiTheme="minorHAnsi" w:cstheme="minorBidi"/>
          <w:i/>
          <w:sz w:val="22"/>
          <w:szCs w:val="22"/>
        </w:rPr>
        <w:t xml:space="preserve">, </w:t>
      </w:r>
      <w:r w:rsidR="00701A9B" w:rsidRPr="00701A9B">
        <w:rPr>
          <w:rFonts w:asciiTheme="minorHAnsi" w:eastAsiaTheme="minorHAnsi" w:hAnsiTheme="minorHAnsi" w:cstheme="minorBidi"/>
          <w:i/>
          <w:sz w:val="22"/>
          <w:szCs w:val="22"/>
        </w:rPr>
        <w:t>unless a new load projection is assigned to the LSE in an</w:t>
      </w:r>
      <w:r w:rsidR="00701A9B">
        <w:rPr>
          <w:rFonts w:asciiTheme="minorHAnsi" w:eastAsiaTheme="minorHAnsi" w:hAnsiTheme="minorHAnsi" w:cstheme="minorBidi"/>
          <w:i/>
          <w:sz w:val="22"/>
          <w:szCs w:val="22"/>
        </w:rPr>
        <w:t xml:space="preserve"> Administrative Law Judge</w:t>
      </w:r>
      <w:r w:rsidR="007C0098">
        <w:rPr>
          <w:rFonts w:asciiTheme="minorHAnsi" w:eastAsiaTheme="minorHAnsi" w:hAnsiTheme="minorHAnsi" w:cstheme="minorBidi"/>
          <w:i/>
          <w:sz w:val="22"/>
          <w:szCs w:val="22"/>
        </w:rPr>
        <w:t xml:space="preserve"> (ALJ)</w:t>
      </w:r>
      <w:r w:rsidR="00701A9B">
        <w:rPr>
          <w:rFonts w:asciiTheme="minorHAnsi" w:eastAsiaTheme="minorHAnsi" w:hAnsiTheme="minorHAnsi" w:cstheme="minorBidi"/>
          <w:i/>
          <w:sz w:val="22"/>
          <w:szCs w:val="22"/>
        </w:rPr>
        <w:t xml:space="preserve"> ruling</w:t>
      </w:r>
      <w:r w:rsidRPr="00D6564C">
        <w:rPr>
          <w:rFonts w:asciiTheme="minorHAnsi" w:eastAsiaTheme="minorHAnsi" w:hAnsiTheme="minorHAnsi" w:cstheme="minorBidi"/>
          <w:i/>
          <w:sz w:val="22"/>
          <w:szCs w:val="22"/>
        </w:rPr>
        <w:t xml:space="preserve">. </w:t>
      </w:r>
    </w:p>
    <w:p w:rsidR="00AF0282" w:rsidRPr="00D6564C" w:rsidRDefault="00AF0282" w:rsidP="00AF0282">
      <w:pPr>
        <w:spacing w:after="200" w:line="276" w:lineRule="auto"/>
        <w:rPr>
          <w:rFonts w:ascii="Calibri" w:eastAsiaTheme="minorHAnsi" w:hAnsi="Calibri" w:cstheme="minorBidi"/>
          <w:i/>
          <w:sz w:val="22"/>
          <w:szCs w:val="22"/>
        </w:rPr>
      </w:pPr>
      <w:r w:rsidRPr="00D6564C">
        <w:rPr>
          <w:rFonts w:asciiTheme="minorHAnsi" w:eastAsiaTheme="minorHAnsi" w:hAnsiTheme="minorHAnsi" w:cstheme="minorBidi"/>
          <w:i/>
          <w:sz w:val="22"/>
          <w:szCs w:val="22"/>
        </w:rPr>
        <w:t xml:space="preserve">An </w:t>
      </w:r>
      <w:r w:rsidRPr="00D6564C">
        <w:rPr>
          <w:rFonts w:ascii="Calibri" w:eastAsiaTheme="minorHAnsi" w:hAnsi="Calibri" w:cstheme="minorBidi"/>
          <w:i/>
          <w:sz w:val="22"/>
          <w:szCs w:val="22"/>
        </w:rPr>
        <w:t xml:space="preserve">ESP may re-purpose its load forecast previously filed with the Commission, provided the load forecast is consistent with the </w:t>
      </w:r>
      <w:r w:rsidRPr="00D6564C">
        <w:rPr>
          <w:rFonts w:asciiTheme="minorHAnsi" w:eastAsiaTheme="minorHAnsi" w:hAnsiTheme="minorHAnsi" w:cstheme="minorBidi"/>
          <w:i/>
          <w:sz w:val="22"/>
          <w:szCs w:val="22"/>
        </w:rPr>
        <w:t xml:space="preserve">one submitted by the ESP to the CEC in its 2017 IEPR Confidential Form 7.1 (Loads and Resources under Contract). </w:t>
      </w:r>
      <w:r w:rsidR="00853F2F">
        <w:rPr>
          <w:rFonts w:asciiTheme="minorHAnsi" w:eastAsiaTheme="minorHAnsi" w:hAnsiTheme="minorHAnsi" w:cstheme="minorBidi"/>
          <w:i/>
          <w:sz w:val="22"/>
          <w:szCs w:val="22"/>
        </w:rPr>
        <w:t>Sm</w:t>
      </w:r>
      <w:r w:rsidR="00853F2F" w:rsidRPr="00853F2F">
        <w:rPr>
          <w:rFonts w:asciiTheme="minorHAnsi" w:eastAsiaTheme="minorHAnsi" w:hAnsiTheme="minorHAnsi" w:cstheme="minorBidi"/>
          <w:i/>
          <w:sz w:val="22"/>
          <w:szCs w:val="22"/>
        </w:rPr>
        <w:t>all</w:t>
      </w:r>
      <w:r w:rsidR="00853F2F">
        <w:rPr>
          <w:rFonts w:asciiTheme="minorHAnsi" w:eastAsiaTheme="minorHAnsi" w:hAnsiTheme="minorHAnsi" w:cstheme="minorBidi"/>
          <w:i/>
          <w:sz w:val="22"/>
          <w:szCs w:val="22"/>
        </w:rPr>
        <w:t xml:space="preserve">er ESPs—specifically, those ESPs </w:t>
      </w:r>
      <w:r w:rsidR="00853F2F" w:rsidRPr="00853F2F">
        <w:rPr>
          <w:rFonts w:asciiTheme="minorHAnsi" w:eastAsiaTheme="minorHAnsi" w:hAnsiTheme="minorHAnsi" w:cstheme="minorBidi"/>
          <w:i/>
          <w:sz w:val="22"/>
          <w:szCs w:val="22"/>
        </w:rPr>
        <w:t xml:space="preserve">with annual peak loads under 200 MW </w:t>
      </w:r>
      <w:r w:rsidR="00853F2F">
        <w:rPr>
          <w:rFonts w:asciiTheme="minorHAnsi" w:eastAsiaTheme="minorHAnsi" w:hAnsiTheme="minorHAnsi" w:cstheme="minorBidi"/>
          <w:i/>
          <w:sz w:val="22"/>
          <w:szCs w:val="22"/>
        </w:rPr>
        <w:t xml:space="preserve">and which </w:t>
      </w:r>
      <w:r w:rsidR="00853F2F" w:rsidRPr="00853F2F">
        <w:rPr>
          <w:rFonts w:asciiTheme="minorHAnsi" w:eastAsiaTheme="minorHAnsi" w:hAnsiTheme="minorHAnsi" w:cstheme="minorBidi"/>
          <w:i/>
          <w:sz w:val="22"/>
          <w:szCs w:val="22"/>
        </w:rPr>
        <w:t xml:space="preserve">are not required to file </w:t>
      </w:r>
      <w:r w:rsidR="00853F2F" w:rsidRPr="00D6564C">
        <w:rPr>
          <w:rFonts w:asciiTheme="minorHAnsi" w:eastAsiaTheme="minorHAnsi" w:hAnsiTheme="minorHAnsi" w:cstheme="minorBidi"/>
          <w:i/>
          <w:sz w:val="22"/>
          <w:szCs w:val="22"/>
        </w:rPr>
        <w:t>IEPR Confidential Form 7.1</w:t>
      </w:r>
      <w:r w:rsidR="00853F2F">
        <w:rPr>
          <w:rFonts w:asciiTheme="minorHAnsi" w:eastAsiaTheme="minorHAnsi" w:hAnsiTheme="minorHAnsi" w:cstheme="minorBidi"/>
          <w:i/>
          <w:sz w:val="22"/>
          <w:szCs w:val="22"/>
        </w:rPr>
        <w:t>—should</w:t>
      </w:r>
      <w:r w:rsidR="00853F2F" w:rsidRPr="00853F2F">
        <w:rPr>
          <w:rFonts w:asciiTheme="minorHAnsi" w:eastAsiaTheme="minorHAnsi" w:hAnsiTheme="minorHAnsi" w:cstheme="minorBidi"/>
          <w:i/>
          <w:sz w:val="22"/>
          <w:szCs w:val="22"/>
        </w:rPr>
        <w:t xml:space="preserve"> utilize their most recent load forecast submission for resource adequacy purposes and extend that annual energy requirement (in GWh) out to 2030. </w:t>
      </w:r>
      <w:r w:rsidRPr="00D6564C">
        <w:rPr>
          <w:rFonts w:asciiTheme="minorHAnsi" w:eastAsiaTheme="minorHAnsi" w:hAnsiTheme="minorHAnsi" w:cstheme="minorBidi"/>
          <w:i/>
          <w:sz w:val="22"/>
          <w:szCs w:val="22"/>
        </w:rPr>
        <w:t xml:space="preserve">ESP load forecasts </w:t>
      </w:r>
      <w:r w:rsidRPr="00D6564C">
        <w:rPr>
          <w:rFonts w:ascii="Calibri" w:eastAsiaTheme="minorHAnsi" w:hAnsi="Calibri" w:cstheme="minorBidi"/>
          <w:i/>
          <w:sz w:val="22"/>
          <w:szCs w:val="22"/>
        </w:rPr>
        <w:t>should be filed under seal, and the Commission staff will aggregate the ESP submittals to protect confidentiality.</w:t>
      </w:r>
    </w:p>
    <w:p w:rsidR="00AF0282" w:rsidRPr="00D6564C" w:rsidRDefault="00AF0282" w:rsidP="00AF0282">
      <w:pPr>
        <w:spacing w:after="200" w:line="276" w:lineRule="auto"/>
        <w:rPr>
          <w:rFonts w:asciiTheme="minorHAnsi" w:eastAsiaTheme="minorHAnsi" w:hAnsiTheme="minorHAnsi" w:cstheme="minorBidi"/>
          <w:b/>
          <w:i/>
          <w:sz w:val="22"/>
          <w:szCs w:val="22"/>
          <w:u w:val="single"/>
        </w:rPr>
      </w:pPr>
      <w:r w:rsidRPr="00D6564C">
        <w:rPr>
          <w:rFonts w:asciiTheme="minorHAnsi" w:eastAsiaTheme="minorHAnsi" w:hAnsiTheme="minorHAnsi" w:cstheme="minorBidi"/>
          <w:b/>
          <w:i/>
          <w:sz w:val="22"/>
          <w:szCs w:val="22"/>
          <w:u w:val="single"/>
        </w:rPr>
        <w:t>Required and Optional Portfolios</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Each LSE must produce at least one portfolio, deemed the “Conforming Portfolio,” that uses the assigned load forecast and is demonstrated to be consistent with the Reference System Portfolio according to the following criteria:</w:t>
      </w:r>
    </w:p>
    <w:p w:rsidR="00AF0282" w:rsidRPr="00D6564C" w:rsidRDefault="00AF0282" w:rsidP="00916BEF">
      <w:pPr>
        <w:numPr>
          <w:ilvl w:val="0"/>
          <w:numId w:val="3"/>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Use of either the GHG Planning Prices in Table </w:t>
      </w:r>
      <w:proofErr w:type="gramStart"/>
      <w:r w:rsidRPr="00D6564C">
        <w:rPr>
          <w:rFonts w:asciiTheme="minorHAnsi" w:eastAsiaTheme="minorHAnsi" w:hAnsiTheme="minorHAnsi" w:cstheme="minorBidi"/>
          <w:i/>
          <w:sz w:val="22"/>
          <w:szCs w:val="22"/>
        </w:rPr>
        <w:t>A</w:t>
      </w:r>
      <w:proofErr w:type="gramEnd"/>
      <w:r w:rsidRPr="00D6564C">
        <w:rPr>
          <w:rFonts w:asciiTheme="minorHAnsi" w:eastAsiaTheme="minorHAnsi" w:hAnsiTheme="minorHAnsi" w:cstheme="minorBidi"/>
          <w:i/>
          <w:sz w:val="22"/>
          <w:szCs w:val="22"/>
        </w:rPr>
        <w:t xml:space="preserve"> or the LSE-Specific 2030 GHG Emissions Benchmark </w:t>
      </w:r>
      <w:r w:rsidR="00F737E9">
        <w:rPr>
          <w:rFonts w:ascii="Calibri" w:eastAsia="Calibri" w:hAnsi="Calibri" w:cs="Calibri"/>
          <w:i/>
          <w:sz w:val="22"/>
          <w:szCs w:val="22"/>
        </w:rPr>
        <w:t xml:space="preserve">assigned to the LSE in an </w:t>
      </w:r>
      <w:r w:rsidR="007C0098">
        <w:rPr>
          <w:rFonts w:ascii="Calibri" w:eastAsia="Calibri" w:hAnsi="Calibri" w:cs="Calibri"/>
          <w:i/>
          <w:sz w:val="22"/>
          <w:szCs w:val="22"/>
        </w:rPr>
        <w:t>ALJ</w:t>
      </w:r>
      <w:r w:rsidR="00F737E9">
        <w:rPr>
          <w:rFonts w:ascii="Calibri" w:eastAsia="Calibri" w:hAnsi="Calibri" w:cs="Calibri"/>
          <w:i/>
          <w:sz w:val="22"/>
          <w:szCs w:val="22"/>
        </w:rPr>
        <w:t xml:space="preserve"> ruling. </w:t>
      </w:r>
    </w:p>
    <w:p w:rsidR="00AF0282" w:rsidRPr="00D6564C" w:rsidRDefault="00F737E9" w:rsidP="00916BEF">
      <w:pPr>
        <w:numPr>
          <w:ilvl w:val="0"/>
          <w:numId w:val="3"/>
        </w:numPr>
        <w:spacing w:after="120" w:line="276" w:lineRule="auto"/>
        <w:rPr>
          <w:rFonts w:asciiTheme="minorHAnsi" w:eastAsiaTheme="minorHAnsi" w:hAnsiTheme="minorHAnsi" w:cstheme="minorBidi"/>
          <w:i/>
          <w:sz w:val="22"/>
          <w:szCs w:val="22"/>
        </w:rPr>
      </w:pPr>
      <w:r>
        <w:rPr>
          <w:rFonts w:ascii="Calibri" w:eastAsia="Calibri" w:hAnsi="Calibri" w:cs="Calibri"/>
          <w:i/>
          <w:sz w:val="22"/>
          <w:szCs w:val="22"/>
        </w:rPr>
        <w:t>Use</w:t>
      </w:r>
      <w:r>
        <w:rPr>
          <w:rFonts w:ascii="Calibri" w:eastAsia="Calibri" w:hAnsi="Calibri" w:cs="Calibri"/>
          <w:i/>
          <w:spacing w:val="1"/>
          <w:sz w:val="22"/>
          <w:szCs w:val="22"/>
        </w:rPr>
        <w:t xml:space="preserve"> </w:t>
      </w:r>
      <w:r>
        <w:rPr>
          <w:rFonts w:ascii="Calibri" w:eastAsia="Calibri" w:hAnsi="Calibri" w:cs="Calibri"/>
          <w:i/>
          <w:sz w:val="22"/>
          <w:szCs w:val="22"/>
        </w:rPr>
        <w:t>of i</w:t>
      </w:r>
      <w:r>
        <w:rPr>
          <w:rFonts w:ascii="Calibri" w:eastAsia="Calibri" w:hAnsi="Calibri" w:cs="Calibri"/>
          <w:i/>
          <w:spacing w:val="-1"/>
          <w:sz w:val="22"/>
          <w:szCs w:val="22"/>
        </w:rPr>
        <w:t>npu</w:t>
      </w:r>
      <w:r>
        <w:rPr>
          <w:rFonts w:ascii="Calibri" w:eastAsia="Calibri" w:hAnsi="Calibri" w:cs="Calibri"/>
          <w:i/>
          <w:sz w:val="22"/>
          <w:szCs w:val="22"/>
        </w:rPr>
        <w:t>ts and</w:t>
      </w:r>
      <w:r>
        <w:rPr>
          <w:rFonts w:ascii="Calibri" w:eastAsia="Calibri" w:hAnsi="Calibri" w:cs="Calibri"/>
          <w:i/>
          <w:spacing w:val="1"/>
          <w:sz w:val="22"/>
          <w:szCs w:val="22"/>
        </w:rPr>
        <w:t xml:space="preserve"> </w:t>
      </w:r>
      <w:r>
        <w:rPr>
          <w:rFonts w:ascii="Calibri" w:eastAsia="Calibri" w:hAnsi="Calibri" w:cs="Calibri"/>
          <w:i/>
          <w:spacing w:val="-3"/>
          <w:sz w:val="22"/>
          <w:szCs w:val="22"/>
        </w:rPr>
        <w:t>a</w:t>
      </w:r>
      <w:r>
        <w:rPr>
          <w:rFonts w:ascii="Calibri" w:eastAsia="Calibri" w:hAnsi="Calibri" w:cs="Calibri"/>
          <w:i/>
          <w:sz w:val="22"/>
          <w:szCs w:val="22"/>
        </w:rPr>
        <w:t>s</w:t>
      </w:r>
      <w:r>
        <w:rPr>
          <w:rFonts w:ascii="Calibri" w:eastAsia="Calibri" w:hAnsi="Calibri" w:cs="Calibri"/>
          <w:i/>
          <w:spacing w:val="1"/>
          <w:sz w:val="22"/>
          <w:szCs w:val="22"/>
        </w:rPr>
        <w:t>s</w:t>
      </w:r>
      <w:r>
        <w:rPr>
          <w:rFonts w:ascii="Calibri" w:eastAsia="Calibri" w:hAnsi="Calibri" w:cs="Calibri"/>
          <w:i/>
          <w:spacing w:val="-1"/>
          <w:sz w:val="22"/>
          <w:szCs w:val="22"/>
        </w:rPr>
        <w:t>u</w:t>
      </w:r>
      <w:r>
        <w:rPr>
          <w:rFonts w:ascii="Calibri" w:eastAsia="Calibri" w:hAnsi="Calibri" w:cs="Calibri"/>
          <w:i/>
          <w:sz w:val="22"/>
          <w:szCs w:val="22"/>
        </w:rPr>
        <w:t>mptio</w:t>
      </w:r>
      <w:r>
        <w:rPr>
          <w:rFonts w:ascii="Calibri" w:eastAsia="Calibri" w:hAnsi="Calibri" w:cs="Calibri"/>
          <w:i/>
          <w:spacing w:val="-4"/>
          <w:sz w:val="22"/>
          <w:szCs w:val="22"/>
        </w:rPr>
        <w:t>n</w:t>
      </w:r>
      <w:r>
        <w:rPr>
          <w:rFonts w:ascii="Calibri" w:eastAsia="Calibri" w:hAnsi="Calibri" w:cs="Calibri"/>
          <w:i/>
          <w:sz w:val="22"/>
          <w:szCs w:val="22"/>
        </w:rPr>
        <w:t>s</w:t>
      </w:r>
      <w:r>
        <w:rPr>
          <w:rFonts w:ascii="Calibri" w:eastAsia="Calibri" w:hAnsi="Calibri" w:cs="Calibri"/>
          <w:i/>
          <w:spacing w:val="-1"/>
          <w:sz w:val="22"/>
          <w:szCs w:val="22"/>
        </w:rPr>
        <w:t xml:space="preserve"> </w:t>
      </w:r>
      <w:r w:rsidRPr="005305CE">
        <w:rPr>
          <w:rFonts w:ascii="Calibri" w:eastAsia="Calibri" w:hAnsi="Calibri" w:cs="Calibri"/>
          <w:i/>
          <w:sz w:val="22"/>
          <w:szCs w:val="22"/>
        </w:rPr>
        <w:t xml:space="preserve">(e.g., baseline generating fleet, candidate resource cost assumptions, </w:t>
      </w:r>
      <w:r w:rsidR="00CE3442">
        <w:rPr>
          <w:rFonts w:ascii="Calibri" w:eastAsia="Calibri" w:hAnsi="Calibri" w:cs="Calibri"/>
          <w:i/>
          <w:sz w:val="22"/>
          <w:szCs w:val="22"/>
        </w:rPr>
        <w:t xml:space="preserve">financial assumptions, </w:t>
      </w:r>
      <w:r w:rsidRPr="005305CE">
        <w:rPr>
          <w:rFonts w:ascii="Calibri" w:eastAsia="Calibri" w:hAnsi="Calibri" w:cs="Calibri"/>
          <w:i/>
          <w:sz w:val="22"/>
          <w:szCs w:val="22"/>
        </w:rPr>
        <w:t>etc.)</w:t>
      </w:r>
      <w:r>
        <w:rPr>
          <w:rFonts w:ascii="Calibri" w:eastAsia="Calibri" w:hAnsi="Calibri" w:cs="Calibri"/>
          <w:i/>
          <w:sz w:val="22"/>
          <w:szCs w:val="22"/>
        </w:rPr>
        <w:t xml:space="preserve"> matc</w:t>
      </w:r>
      <w:r>
        <w:rPr>
          <w:rFonts w:ascii="Calibri" w:eastAsia="Calibri" w:hAnsi="Calibri" w:cs="Calibri"/>
          <w:i/>
          <w:spacing w:val="-1"/>
          <w:sz w:val="22"/>
          <w:szCs w:val="22"/>
        </w:rPr>
        <w:t>h</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ose u</w:t>
      </w:r>
      <w:r>
        <w:rPr>
          <w:rFonts w:ascii="Calibri" w:eastAsia="Calibri" w:hAnsi="Calibri" w:cs="Calibri"/>
          <w:i/>
          <w:spacing w:val="-2"/>
          <w:sz w:val="22"/>
          <w:szCs w:val="22"/>
        </w:rPr>
        <w:t>s</w:t>
      </w:r>
      <w:r>
        <w:rPr>
          <w:rFonts w:ascii="Calibri" w:eastAsia="Calibri" w:hAnsi="Calibri" w:cs="Calibri"/>
          <w:i/>
          <w:sz w:val="22"/>
          <w:szCs w:val="22"/>
        </w:rPr>
        <w:t>ed in</w:t>
      </w:r>
      <w:r>
        <w:rPr>
          <w:rFonts w:ascii="Calibri" w:eastAsia="Calibri" w:hAnsi="Calibri" w:cs="Calibri"/>
          <w:i/>
          <w:spacing w:val="-1"/>
          <w:sz w:val="22"/>
          <w:szCs w:val="22"/>
        </w:rPr>
        <w:t xml:space="preserve"> </w:t>
      </w:r>
      <w:r>
        <w:rPr>
          <w:rFonts w:ascii="Calibri" w:eastAsia="Calibri" w:hAnsi="Calibri" w:cs="Calibri"/>
          <w:i/>
          <w:sz w:val="22"/>
          <w:szCs w:val="22"/>
        </w:rPr>
        <w:t>de</w:t>
      </w:r>
      <w:r>
        <w:rPr>
          <w:rFonts w:ascii="Calibri" w:eastAsia="Calibri" w:hAnsi="Calibri" w:cs="Calibri"/>
          <w:i/>
          <w:spacing w:val="-3"/>
          <w:sz w:val="22"/>
          <w:szCs w:val="22"/>
        </w:rPr>
        <w:t>v</w:t>
      </w:r>
      <w:r>
        <w:rPr>
          <w:rFonts w:ascii="Calibri" w:eastAsia="Calibri" w:hAnsi="Calibri" w:cs="Calibri"/>
          <w:i/>
          <w:sz w:val="22"/>
          <w:szCs w:val="22"/>
        </w:rPr>
        <w:t>el</w:t>
      </w:r>
      <w:r>
        <w:rPr>
          <w:rFonts w:ascii="Calibri" w:eastAsia="Calibri" w:hAnsi="Calibri" w:cs="Calibri"/>
          <w:i/>
          <w:spacing w:val="-1"/>
          <w:sz w:val="22"/>
          <w:szCs w:val="22"/>
        </w:rPr>
        <w:t>op</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Ref</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en</w:t>
      </w:r>
      <w:r>
        <w:rPr>
          <w:rFonts w:ascii="Calibri" w:eastAsia="Calibri" w:hAnsi="Calibri" w:cs="Calibri"/>
          <w:i/>
          <w:spacing w:val="-1"/>
          <w:sz w:val="22"/>
          <w:szCs w:val="22"/>
        </w:rPr>
        <w:t>c</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pacing w:val="1"/>
          <w:sz w:val="22"/>
          <w:szCs w:val="22"/>
        </w:rPr>
        <w:t>S</w:t>
      </w:r>
      <w:r>
        <w:rPr>
          <w:rFonts w:ascii="Calibri" w:eastAsia="Calibri" w:hAnsi="Calibri" w:cs="Calibri"/>
          <w:i/>
          <w:sz w:val="22"/>
          <w:szCs w:val="22"/>
        </w:rPr>
        <w:t>y</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2"/>
          <w:sz w:val="22"/>
          <w:szCs w:val="22"/>
        </w:rPr>
        <w:t>e</w:t>
      </w:r>
      <w:r>
        <w:rPr>
          <w:rFonts w:ascii="Calibri" w:eastAsia="Calibri" w:hAnsi="Calibri" w:cs="Calibri"/>
          <w:i/>
          <w:sz w:val="22"/>
          <w:szCs w:val="22"/>
        </w:rPr>
        <w:t>m</w:t>
      </w:r>
      <w:r>
        <w:rPr>
          <w:rFonts w:ascii="Calibri" w:eastAsia="Calibri" w:hAnsi="Calibri" w:cs="Calibri"/>
          <w:i/>
          <w:spacing w:val="1"/>
          <w:sz w:val="22"/>
          <w:szCs w:val="22"/>
        </w:rPr>
        <w:t xml:space="preserve"> P</w:t>
      </w:r>
      <w:r>
        <w:rPr>
          <w:rFonts w:ascii="Calibri" w:eastAsia="Calibri" w:hAnsi="Calibri" w:cs="Calibri"/>
          <w:i/>
          <w:spacing w:val="-3"/>
          <w:sz w:val="22"/>
          <w:szCs w:val="22"/>
        </w:rPr>
        <w:t>o</w:t>
      </w:r>
      <w:r>
        <w:rPr>
          <w:rFonts w:ascii="Calibri" w:eastAsia="Calibri" w:hAnsi="Calibri" w:cs="Calibri"/>
          <w:i/>
          <w:spacing w:val="1"/>
          <w:sz w:val="22"/>
          <w:szCs w:val="22"/>
        </w:rPr>
        <w:t>r</w:t>
      </w:r>
      <w:r>
        <w:rPr>
          <w:rFonts w:ascii="Calibri" w:eastAsia="Calibri" w:hAnsi="Calibri" w:cs="Calibri"/>
          <w:i/>
          <w:sz w:val="22"/>
          <w:szCs w:val="22"/>
        </w:rPr>
        <w:t>tfol</w:t>
      </w:r>
      <w:r>
        <w:rPr>
          <w:rFonts w:ascii="Calibri" w:eastAsia="Calibri" w:hAnsi="Calibri" w:cs="Calibri"/>
          <w:i/>
          <w:spacing w:val="-1"/>
          <w:sz w:val="22"/>
          <w:szCs w:val="22"/>
        </w:rPr>
        <w:t>i</w:t>
      </w:r>
      <w:r>
        <w:rPr>
          <w:rFonts w:ascii="Calibri" w:eastAsia="Calibri" w:hAnsi="Calibri" w:cs="Calibri"/>
          <w:i/>
          <w:sz w:val="22"/>
          <w:szCs w:val="22"/>
        </w:rPr>
        <w:t xml:space="preserve">o, with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fol</w:t>
      </w:r>
      <w:r>
        <w:rPr>
          <w:rFonts w:ascii="Calibri" w:eastAsia="Calibri" w:hAnsi="Calibri" w:cs="Calibri"/>
          <w:i/>
          <w:spacing w:val="-1"/>
          <w:sz w:val="22"/>
          <w:szCs w:val="22"/>
        </w:rPr>
        <w:t>l</w:t>
      </w:r>
      <w:r>
        <w:rPr>
          <w:rFonts w:ascii="Calibri" w:eastAsia="Calibri" w:hAnsi="Calibri" w:cs="Calibri"/>
          <w:i/>
          <w:sz w:val="22"/>
          <w:szCs w:val="22"/>
        </w:rPr>
        <w:t>owi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x</w:t>
      </w:r>
      <w:r>
        <w:rPr>
          <w:rFonts w:ascii="Calibri" w:eastAsia="Calibri" w:hAnsi="Calibri" w:cs="Calibri"/>
          <w:i/>
          <w:sz w:val="22"/>
          <w:szCs w:val="22"/>
        </w:rPr>
        <w:t>ce</w:t>
      </w:r>
      <w:r>
        <w:rPr>
          <w:rFonts w:ascii="Calibri" w:eastAsia="Calibri" w:hAnsi="Calibri" w:cs="Calibri"/>
          <w:i/>
          <w:spacing w:val="-4"/>
          <w:sz w:val="22"/>
          <w:szCs w:val="22"/>
        </w:rPr>
        <w:t>p</w:t>
      </w:r>
      <w:r>
        <w:rPr>
          <w:rFonts w:ascii="Calibri" w:eastAsia="Calibri" w:hAnsi="Calibri" w:cs="Calibri"/>
          <w:i/>
          <w:sz w:val="22"/>
          <w:szCs w:val="22"/>
        </w:rPr>
        <w:t>tio</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ba</w:t>
      </w:r>
      <w:r>
        <w:rPr>
          <w:rFonts w:ascii="Calibri" w:eastAsia="Calibri" w:hAnsi="Calibri" w:cs="Calibri"/>
          <w:i/>
          <w:sz w:val="22"/>
          <w:szCs w:val="22"/>
        </w:rPr>
        <w:t>sed on</w:t>
      </w:r>
      <w:r>
        <w:rPr>
          <w:rFonts w:ascii="Calibri" w:eastAsia="Calibri" w:hAnsi="Calibri" w:cs="Calibri"/>
          <w:i/>
          <w:spacing w:val="-1"/>
          <w:sz w:val="22"/>
          <w:szCs w:val="22"/>
        </w:rPr>
        <w:t xml:space="preserve"> </w:t>
      </w:r>
      <w:r>
        <w:rPr>
          <w:rFonts w:ascii="Calibri" w:eastAsia="Calibri" w:hAnsi="Calibri" w:cs="Calibri"/>
          <w:i/>
          <w:sz w:val="22"/>
          <w:szCs w:val="22"/>
        </w:rPr>
        <w:t>u</w:t>
      </w:r>
      <w:r>
        <w:rPr>
          <w:rFonts w:ascii="Calibri" w:eastAsia="Calibri" w:hAnsi="Calibri" w:cs="Calibri"/>
          <w:i/>
          <w:spacing w:val="-1"/>
          <w:sz w:val="22"/>
          <w:szCs w:val="22"/>
        </w:rPr>
        <w:t>pda</w:t>
      </w:r>
      <w:r>
        <w:rPr>
          <w:rFonts w:ascii="Calibri" w:eastAsia="Calibri" w:hAnsi="Calibri" w:cs="Calibri"/>
          <w:i/>
          <w:sz w:val="22"/>
          <w:szCs w:val="22"/>
        </w:rPr>
        <w:t>ted i</w:t>
      </w:r>
      <w:r>
        <w:rPr>
          <w:rFonts w:ascii="Calibri" w:eastAsia="Calibri" w:hAnsi="Calibri" w:cs="Calibri"/>
          <w:i/>
          <w:spacing w:val="-1"/>
          <w:sz w:val="22"/>
          <w:szCs w:val="22"/>
        </w:rPr>
        <w:t>n</w:t>
      </w:r>
      <w:r>
        <w:rPr>
          <w:rFonts w:ascii="Calibri" w:eastAsia="Calibri" w:hAnsi="Calibri" w:cs="Calibri"/>
          <w:i/>
          <w:sz w:val="22"/>
          <w:szCs w:val="22"/>
        </w:rPr>
        <w:t>fo</w:t>
      </w:r>
      <w:r>
        <w:rPr>
          <w:rFonts w:ascii="Calibri" w:eastAsia="Calibri" w:hAnsi="Calibri" w:cs="Calibri"/>
          <w:i/>
          <w:spacing w:val="-2"/>
          <w:sz w:val="22"/>
          <w:szCs w:val="22"/>
        </w:rPr>
        <w:t>r</w:t>
      </w:r>
      <w:r>
        <w:rPr>
          <w:rFonts w:ascii="Calibri" w:eastAsia="Calibri" w:hAnsi="Calibri" w:cs="Calibri"/>
          <w:i/>
          <w:sz w:val="22"/>
          <w:szCs w:val="22"/>
        </w:rPr>
        <w:t>matio</w:t>
      </w:r>
      <w:r>
        <w:rPr>
          <w:rFonts w:ascii="Calibri" w:eastAsia="Calibri" w:hAnsi="Calibri" w:cs="Calibri"/>
          <w:i/>
          <w:spacing w:val="-1"/>
          <w:sz w:val="22"/>
          <w:szCs w:val="22"/>
        </w:rPr>
        <w:t>n</w:t>
      </w:r>
      <w:r>
        <w:rPr>
          <w:rFonts w:ascii="Calibri" w:eastAsia="Calibri" w:hAnsi="Calibri" w:cs="Calibri"/>
          <w:i/>
          <w:sz w:val="22"/>
          <w:szCs w:val="22"/>
        </w:rPr>
        <w:t>:</w:t>
      </w:r>
    </w:p>
    <w:p w:rsidR="00AF0282" w:rsidRPr="00D6564C" w:rsidRDefault="00F737E9" w:rsidP="00916BEF">
      <w:pPr>
        <w:numPr>
          <w:ilvl w:val="1"/>
          <w:numId w:val="3"/>
        </w:numPr>
        <w:spacing w:after="120" w:line="276" w:lineRule="auto"/>
        <w:rPr>
          <w:rFonts w:asciiTheme="minorHAnsi" w:eastAsiaTheme="minorHAnsi" w:hAnsiTheme="minorHAnsi" w:cstheme="minorBidi"/>
          <w:i/>
          <w:sz w:val="22"/>
          <w:szCs w:val="22"/>
        </w:rPr>
      </w:pPr>
      <w:r>
        <w:rPr>
          <w:rFonts w:ascii="Calibri" w:eastAsia="Calibri" w:hAnsi="Calibri" w:cs="Calibri"/>
          <w:i/>
          <w:spacing w:val="1"/>
          <w:position w:val="1"/>
          <w:sz w:val="22"/>
          <w:szCs w:val="22"/>
        </w:rPr>
        <w:lastRenderedPageBreak/>
        <w:t>L</w:t>
      </w:r>
      <w:r>
        <w:rPr>
          <w:rFonts w:ascii="Calibri" w:eastAsia="Calibri" w:hAnsi="Calibri" w:cs="Calibri"/>
          <w:i/>
          <w:spacing w:val="-1"/>
          <w:position w:val="1"/>
          <w:sz w:val="22"/>
          <w:szCs w:val="22"/>
        </w:rPr>
        <w:t>S</w:t>
      </w:r>
      <w:r>
        <w:rPr>
          <w:rFonts w:ascii="Calibri" w:eastAsia="Calibri" w:hAnsi="Calibri" w:cs="Calibri"/>
          <w:i/>
          <w:position w:val="1"/>
          <w:sz w:val="22"/>
          <w:szCs w:val="22"/>
        </w:rPr>
        <w:t>Es</w:t>
      </w:r>
      <w:r>
        <w:rPr>
          <w:rFonts w:ascii="Calibri" w:eastAsia="Calibri" w:hAnsi="Calibri" w:cs="Calibri"/>
          <w:i/>
          <w:spacing w:val="1"/>
          <w:position w:val="1"/>
          <w:sz w:val="22"/>
          <w:szCs w:val="22"/>
        </w:rPr>
        <w:t xml:space="preserve"> s</w:t>
      </w:r>
      <w:r>
        <w:rPr>
          <w:rFonts w:ascii="Calibri" w:eastAsia="Calibri" w:hAnsi="Calibri" w:cs="Calibri"/>
          <w:i/>
          <w:spacing w:val="-1"/>
          <w:position w:val="1"/>
          <w:sz w:val="22"/>
          <w:szCs w:val="22"/>
        </w:rPr>
        <w:t>ha</w:t>
      </w:r>
      <w:r>
        <w:rPr>
          <w:rFonts w:ascii="Calibri" w:eastAsia="Calibri" w:hAnsi="Calibri" w:cs="Calibri"/>
          <w:i/>
          <w:position w:val="1"/>
          <w:sz w:val="22"/>
          <w:szCs w:val="22"/>
        </w:rPr>
        <w:t xml:space="preserve">ll </w:t>
      </w:r>
      <w:r>
        <w:rPr>
          <w:rFonts w:ascii="Calibri" w:eastAsia="Calibri" w:hAnsi="Calibri" w:cs="Calibri"/>
          <w:i/>
          <w:spacing w:val="-3"/>
          <w:position w:val="1"/>
          <w:sz w:val="22"/>
          <w:szCs w:val="22"/>
        </w:rPr>
        <w:t>align with</w:t>
      </w:r>
      <w:r>
        <w:rPr>
          <w:rFonts w:ascii="Calibri" w:eastAsia="Calibri" w:hAnsi="Calibri" w:cs="Calibri"/>
          <w:i/>
          <w:spacing w:val="1"/>
          <w:position w:val="1"/>
          <w:sz w:val="22"/>
          <w:szCs w:val="22"/>
        </w:rPr>
        <w:t xml:space="preserve"> </w:t>
      </w:r>
      <w:r>
        <w:rPr>
          <w:rFonts w:ascii="Calibri" w:eastAsia="Calibri" w:hAnsi="Calibri" w:cs="Calibri"/>
          <w:i/>
          <w:position w:val="1"/>
          <w:sz w:val="22"/>
          <w:szCs w:val="22"/>
        </w:rPr>
        <w:t>the</w:t>
      </w:r>
      <w:r>
        <w:rPr>
          <w:rFonts w:ascii="Calibri" w:eastAsia="Calibri" w:hAnsi="Calibri" w:cs="Calibri"/>
          <w:i/>
          <w:spacing w:val="-2"/>
          <w:position w:val="1"/>
          <w:sz w:val="22"/>
          <w:szCs w:val="22"/>
        </w:rPr>
        <w:t xml:space="preserve"> </w:t>
      </w:r>
      <w:r>
        <w:rPr>
          <w:rFonts w:ascii="Calibri" w:eastAsia="Calibri" w:hAnsi="Calibri" w:cs="Calibri"/>
          <w:i/>
          <w:position w:val="1"/>
          <w:sz w:val="22"/>
          <w:szCs w:val="22"/>
        </w:rPr>
        <w:t>lo</w:t>
      </w:r>
      <w:r>
        <w:rPr>
          <w:rFonts w:ascii="Calibri" w:eastAsia="Calibri" w:hAnsi="Calibri" w:cs="Calibri"/>
          <w:i/>
          <w:spacing w:val="-1"/>
          <w:position w:val="1"/>
          <w:sz w:val="22"/>
          <w:szCs w:val="22"/>
        </w:rPr>
        <w:t>a</w:t>
      </w:r>
      <w:r>
        <w:rPr>
          <w:rFonts w:ascii="Calibri" w:eastAsia="Calibri" w:hAnsi="Calibri" w:cs="Calibri"/>
          <w:i/>
          <w:position w:val="1"/>
          <w:sz w:val="22"/>
          <w:szCs w:val="22"/>
        </w:rPr>
        <w:t>d</w:t>
      </w:r>
      <w:r>
        <w:rPr>
          <w:rFonts w:ascii="Calibri" w:eastAsia="Calibri" w:hAnsi="Calibri" w:cs="Calibri"/>
          <w:i/>
          <w:spacing w:val="-1"/>
          <w:position w:val="1"/>
          <w:sz w:val="22"/>
          <w:szCs w:val="22"/>
        </w:rPr>
        <w:t xml:space="preserve"> </w:t>
      </w:r>
      <w:r>
        <w:rPr>
          <w:rFonts w:ascii="Calibri" w:eastAsia="Calibri" w:hAnsi="Calibri" w:cs="Calibri"/>
          <w:i/>
          <w:position w:val="1"/>
          <w:sz w:val="22"/>
          <w:szCs w:val="22"/>
        </w:rPr>
        <w:t>as</w:t>
      </w:r>
      <w:r>
        <w:rPr>
          <w:rFonts w:ascii="Calibri" w:eastAsia="Calibri" w:hAnsi="Calibri" w:cs="Calibri"/>
          <w:i/>
          <w:spacing w:val="1"/>
          <w:position w:val="1"/>
          <w:sz w:val="22"/>
          <w:szCs w:val="22"/>
        </w:rPr>
        <w:t>s</w:t>
      </w:r>
      <w:r>
        <w:rPr>
          <w:rFonts w:ascii="Calibri" w:eastAsia="Calibri" w:hAnsi="Calibri" w:cs="Calibri"/>
          <w:i/>
          <w:spacing w:val="-3"/>
          <w:position w:val="1"/>
          <w:sz w:val="22"/>
          <w:szCs w:val="22"/>
        </w:rPr>
        <w:t>i</w:t>
      </w:r>
      <w:r>
        <w:rPr>
          <w:rFonts w:ascii="Calibri" w:eastAsia="Calibri" w:hAnsi="Calibri" w:cs="Calibri"/>
          <w:i/>
          <w:spacing w:val="-1"/>
          <w:position w:val="1"/>
          <w:sz w:val="22"/>
          <w:szCs w:val="22"/>
        </w:rPr>
        <w:t>gn</w:t>
      </w:r>
      <w:r>
        <w:rPr>
          <w:rFonts w:ascii="Calibri" w:eastAsia="Calibri" w:hAnsi="Calibri" w:cs="Calibri"/>
          <w:i/>
          <w:position w:val="1"/>
          <w:sz w:val="22"/>
          <w:szCs w:val="22"/>
        </w:rPr>
        <w:t>ment</w:t>
      </w:r>
      <w:r>
        <w:rPr>
          <w:rFonts w:ascii="Calibri" w:eastAsia="Calibri" w:hAnsi="Calibri" w:cs="Calibri"/>
          <w:i/>
          <w:spacing w:val="1"/>
          <w:position w:val="1"/>
          <w:sz w:val="22"/>
          <w:szCs w:val="22"/>
        </w:rPr>
        <w:t xml:space="preserve"> </w:t>
      </w:r>
      <w:r>
        <w:rPr>
          <w:rFonts w:ascii="Calibri" w:eastAsia="Calibri" w:hAnsi="Calibri" w:cs="Calibri"/>
          <w:i/>
          <w:position w:val="1"/>
          <w:sz w:val="22"/>
          <w:szCs w:val="22"/>
        </w:rPr>
        <w:t>i</w:t>
      </w:r>
      <w:r>
        <w:rPr>
          <w:rFonts w:ascii="Calibri" w:eastAsia="Calibri" w:hAnsi="Calibri" w:cs="Calibri"/>
          <w:i/>
          <w:spacing w:val="-1"/>
          <w:position w:val="1"/>
          <w:sz w:val="22"/>
          <w:szCs w:val="22"/>
        </w:rPr>
        <w:t>nd</w:t>
      </w:r>
      <w:r>
        <w:rPr>
          <w:rFonts w:ascii="Calibri" w:eastAsia="Calibri" w:hAnsi="Calibri" w:cs="Calibri"/>
          <w:i/>
          <w:position w:val="1"/>
          <w:sz w:val="22"/>
          <w:szCs w:val="22"/>
        </w:rPr>
        <w:t>i</w:t>
      </w:r>
      <w:r>
        <w:rPr>
          <w:rFonts w:ascii="Calibri" w:eastAsia="Calibri" w:hAnsi="Calibri" w:cs="Calibri"/>
          <w:i/>
          <w:spacing w:val="-1"/>
          <w:position w:val="1"/>
          <w:sz w:val="22"/>
          <w:szCs w:val="22"/>
        </w:rPr>
        <w:t>ca</w:t>
      </w:r>
      <w:r>
        <w:rPr>
          <w:rFonts w:ascii="Calibri" w:eastAsia="Calibri" w:hAnsi="Calibri" w:cs="Calibri"/>
          <w:i/>
          <w:position w:val="1"/>
          <w:sz w:val="22"/>
          <w:szCs w:val="22"/>
        </w:rPr>
        <w:t>ted a</w:t>
      </w:r>
      <w:r>
        <w:rPr>
          <w:rFonts w:ascii="Calibri" w:eastAsia="Calibri" w:hAnsi="Calibri" w:cs="Calibri"/>
          <w:i/>
          <w:spacing w:val="-1"/>
          <w:position w:val="1"/>
          <w:sz w:val="22"/>
          <w:szCs w:val="22"/>
        </w:rPr>
        <w:t>b</w:t>
      </w:r>
      <w:r>
        <w:rPr>
          <w:rFonts w:ascii="Calibri" w:eastAsia="Calibri" w:hAnsi="Calibri" w:cs="Calibri"/>
          <w:i/>
          <w:position w:val="1"/>
          <w:sz w:val="22"/>
          <w:szCs w:val="22"/>
        </w:rPr>
        <w:t xml:space="preserve">ove, </w:t>
      </w:r>
      <w:r>
        <w:rPr>
          <w:rFonts w:ascii="Calibri" w:eastAsia="Calibri" w:hAnsi="Calibri" w:cs="Calibri"/>
          <w:i/>
          <w:spacing w:val="-3"/>
          <w:position w:val="1"/>
          <w:sz w:val="22"/>
          <w:szCs w:val="22"/>
        </w:rPr>
        <w:t>n</w:t>
      </w:r>
      <w:r>
        <w:rPr>
          <w:rFonts w:ascii="Calibri" w:eastAsia="Calibri" w:hAnsi="Calibri" w:cs="Calibri"/>
          <w:i/>
          <w:spacing w:val="-1"/>
          <w:position w:val="1"/>
          <w:sz w:val="22"/>
          <w:szCs w:val="22"/>
        </w:rPr>
        <w:t>a</w:t>
      </w:r>
      <w:r>
        <w:rPr>
          <w:rFonts w:ascii="Calibri" w:eastAsia="Calibri" w:hAnsi="Calibri" w:cs="Calibri"/>
          <w:i/>
          <w:position w:val="1"/>
          <w:sz w:val="22"/>
          <w:szCs w:val="22"/>
        </w:rPr>
        <w:t xml:space="preserve">mely </w:t>
      </w:r>
      <w:r>
        <w:rPr>
          <w:rFonts w:ascii="Calibri" w:eastAsia="Calibri" w:hAnsi="Calibri" w:cs="Calibri"/>
          <w:i/>
          <w:spacing w:val="1"/>
          <w:position w:val="1"/>
          <w:sz w:val="22"/>
          <w:szCs w:val="22"/>
        </w:rPr>
        <w:t>t</w:t>
      </w:r>
      <w:r>
        <w:rPr>
          <w:rFonts w:ascii="Calibri" w:eastAsia="Calibri" w:hAnsi="Calibri" w:cs="Calibri"/>
          <w:i/>
          <w:spacing w:val="-1"/>
          <w:position w:val="1"/>
          <w:sz w:val="22"/>
          <w:szCs w:val="22"/>
        </w:rPr>
        <w:t>h</w:t>
      </w:r>
      <w:r>
        <w:rPr>
          <w:rFonts w:ascii="Calibri" w:eastAsia="Calibri" w:hAnsi="Calibri" w:cs="Calibri"/>
          <w:i/>
          <w:position w:val="1"/>
          <w:sz w:val="22"/>
          <w:szCs w:val="22"/>
        </w:rPr>
        <w:t>e</w:t>
      </w:r>
      <w:r>
        <w:rPr>
          <w:rFonts w:ascii="Calibri" w:eastAsia="Calibri" w:hAnsi="Calibri" w:cs="Calibri"/>
          <w:i/>
          <w:spacing w:val="1"/>
          <w:position w:val="1"/>
          <w:sz w:val="22"/>
          <w:szCs w:val="22"/>
        </w:rPr>
        <w:t xml:space="preserve"> </w:t>
      </w:r>
      <w:r>
        <w:rPr>
          <w:rFonts w:ascii="Calibri" w:eastAsia="Calibri" w:hAnsi="Calibri" w:cs="Calibri"/>
          <w:i/>
          <w:spacing w:val="-1"/>
          <w:position w:val="1"/>
          <w:sz w:val="22"/>
          <w:szCs w:val="22"/>
        </w:rPr>
        <w:t>“</w:t>
      </w:r>
      <w:r>
        <w:rPr>
          <w:rFonts w:ascii="Calibri" w:eastAsia="Calibri" w:hAnsi="Calibri" w:cs="Calibri"/>
          <w:i/>
          <w:position w:val="1"/>
          <w:sz w:val="22"/>
          <w:szCs w:val="22"/>
        </w:rPr>
        <w:t>mid B</w:t>
      </w:r>
      <w:r>
        <w:rPr>
          <w:rFonts w:ascii="Calibri" w:eastAsia="Calibri" w:hAnsi="Calibri" w:cs="Calibri"/>
          <w:i/>
          <w:spacing w:val="-1"/>
          <w:position w:val="1"/>
          <w:sz w:val="22"/>
          <w:szCs w:val="22"/>
        </w:rPr>
        <w:t>a</w:t>
      </w:r>
      <w:r>
        <w:rPr>
          <w:rFonts w:ascii="Calibri" w:eastAsia="Calibri" w:hAnsi="Calibri" w:cs="Calibri"/>
          <w:i/>
          <w:position w:val="1"/>
          <w:sz w:val="22"/>
          <w:szCs w:val="22"/>
        </w:rPr>
        <w:t>seli</w:t>
      </w:r>
      <w:r>
        <w:rPr>
          <w:rFonts w:ascii="Calibri" w:eastAsia="Calibri" w:hAnsi="Calibri" w:cs="Calibri"/>
          <w:i/>
          <w:spacing w:val="-1"/>
          <w:position w:val="1"/>
          <w:sz w:val="22"/>
          <w:szCs w:val="22"/>
        </w:rPr>
        <w:t>n</w:t>
      </w:r>
      <w:r>
        <w:rPr>
          <w:rFonts w:ascii="Calibri" w:eastAsia="Calibri" w:hAnsi="Calibri" w:cs="Calibri"/>
          <w:i/>
          <w:position w:val="1"/>
          <w:sz w:val="22"/>
          <w:szCs w:val="22"/>
        </w:rPr>
        <w:t>e</w:t>
      </w:r>
      <w:r>
        <w:rPr>
          <w:rFonts w:ascii="Calibri" w:eastAsia="Calibri" w:hAnsi="Calibri" w:cs="Calibri"/>
          <w:i/>
          <w:spacing w:val="-1"/>
          <w:position w:val="1"/>
          <w:sz w:val="22"/>
          <w:szCs w:val="22"/>
        </w:rPr>
        <w:t xml:space="preserve"> </w:t>
      </w:r>
      <w:r>
        <w:rPr>
          <w:rFonts w:ascii="Calibri" w:eastAsia="Calibri" w:hAnsi="Calibri" w:cs="Calibri"/>
          <w:i/>
          <w:position w:val="1"/>
          <w:sz w:val="22"/>
          <w:szCs w:val="22"/>
        </w:rPr>
        <w:t>m</w:t>
      </w:r>
      <w:r>
        <w:rPr>
          <w:rFonts w:ascii="Calibri" w:eastAsia="Calibri" w:hAnsi="Calibri" w:cs="Calibri"/>
          <w:i/>
          <w:spacing w:val="-2"/>
          <w:position w:val="1"/>
          <w:sz w:val="22"/>
          <w:szCs w:val="22"/>
        </w:rPr>
        <w:t>i</w:t>
      </w:r>
      <w:r>
        <w:rPr>
          <w:rFonts w:ascii="Calibri" w:eastAsia="Calibri" w:hAnsi="Calibri" w:cs="Calibri"/>
          <w:i/>
          <w:position w:val="1"/>
          <w:sz w:val="22"/>
          <w:szCs w:val="22"/>
        </w:rPr>
        <w:t>d</w:t>
      </w:r>
      <w:r>
        <w:rPr>
          <w:rFonts w:ascii="Calibri" w:eastAsia="Calibri" w:hAnsi="Calibri" w:cs="Calibri"/>
          <w:i/>
          <w:spacing w:val="-1"/>
          <w:position w:val="1"/>
          <w:sz w:val="22"/>
          <w:szCs w:val="22"/>
        </w:rPr>
        <w:t xml:space="preserve"> </w:t>
      </w:r>
      <w:r>
        <w:rPr>
          <w:rFonts w:ascii="Calibri" w:eastAsia="Calibri" w:hAnsi="Calibri" w:cs="Calibri"/>
          <w:i/>
          <w:position w:val="1"/>
          <w:sz w:val="22"/>
          <w:szCs w:val="22"/>
        </w:rPr>
        <w:t>A</w:t>
      </w:r>
      <w:r>
        <w:rPr>
          <w:rFonts w:ascii="Calibri" w:eastAsia="Calibri" w:hAnsi="Calibri" w:cs="Calibri"/>
          <w:i/>
          <w:spacing w:val="-1"/>
          <w:position w:val="1"/>
          <w:sz w:val="22"/>
          <w:szCs w:val="22"/>
        </w:rPr>
        <w:t>A</w:t>
      </w:r>
      <w:r>
        <w:rPr>
          <w:rFonts w:ascii="Calibri" w:eastAsia="Calibri" w:hAnsi="Calibri" w:cs="Calibri"/>
          <w:i/>
          <w:position w:val="1"/>
          <w:sz w:val="22"/>
          <w:szCs w:val="22"/>
        </w:rPr>
        <w:t xml:space="preserve">EE </w:t>
      </w:r>
      <w:r>
        <w:rPr>
          <w:rFonts w:ascii="Calibri" w:eastAsia="Calibri" w:hAnsi="Calibri" w:cs="Calibri"/>
          <w:i/>
          <w:sz w:val="22"/>
          <w:szCs w:val="22"/>
        </w:rPr>
        <w:t xml:space="preserve">mid </w:t>
      </w:r>
      <w:r>
        <w:rPr>
          <w:rFonts w:ascii="Calibri" w:eastAsia="Calibri" w:hAnsi="Calibri" w:cs="Calibri"/>
          <w:i/>
          <w:spacing w:val="-1"/>
          <w:sz w:val="22"/>
          <w:szCs w:val="22"/>
        </w:rPr>
        <w:t>A</w:t>
      </w:r>
      <w:r>
        <w:rPr>
          <w:rFonts w:ascii="Calibri" w:eastAsia="Calibri" w:hAnsi="Calibri" w:cs="Calibri"/>
          <w:i/>
          <w:sz w:val="22"/>
          <w:szCs w:val="22"/>
        </w:rPr>
        <w:t>AP</w:t>
      </w:r>
      <w:r>
        <w:rPr>
          <w:rFonts w:ascii="Calibri" w:eastAsia="Calibri" w:hAnsi="Calibri" w:cs="Calibri"/>
          <w:i/>
          <w:spacing w:val="-2"/>
          <w:sz w:val="22"/>
          <w:szCs w:val="22"/>
        </w:rPr>
        <w:t>V</w:t>
      </w:r>
      <w:r>
        <w:rPr>
          <w:rFonts w:ascii="Calibri" w:eastAsia="Calibri" w:hAnsi="Calibri" w:cs="Calibri"/>
          <w:i/>
          <w:sz w:val="22"/>
          <w:szCs w:val="22"/>
        </w:rPr>
        <w:t>”</w:t>
      </w:r>
      <w:r>
        <w:rPr>
          <w:rFonts w:ascii="Calibri" w:eastAsia="Calibri" w:hAnsi="Calibri" w:cs="Calibri"/>
          <w:i/>
          <w:spacing w:val="3"/>
          <w:sz w:val="22"/>
          <w:szCs w:val="22"/>
        </w:rPr>
        <w:t xml:space="preserve"> </w:t>
      </w:r>
      <w:r>
        <w:rPr>
          <w:rFonts w:ascii="Calibri" w:eastAsia="Calibri" w:hAnsi="Calibri" w:cs="Calibri"/>
          <w:i/>
          <w:sz w:val="22"/>
          <w:szCs w:val="22"/>
        </w:rPr>
        <w:t>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sion</w:t>
      </w:r>
      <w:r>
        <w:rPr>
          <w:rFonts w:ascii="Calibri" w:eastAsia="Calibri" w:hAnsi="Calibri" w:cs="Calibri"/>
          <w:i/>
          <w:spacing w:val="-1"/>
          <w:sz w:val="22"/>
          <w:szCs w:val="22"/>
        </w:rPr>
        <w:t xml:space="preserve"> </w:t>
      </w:r>
      <w:r>
        <w:rPr>
          <w:rFonts w:ascii="Calibri" w:eastAsia="Calibri" w:hAnsi="Calibri" w:cs="Calibri"/>
          <w:i/>
          <w:sz w:val="22"/>
          <w:szCs w:val="22"/>
        </w:rPr>
        <w:t>of</w:t>
      </w:r>
      <w:r>
        <w:rPr>
          <w:rFonts w:ascii="Calibri" w:eastAsia="Calibri" w:hAnsi="Calibri" w:cs="Calibri"/>
          <w:i/>
          <w:spacing w:val="-2"/>
          <w:sz w:val="22"/>
          <w:szCs w:val="22"/>
        </w:rPr>
        <w:t xml:space="preserve"> </w:t>
      </w:r>
      <w:r>
        <w:rPr>
          <w:rFonts w:ascii="Calibri" w:eastAsia="Calibri" w:hAnsi="Calibri" w:cs="Calibri"/>
          <w:i/>
          <w:sz w:val="22"/>
          <w:szCs w:val="22"/>
        </w:rPr>
        <w:t>F</w:t>
      </w:r>
      <w:r>
        <w:rPr>
          <w:rFonts w:ascii="Calibri" w:eastAsia="Calibri" w:hAnsi="Calibri" w:cs="Calibri"/>
          <w:i/>
          <w:spacing w:val="-1"/>
          <w:sz w:val="22"/>
          <w:szCs w:val="22"/>
        </w:rPr>
        <w:t>o</w:t>
      </w:r>
      <w:r>
        <w:rPr>
          <w:rFonts w:ascii="Calibri" w:eastAsia="Calibri" w:hAnsi="Calibri" w:cs="Calibri"/>
          <w:i/>
          <w:spacing w:val="1"/>
          <w:sz w:val="22"/>
          <w:szCs w:val="22"/>
        </w:rPr>
        <w:t>r</w:t>
      </w:r>
      <w:r>
        <w:rPr>
          <w:rFonts w:ascii="Calibri" w:eastAsia="Calibri" w:hAnsi="Calibri" w:cs="Calibri"/>
          <w:i/>
          <w:sz w:val="22"/>
          <w:szCs w:val="22"/>
        </w:rPr>
        <w:t>m</w:t>
      </w:r>
      <w:r>
        <w:rPr>
          <w:rFonts w:ascii="Calibri" w:eastAsia="Calibri" w:hAnsi="Calibri" w:cs="Calibri"/>
          <w:i/>
          <w:spacing w:val="-4"/>
          <w:sz w:val="22"/>
          <w:szCs w:val="22"/>
        </w:rPr>
        <w:t xml:space="preserve"> </w:t>
      </w:r>
      <w:r>
        <w:rPr>
          <w:rFonts w:ascii="Calibri" w:eastAsia="Calibri" w:hAnsi="Calibri" w:cs="Calibri"/>
          <w:i/>
          <w:spacing w:val="1"/>
          <w:sz w:val="22"/>
          <w:szCs w:val="22"/>
        </w:rPr>
        <w:t>1</w:t>
      </w:r>
      <w:r>
        <w:rPr>
          <w:rFonts w:ascii="Calibri" w:eastAsia="Calibri" w:hAnsi="Calibri" w:cs="Calibri"/>
          <w:i/>
          <w:sz w:val="22"/>
          <w:szCs w:val="22"/>
        </w:rPr>
        <w:t>.1c of</w:t>
      </w:r>
      <w:r>
        <w:rPr>
          <w:rFonts w:ascii="Calibri" w:eastAsia="Calibri" w:hAnsi="Calibri" w:cs="Calibri"/>
          <w:i/>
          <w:spacing w:val="-2"/>
          <w:sz w:val="22"/>
          <w:szCs w:val="22"/>
        </w:rPr>
        <w:t xml:space="preserve"> </w:t>
      </w:r>
      <w:r>
        <w:rPr>
          <w:rFonts w:ascii="Calibri" w:eastAsia="Calibri" w:hAnsi="Calibri" w:cs="Calibri"/>
          <w:i/>
          <w:sz w:val="22"/>
          <w:szCs w:val="22"/>
        </w:rPr>
        <w:t>the</w:t>
      </w:r>
      <w:r>
        <w:rPr>
          <w:rFonts w:ascii="Calibri" w:eastAsia="Calibri" w:hAnsi="Calibri" w:cs="Calibri"/>
          <w:i/>
          <w:spacing w:val="1"/>
          <w:sz w:val="22"/>
          <w:szCs w:val="22"/>
        </w:rPr>
        <w:t xml:space="preserve"> </w:t>
      </w:r>
      <w:r>
        <w:rPr>
          <w:rFonts w:ascii="Calibri" w:eastAsia="Calibri" w:hAnsi="Calibri" w:cs="Calibri"/>
          <w:i/>
          <w:sz w:val="22"/>
          <w:szCs w:val="22"/>
        </w:rPr>
        <w:t>CE</w:t>
      </w:r>
      <w:r>
        <w:rPr>
          <w:rFonts w:ascii="Calibri" w:eastAsia="Calibri" w:hAnsi="Calibri" w:cs="Calibri"/>
          <w:i/>
          <w:spacing w:val="-2"/>
          <w:sz w:val="22"/>
          <w:szCs w:val="22"/>
        </w:rPr>
        <w:t>C</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ad</w:t>
      </w:r>
      <w:r>
        <w:rPr>
          <w:rFonts w:ascii="Calibri" w:eastAsia="Calibri" w:hAnsi="Calibri" w:cs="Calibri"/>
          <w:i/>
          <w:sz w:val="22"/>
          <w:szCs w:val="22"/>
        </w:rPr>
        <w:t>o</w:t>
      </w:r>
      <w:r>
        <w:rPr>
          <w:rFonts w:ascii="Calibri" w:eastAsia="Calibri" w:hAnsi="Calibri" w:cs="Calibri"/>
          <w:i/>
          <w:spacing w:val="-1"/>
          <w:sz w:val="22"/>
          <w:szCs w:val="22"/>
        </w:rPr>
        <w:t>p</w:t>
      </w:r>
      <w:r>
        <w:rPr>
          <w:rFonts w:ascii="Calibri" w:eastAsia="Calibri" w:hAnsi="Calibri" w:cs="Calibri"/>
          <w:i/>
          <w:sz w:val="22"/>
          <w:szCs w:val="22"/>
        </w:rPr>
        <w:t>ted</w:t>
      </w:r>
      <w:r>
        <w:rPr>
          <w:rFonts w:ascii="Calibri" w:eastAsia="Calibri" w:hAnsi="Calibri" w:cs="Calibri"/>
          <w:i/>
          <w:spacing w:val="-2"/>
          <w:sz w:val="22"/>
          <w:szCs w:val="22"/>
        </w:rPr>
        <w:t xml:space="preserve"> 2</w:t>
      </w:r>
      <w:r>
        <w:rPr>
          <w:rFonts w:ascii="Calibri" w:eastAsia="Calibri" w:hAnsi="Calibri" w:cs="Calibri"/>
          <w:i/>
          <w:spacing w:val="1"/>
          <w:sz w:val="22"/>
          <w:szCs w:val="22"/>
        </w:rPr>
        <w:t>0</w:t>
      </w:r>
      <w:r>
        <w:rPr>
          <w:rFonts w:ascii="Calibri" w:eastAsia="Calibri" w:hAnsi="Calibri" w:cs="Calibri"/>
          <w:i/>
          <w:spacing w:val="-2"/>
          <w:sz w:val="22"/>
          <w:szCs w:val="22"/>
        </w:rPr>
        <w:t>1</w:t>
      </w:r>
      <w:r>
        <w:rPr>
          <w:rFonts w:ascii="Calibri" w:eastAsia="Calibri" w:hAnsi="Calibri" w:cs="Calibri"/>
          <w:i/>
          <w:sz w:val="22"/>
          <w:szCs w:val="22"/>
        </w:rPr>
        <w:t>7</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2"/>
          <w:sz w:val="22"/>
          <w:szCs w:val="22"/>
        </w:rPr>
        <w:t>E</w:t>
      </w:r>
      <w:r>
        <w:rPr>
          <w:rFonts w:ascii="Calibri" w:eastAsia="Calibri" w:hAnsi="Calibri" w:cs="Calibri"/>
          <w:i/>
          <w:spacing w:val="1"/>
          <w:sz w:val="22"/>
          <w:szCs w:val="22"/>
        </w:rPr>
        <w:t>P</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1"/>
          <w:sz w:val="22"/>
          <w:szCs w:val="22"/>
        </w:rPr>
        <w:t>d</w:t>
      </w:r>
      <w:r>
        <w:rPr>
          <w:rFonts w:ascii="Calibri" w:eastAsia="Calibri" w:hAnsi="Calibri" w:cs="Calibri"/>
          <w:i/>
          <w:spacing w:val="-2"/>
          <w:sz w:val="22"/>
          <w:szCs w:val="22"/>
        </w:rPr>
        <w:t>e</w:t>
      </w:r>
      <w:r>
        <w:rPr>
          <w:rFonts w:ascii="Calibri" w:eastAsia="Calibri" w:hAnsi="Calibri" w:cs="Calibri"/>
          <w:i/>
          <w:sz w:val="22"/>
          <w:szCs w:val="22"/>
        </w:rPr>
        <w:t>ma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fo</w:t>
      </w:r>
      <w:r>
        <w:rPr>
          <w:rFonts w:ascii="Calibri" w:eastAsia="Calibri" w:hAnsi="Calibri" w:cs="Calibri"/>
          <w:i/>
          <w:spacing w:val="1"/>
          <w:sz w:val="22"/>
          <w:szCs w:val="22"/>
        </w:rPr>
        <w:t>r</w:t>
      </w:r>
      <w:r>
        <w:rPr>
          <w:rFonts w:ascii="Calibri" w:eastAsia="Calibri" w:hAnsi="Calibri" w:cs="Calibri"/>
          <w:i/>
          <w:sz w:val="22"/>
          <w:szCs w:val="22"/>
        </w:rPr>
        <w:t>ec</w:t>
      </w:r>
      <w:r>
        <w:rPr>
          <w:rFonts w:ascii="Calibri" w:eastAsia="Calibri" w:hAnsi="Calibri" w:cs="Calibri"/>
          <w:i/>
          <w:spacing w:val="-1"/>
          <w:sz w:val="22"/>
          <w:szCs w:val="22"/>
        </w:rPr>
        <w:t>a</w:t>
      </w:r>
      <w:r>
        <w:rPr>
          <w:rFonts w:ascii="Calibri" w:eastAsia="Calibri" w:hAnsi="Calibri" w:cs="Calibri"/>
          <w:i/>
          <w:spacing w:val="-2"/>
          <w:sz w:val="22"/>
          <w:szCs w:val="22"/>
        </w:rPr>
        <w:t>s</w:t>
      </w:r>
      <w:r>
        <w:rPr>
          <w:rFonts w:ascii="Calibri" w:eastAsia="Calibri" w:hAnsi="Calibri" w:cs="Calibri"/>
          <w:i/>
          <w:spacing w:val="2"/>
          <w:sz w:val="22"/>
          <w:szCs w:val="22"/>
        </w:rPr>
        <w:t xml:space="preserve">t, </w:t>
      </w:r>
      <w:r w:rsidR="004758C8">
        <w:rPr>
          <w:rFonts w:ascii="Calibri" w:eastAsia="Calibri" w:hAnsi="Calibri" w:cs="Calibri"/>
          <w:i/>
          <w:spacing w:val="2"/>
          <w:sz w:val="22"/>
          <w:szCs w:val="22"/>
        </w:rPr>
        <w:t xml:space="preserve">unless superseded by Administrative Law Judge ruling, </w:t>
      </w:r>
      <w:r>
        <w:rPr>
          <w:rFonts w:ascii="Calibri" w:eastAsia="Calibri" w:hAnsi="Calibri" w:cs="Calibri"/>
          <w:i/>
          <w:spacing w:val="2"/>
          <w:sz w:val="22"/>
          <w:szCs w:val="22"/>
        </w:rPr>
        <w:t>as closely as possible</w:t>
      </w:r>
      <w:r>
        <w:rPr>
          <w:rFonts w:ascii="Calibri" w:eastAsia="Calibri" w:hAnsi="Calibri" w:cs="Calibri"/>
          <w:i/>
          <w:sz w:val="22"/>
          <w:szCs w:val="22"/>
        </w:rPr>
        <w:t>.</w:t>
      </w:r>
    </w:p>
    <w:p w:rsidR="00AF0282" w:rsidRPr="00D6564C" w:rsidRDefault="00AF0282" w:rsidP="00916BEF">
      <w:pPr>
        <w:numPr>
          <w:ilvl w:val="1"/>
          <w:numId w:val="3"/>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LSE load modifier assumptions shall be consistent with the 2017 IEPR </w:t>
      </w:r>
      <w:r>
        <w:rPr>
          <w:rFonts w:asciiTheme="minorHAnsi" w:eastAsiaTheme="minorHAnsi" w:hAnsiTheme="minorHAnsi" w:cstheme="minorBidi"/>
          <w:i/>
          <w:sz w:val="22"/>
          <w:szCs w:val="22"/>
        </w:rPr>
        <w:t>demand forecast</w:t>
      </w:r>
      <w:r w:rsidRPr="00D6564C">
        <w:rPr>
          <w:rFonts w:asciiTheme="minorHAnsi" w:eastAsiaTheme="minorHAnsi" w:hAnsiTheme="minorHAnsi" w:cstheme="minorBidi"/>
          <w:i/>
          <w:sz w:val="22"/>
          <w:szCs w:val="22"/>
        </w:rPr>
        <w:t xml:space="preserve"> projections of both PV and non-PV self-generation, and load-modifying demand response</w:t>
      </w:r>
      <w:r>
        <w:rPr>
          <w:rFonts w:asciiTheme="minorHAnsi" w:eastAsiaTheme="minorHAnsi" w:hAnsiTheme="minorHAnsi" w:cstheme="minorBidi"/>
          <w:i/>
          <w:sz w:val="22"/>
          <w:szCs w:val="22"/>
        </w:rPr>
        <w:t xml:space="preserve"> included in the “mid Baseline mid AAEE mid AAPV” case</w:t>
      </w:r>
      <w:r w:rsidRPr="00D6564C">
        <w:rPr>
          <w:rFonts w:asciiTheme="minorHAnsi" w:eastAsiaTheme="minorHAnsi" w:hAnsiTheme="minorHAnsi" w:cstheme="minorBidi"/>
          <w:i/>
          <w:sz w:val="22"/>
          <w:szCs w:val="22"/>
        </w:rPr>
        <w:t>.</w:t>
      </w:r>
    </w:p>
    <w:p w:rsidR="00AF0282" w:rsidRPr="00D6564C" w:rsidRDefault="00AF0282" w:rsidP="00916BEF">
      <w:pPr>
        <w:numPr>
          <w:ilvl w:val="1"/>
          <w:numId w:val="3"/>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LSEs shall use the 2017 IEPR burner-tip natural gas price projections</w:t>
      </w:r>
      <w:r w:rsidR="00F737E9">
        <w:rPr>
          <w:rFonts w:asciiTheme="minorHAnsi" w:eastAsiaTheme="minorHAnsi" w:hAnsiTheme="minorHAnsi" w:cstheme="minorBidi"/>
          <w:i/>
          <w:sz w:val="22"/>
          <w:szCs w:val="22"/>
        </w:rPr>
        <w:t xml:space="preserve">, </w:t>
      </w:r>
      <w:r w:rsidR="00F737E9">
        <w:rPr>
          <w:rFonts w:ascii="Calibri" w:eastAsia="Calibri" w:hAnsi="Calibri" w:cs="Calibri"/>
          <w:i/>
          <w:sz w:val="22"/>
          <w:szCs w:val="22"/>
        </w:rPr>
        <w:t xml:space="preserve">which </w:t>
      </w:r>
      <w:r w:rsidR="00F737E9" w:rsidRPr="005305CE">
        <w:rPr>
          <w:rFonts w:ascii="Calibri" w:eastAsia="Calibri" w:hAnsi="Calibri" w:cs="Calibri"/>
          <w:i/>
          <w:sz w:val="22"/>
          <w:szCs w:val="22"/>
        </w:rPr>
        <w:t>are based on the April 2018 Updated Model</w:t>
      </w:r>
      <w:r w:rsidRPr="00D6564C">
        <w:rPr>
          <w:rFonts w:asciiTheme="minorHAnsi" w:eastAsiaTheme="minorHAnsi" w:hAnsiTheme="minorHAnsi" w:cstheme="minorBidi"/>
          <w:i/>
          <w:sz w:val="22"/>
          <w:szCs w:val="22"/>
        </w:rPr>
        <w:t>.</w:t>
      </w:r>
      <w:r w:rsidR="00F737E9">
        <w:rPr>
          <w:rStyle w:val="FootnoteReference"/>
          <w:rFonts w:asciiTheme="minorHAnsi" w:eastAsiaTheme="minorHAnsi" w:hAnsiTheme="minorHAnsi" w:cstheme="minorBidi"/>
          <w:i/>
          <w:szCs w:val="22"/>
        </w:rPr>
        <w:footnoteReference w:id="1"/>
      </w:r>
    </w:p>
    <w:p w:rsidR="00AF0282" w:rsidRPr="00D6564C" w:rsidRDefault="00AF0282" w:rsidP="00AF0282">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LSEs may also study and report “Alternative Portfolios” developed from additional scenarios using different assumptions (including differing load and load modifier assumptions) from the Reference System Plan. </w:t>
      </w:r>
      <w:r>
        <w:rPr>
          <w:rFonts w:asciiTheme="minorHAnsi" w:eastAsiaTheme="minorHAnsi" w:hAnsiTheme="minorHAnsi" w:cstheme="minorBidi"/>
          <w:i/>
          <w:sz w:val="22"/>
          <w:szCs w:val="22"/>
        </w:rPr>
        <w:t xml:space="preserve">Alternative Portfolios may assume that other LSEs do not procure in a manner consistent with the Reference System Plan. </w:t>
      </w:r>
      <w:r w:rsidRPr="00D6564C">
        <w:rPr>
          <w:rFonts w:asciiTheme="minorHAnsi" w:eastAsiaTheme="minorHAnsi" w:hAnsiTheme="minorHAnsi" w:cstheme="minorBidi"/>
          <w:i/>
          <w:sz w:val="22"/>
          <w:szCs w:val="22"/>
        </w:rPr>
        <w:t xml:space="preserve">For example, an IOU may choose to prepare a portfolio that plans for CCA load departure not reflected in its assigned IEPR load forecast. IOUs doing so shall adjust their 2030 GHG Emissions Benchmark (if applicable) downward proportionally with the departing load. </w:t>
      </w:r>
    </w:p>
    <w:p w:rsidR="00AF0282" w:rsidRPr="00D6564C" w:rsidRDefault="00AF0282" w:rsidP="00AF0282">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 all Alternative Portfolios developed, any deviations from the Conforming Portfolio must be explained and justified.</w:t>
      </w:r>
      <w:r w:rsidRPr="00D6564C">
        <w:rPr>
          <w:rFonts w:asciiTheme="minorHAnsi" w:eastAsiaTheme="minorHAnsi" w:hAnsiTheme="minorHAnsi" w:cstheme="minorBidi"/>
          <w:bCs/>
          <w:i/>
          <w:sz w:val="22"/>
          <w:szCs w:val="22"/>
        </w:rPr>
        <w:t xml:space="preserve"> If the LSE uses different load and load modifier assumptions as part of any Alternate Portfolios, the LSE should report that information using the standard IEPR filing form templates associated with that information, as described in detail in Section 5: Data.</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Among the Conforming Portfolio and Alternative Portfolio(s) developed by the LSE, the LSE will identify one as its “Preferred Portfolio.”</w:t>
      </w:r>
    </w:p>
    <w:p w:rsidR="00AF0282" w:rsidRPr="00D6564C" w:rsidRDefault="00AF0282" w:rsidP="00AF0282">
      <w:pPr>
        <w:spacing w:after="200" w:line="276" w:lineRule="auto"/>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GHG Planning Price</w:t>
      </w:r>
    </w:p>
    <w:p w:rsidR="00F737E9" w:rsidRDefault="00AF0282" w:rsidP="00AF0282">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LSEs electing to use the GHG Planning Price—rather than the LSE-specific GHG Emissions Benchmark—in developing their portfolio(s) must use the values presented in Table A below. The GHG Planning Price is equivalent to the marginal cost of GHG abatement associated with the 42 MMT Scenario for the years 2018 to 2026 (i.e., a curve that slopes upward from ~$15/ton to ~$23/ton), followed by a straight-line increase from ~$23/ton in 2026 to $150/ton in 2030. The straight-line increase is intended to fill the gap for the years for which RESOLVE does not produce GHG abatement cost values (i.e., 2027, 2028, and 2029).</w:t>
      </w:r>
    </w:p>
    <w:p w:rsidR="00F737E9" w:rsidRDefault="00F737E9">
      <w:pPr>
        <w:spacing w:after="200" w:line="276"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br w:type="page"/>
      </w:r>
    </w:p>
    <w:p w:rsidR="00AF0282" w:rsidRPr="00D6564C" w:rsidRDefault="00AF0282" w:rsidP="00AF0282">
      <w:pPr>
        <w:spacing w:after="120" w:line="276" w:lineRule="auto"/>
        <w:rPr>
          <w:rFonts w:asciiTheme="minorHAnsi" w:eastAsiaTheme="minorHAnsi" w:hAnsiTheme="minorHAnsi" w:cstheme="minorBidi"/>
          <w:i/>
          <w:sz w:val="22"/>
          <w:szCs w:val="22"/>
        </w:rPr>
      </w:pPr>
    </w:p>
    <w:p w:rsidR="00AF0282" w:rsidRPr="00D6564C" w:rsidRDefault="00AF0282" w:rsidP="00AF0282">
      <w:pPr>
        <w:spacing w:line="276" w:lineRule="auto"/>
        <w:ind w:left="720"/>
        <w:rPr>
          <w:rFonts w:asciiTheme="minorHAnsi" w:eastAsiaTheme="minorHAnsi" w:hAnsiTheme="minorHAnsi" w:cstheme="minorBidi"/>
          <w:b/>
          <w:i/>
          <w:sz w:val="22"/>
          <w:szCs w:val="22"/>
        </w:rPr>
      </w:pPr>
      <w:r w:rsidRPr="00D6564C">
        <w:rPr>
          <w:rFonts w:asciiTheme="minorHAnsi" w:eastAsiaTheme="minorHAnsi" w:hAnsiTheme="minorHAnsi" w:cstheme="minorBidi"/>
          <w:b/>
          <w:i/>
          <w:sz w:val="22"/>
          <w:szCs w:val="22"/>
        </w:rPr>
        <w:t>TABLE A</w:t>
      </w:r>
    </w:p>
    <w:tbl>
      <w:tblPr>
        <w:tblStyle w:val="TableGrid1"/>
        <w:tblW w:w="0" w:type="auto"/>
        <w:tblInd w:w="720" w:type="dxa"/>
        <w:tblLook w:val="04A0" w:firstRow="1" w:lastRow="0" w:firstColumn="1" w:lastColumn="0" w:noHBand="0" w:noVBand="1"/>
      </w:tblPr>
      <w:tblGrid>
        <w:gridCol w:w="942"/>
        <w:gridCol w:w="3738"/>
      </w:tblGrid>
      <w:tr w:rsidR="00AF0282" w:rsidRPr="00D6564C" w:rsidTr="00762A52">
        <w:tc>
          <w:tcPr>
            <w:tcW w:w="4680" w:type="dxa"/>
            <w:gridSpan w:val="2"/>
          </w:tcPr>
          <w:p w:rsidR="00AF0282" w:rsidRPr="00D6564C" w:rsidRDefault="00AF0282" w:rsidP="00762A52">
            <w:pPr>
              <w:jc w:val="center"/>
              <w:rPr>
                <w:rFonts w:asciiTheme="minorHAnsi" w:hAnsiTheme="minorHAnsi"/>
                <w:b/>
                <w:i/>
                <w:sz w:val="22"/>
              </w:rPr>
            </w:pPr>
            <w:r w:rsidRPr="00D6564C">
              <w:rPr>
                <w:rFonts w:asciiTheme="minorHAnsi" w:hAnsiTheme="minorHAnsi"/>
                <w:b/>
                <w:i/>
                <w:sz w:val="22"/>
              </w:rPr>
              <w:t>GHG Planning Price ($ per metric ton of CO2e) for use in IRP</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2018</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$15.17</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2019</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$16.05</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2020</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$16.94</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2021</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$17.88</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2022</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$18.86</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2023</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$19.91</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2024</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$21.02</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2025</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$22.19</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2026</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$23.44</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2027</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$55.08</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2028</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$86.72</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2029</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$118.36</w:t>
            </w:r>
          </w:p>
        </w:tc>
      </w:tr>
      <w:tr w:rsidR="00AF0282" w:rsidRPr="00D6564C" w:rsidTr="00762A52">
        <w:tc>
          <w:tcPr>
            <w:tcW w:w="942"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2030</w:t>
            </w:r>
          </w:p>
        </w:tc>
        <w:tc>
          <w:tcPr>
            <w:tcW w:w="3738" w:type="dxa"/>
          </w:tcPr>
          <w:p w:rsidR="00AF0282" w:rsidRPr="00D6564C" w:rsidRDefault="00AF0282" w:rsidP="00762A52">
            <w:pPr>
              <w:jc w:val="center"/>
              <w:rPr>
                <w:rFonts w:asciiTheme="minorHAnsi" w:hAnsiTheme="minorHAnsi"/>
                <w:i/>
                <w:sz w:val="22"/>
              </w:rPr>
            </w:pPr>
            <w:r w:rsidRPr="00D6564C">
              <w:rPr>
                <w:rFonts w:asciiTheme="minorHAnsi" w:hAnsiTheme="minorHAnsi"/>
                <w:i/>
                <w:sz w:val="22"/>
              </w:rPr>
              <w:t>$150.00</w:t>
            </w:r>
          </w:p>
        </w:tc>
      </w:tr>
    </w:tbl>
    <w:p w:rsidR="00AF0282" w:rsidRPr="00D6564C" w:rsidRDefault="00AF0282" w:rsidP="00AF0282">
      <w:pPr>
        <w:spacing w:after="200" w:line="276" w:lineRule="auto"/>
        <w:rPr>
          <w:rFonts w:asciiTheme="minorHAnsi" w:eastAsiaTheme="minorHAnsi" w:hAnsiTheme="minorHAnsi" w:cstheme="minorBidi"/>
          <w:i/>
          <w:sz w:val="22"/>
          <w:szCs w:val="22"/>
        </w:rPr>
      </w:pPr>
    </w:p>
    <w:p w:rsidR="00AF0282" w:rsidRPr="00D6564C" w:rsidRDefault="00AF0282" w:rsidP="00AF0282">
      <w:pPr>
        <w:spacing w:after="200" w:line="276" w:lineRule="auto"/>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GHG Emissions Benchmark</w:t>
      </w:r>
    </w:p>
    <w:p w:rsidR="00AF0282" w:rsidRPr="00D6564C" w:rsidRDefault="00AF0282" w:rsidP="00AF0282">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LSEs electing to use the LSE-specific GHG Emissions Benchmark—rather than the GHG Planning Price—in developing their portfolio(s) must use the 2030 value </w:t>
      </w:r>
      <w:r w:rsidR="00853F2F">
        <w:rPr>
          <w:rFonts w:ascii="Calibri" w:eastAsia="Calibri" w:hAnsi="Calibri" w:cs="Calibri"/>
          <w:i/>
          <w:sz w:val="22"/>
          <w:szCs w:val="22"/>
        </w:rPr>
        <w:t>assigned to the LSE in the most recent ALJ ruling</w:t>
      </w:r>
      <w:r w:rsidRPr="00D6564C">
        <w:rPr>
          <w:rFonts w:asciiTheme="minorHAnsi" w:eastAsiaTheme="minorHAnsi" w:hAnsiTheme="minorHAnsi" w:cstheme="minorBidi"/>
          <w:i/>
          <w:sz w:val="22"/>
          <w:szCs w:val="22"/>
        </w:rPr>
        <w:t>.</w:t>
      </w:r>
    </w:p>
    <w:p w:rsidR="00AF0282" w:rsidRPr="00D6564C" w:rsidRDefault="00AF0282" w:rsidP="00AF0282">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If the total emissions attributable to the LSE’s Preferred Portfolio exceed its GHG Emissions Benchmark for 2030, the LSE must explain the difference and describe additional measures it would take over the following 1-3 years to close the gap, along with the estimated cost of those measures.</w:t>
      </w:r>
    </w:p>
    <w:p w:rsidR="00AF0282" w:rsidRDefault="00AF0282" w:rsidP="00AF0282">
      <w:p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Each ESP is required to calculate its own confidential GHG Emissions Benchmark based on its 2030 load share within the host EDU’s territory</w:t>
      </w:r>
      <w:r w:rsidR="001F71BA">
        <w:rPr>
          <w:rFonts w:asciiTheme="minorHAnsi" w:eastAsiaTheme="minorHAnsi" w:hAnsiTheme="minorHAnsi" w:cstheme="minorBidi"/>
          <w:i/>
          <w:sz w:val="22"/>
          <w:szCs w:val="22"/>
        </w:rPr>
        <w:t xml:space="preserve">, consistent with </w:t>
      </w:r>
      <w:r w:rsidR="001F71BA" w:rsidRPr="001F71BA">
        <w:rPr>
          <w:rFonts w:asciiTheme="minorHAnsi" w:eastAsiaTheme="minorHAnsi" w:hAnsiTheme="minorHAnsi" w:cstheme="minorBidi"/>
          <w:i/>
          <w:sz w:val="22"/>
          <w:szCs w:val="22"/>
        </w:rPr>
        <w:t xml:space="preserve">instructions </w:t>
      </w:r>
      <w:r w:rsidR="001F71BA">
        <w:rPr>
          <w:rFonts w:asciiTheme="minorHAnsi" w:eastAsiaTheme="minorHAnsi" w:hAnsiTheme="minorHAnsi" w:cstheme="minorBidi"/>
          <w:i/>
          <w:sz w:val="22"/>
          <w:szCs w:val="22"/>
        </w:rPr>
        <w:t>provided in D.18-02-018</w:t>
      </w:r>
      <w:r w:rsidRPr="00D6564C">
        <w:rPr>
          <w:rFonts w:asciiTheme="minorHAnsi" w:eastAsiaTheme="minorHAnsi" w:hAnsiTheme="minorHAnsi" w:cstheme="minorBidi"/>
          <w:i/>
          <w:sz w:val="22"/>
          <w:szCs w:val="22"/>
        </w:rPr>
        <w:t>. For ESPs that serve load in more than one IOU service territory, those ESPs should add up the separate GHG Emissions Benchmarks calculated based on its share of direct access load for each IOU service territory to result in a single benchmark.</w:t>
      </w:r>
    </w:p>
    <w:p w:rsidR="00853F2F" w:rsidRPr="00D6564C" w:rsidRDefault="00853F2F" w:rsidP="00AF0282">
      <w:pPr>
        <w:spacing w:after="120" w:line="276" w:lineRule="auto"/>
        <w:rPr>
          <w:rFonts w:asciiTheme="minorHAnsi" w:eastAsiaTheme="minorHAnsi" w:hAnsiTheme="minorHAnsi" w:cstheme="minorBidi"/>
          <w:i/>
          <w:sz w:val="22"/>
          <w:szCs w:val="22"/>
        </w:rPr>
      </w:pPr>
    </w:p>
    <w:p w:rsidR="00AF0282" w:rsidRPr="00D6564C" w:rsidRDefault="00AF0282" w:rsidP="00AF0282">
      <w:pPr>
        <w:spacing w:after="200" w:line="276" w:lineRule="auto"/>
        <w:rPr>
          <w:rFonts w:asciiTheme="minorHAnsi" w:eastAsiaTheme="minorHAnsi" w:hAnsiTheme="minorHAnsi" w:cstheme="minorBidi"/>
          <w:i/>
          <w:sz w:val="22"/>
          <w:szCs w:val="22"/>
          <w:u w:val="single"/>
        </w:rPr>
      </w:pPr>
      <w:r w:rsidRPr="00D6564C">
        <w:rPr>
          <w:rFonts w:asciiTheme="minorHAnsi" w:eastAsiaTheme="minorHAnsi" w:hAnsiTheme="minorHAnsi" w:cstheme="minorBidi"/>
          <w:b/>
          <w:i/>
          <w:sz w:val="22"/>
          <w:szCs w:val="22"/>
          <w:u w:val="single"/>
        </w:rPr>
        <w:t>GHG Accounting in IRP Planning</w:t>
      </w:r>
    </w:p>
    <w:p w:rsidR="001C110E" w:rsidRPr="00D6564C" w:rsidRDefault="001F71BA" w:rsidP="00AF0282">
      <w:pPr>
        <w:spacing w:after="120" w:line="276"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LSEs should use the </w:t>
      </w:r>
      <w:r w:rsidRPr="001F71BA">
        <w:rPr>
          <w:rFonts w:asciiTheme="minorHAnsi" w:eastAsiaTheme="minorHAnsi" w:hAnsiTheme="minorHAnsi" w:cstheme="minorBidi"/>
          <w:i/>
          <w:sz w:val="22"/>
          <w:szCs w:val="22"/>
        </w:rPr>
        <w:t>Clean Net Short Methodology</w:t>
      </w:r>
      <w:r>
        <w:rPr>
          <w:rFonts w:asciiTheme="minorHAnsi" w:eastAsiaTheme="minorHAnsi" w:hAnsiTheme="minorHAnsi" w:cstheme="minorBidi"/>
          <w:i/>
          <w:sz w:val="22"/>
          <w:szCs w:val="22"/>
        </w:rPr>
        <w:t xml:space="preserve"> and calculator tool for GHG accounting</w:t>
      </w:r>
      <w:r w:rsidR="00F737E9">
        <w:rPr>
          <w:rFonts w:ascii="Calibri" w:eastAsia="Calibri" w:hAnsi="Calibri" w:cs="Calibri"/>
          <w:i/>
          <w:sz w:val="22"/>
          <w:szCs w:val="22"/>
        </w:rPr>
        <w:t>.</w:t>
      </w:r>
    </w:p>
    <w:p w:rsidR="00AF0282" w:rsidRPr="00D6564C" w:rsidRDefault="00AF0282" w:rsidP="00AF0282">
      <w:pPr>
        <w:keepNext/>
        <w:keepLines/>
        <w:numPr>
          <w:ilvl w:val="1"/>
          <w:numId w:val="1"/>
        </w:numPr>
        <w:spacing w:before="480" w:after="240" w:line="276" w:lineRule="auto"/>
        <w:ind w:left="864" w:hanging="504"/>
        <w:outlineLvl w:val="1"/>
        <w:rPr>
          <w:rFonts w:asciiTheme="majorHAnsi" w:eastAsiaTheme="majorEastAsia" w:hAnsiTheme="majorHAnsi" w:cstheme="majorBidi"/>
          <w:b/>
          <w:bCs/>
          <w:sz w:val="24"/>
          <w:szCs w:val="28"/>
        </w:rPr>
      </w:pPr>
      <w:bookmarkStart w:id="5" w:name="_Toc500329342"/>
      <w:bookmarkStart w:id="6" w:name="_Toc500430338"/>
      <w:bookmarkStart w:id="7" w:name="_Toc501375920"/>
      <w:bookmarkEnd w:id="5"/>
      <w:bookmarkEnd w:id="6"/>
      <w:r w:rsidRPr="00D6564C">
        <w:rPr>
          <w:rFonts w:asciiTheme="majorHAnsi" w:eastAsiaTheme="majorEastAsia" w:hAnsiTheme="majorHAnsi" w:cstheme="majorBidi"/>
          <w:b/>
          <w:bCs/>
          <w:sz w:val="24"/>
          <w:szCs w:val="28"/>
        </w:rPr>
        <w:t>Objectives</w:t>
      </w:r>
      <w:bookmarkEnd w:id="7"/>
    </w:p>
    <w:p w:rsidR="00AF0282" w:rsidRPr="00D6564C"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Provide a description of the LSE’s objectives for the analytical work it is documenting in the IRP.</w:t>
      </w:r>
    </w:p>
    <w:p w:rsidR="00AF0282" w:rsidRPr="00D6564C" w:rsidRDefault="00AF0282" w:rsidP="00AF0282">
      <w:pPr>
        <w:keepNext/>
        <w:keepLines/>
        <w:numPr>
          <w:ilvl w:val="1"/>
          <w:numId w:val="1"/>
        </w:numPr>
        <w:spacing w:before="480" w:after="240" w:line="276" w:lineRule="auto"/>
        <w:ind w:left="864" w:hanging="504"/>
        <w:outlineLvl w:val="1"/>
        <w:rPr>
          <w:rFonts w:asciiTheme="majorHAnsi" w:eastAsiaTheme="majorEastAsia" w:hAnsiTheme="majorHAnsi" w:cstheme="majorBidi"/>
          <w:b/>
          <w:bCs/>
          <w:sz w:val="24"/>
          <w:szCs w:val="28"/>
        </w:rPr>
      </w:pPr>
      <w:bookmarkStart w:id="8" w:name="_Toc501375921"/>
      <w:r w:rsidRPr="00D6564C">
        <w:rPr>
          <w:rFonts w:asciiTheme="majorHAnsi" w:eastAsiaTheme="majorEastAsia" w:hAnsiTheme="majorHAnsi" w:cstheme="majorBidi"/>
          <w:b/>
          <w:bCs/>
          <w:sz w:val="24"/>
          <w:szCs w:val="28"/>
        </w:rPr>
        <w:lastRenderedPageBreak/>
        <w:t>Methodology</w:t>
      </w:r>
      <w:bookmarkEnd w:id="8"/>
    </w:p>
    <w:p w:rsidR="00AF0282" w:rsidRPr="00D6564C" w:rsidRDefault="00AF0282" w:rsidP="00AF0282">
      <w:pPr>
        <w:keepNext/>
        <w:keepLines/>
        <w:numPr>
          <w:ilvl w:val="2"/>
          <w:numId w:val="1"/>
        </w:numPr>
        <w:spacing w:before="480" w:after="240" w:line="276" w:lineRule="auto"/>
        <w:ind w:left="1584"/>
        <w:outlineLvl w:val="2"/>
        <w:rPr>
          <w:rFonts w:asciiTheme="majorHAnsi" w:eastAsiaTheme="majorEastAsia" w:hAnsiTheme="majorHAnsi" w:cstheme="majorBidi"/>
          <w:b/>
          <w:bCs/>
          <w:sz w:val="22"/>
          <w:szCs w:val="28"/>
        </w:rPr>
      </w:pPr>
      <w:bookmarkStart w:id="9" w:name="_Toc500329345"/>
      <w:bookmarkStart w:id="10" w:name="_Toc500430341"/>
      <w:bookmarkStart w:id="11" w:name="_Toc500329346"/>
      <w:bookmarkStart w:id="12" w:name="_Toc500430342"/>
      <w:bookmarkStart w:id="13" w:name="_Toc501375922"/>
      <w:bookmarkEnd w:id="9"/>
      <w:bookmarkEnd w:id="10"/>
      <w:bookmarkEnd w:id="11"/>
      <w:bookmarkEnd w:id="12"/>
      <w:r w:rsidRPr="00D6564C">
        <w:rPr>
          <w:rFonts w:asciiTheme="majorHAnsi" w:eastAsiaTheme="majorEastAsia" w:hAnsiTheme="majorHAnsi" w:cstheme="majorBidi"/>
          <w:b/>
          <w:bCs/>
          <w:sz w:val="22"/>
          <w:szCs w:val="28"/>
        </w:rPr>
        <w:t>Modeling Tool(s)</w:t>
      </w:r>
      <w:bookmarkEnd w:id="13"/>
    </w:p>
    <w:p w:rsidR="00AF0282" w:rsidRPr="00D6564C" w:rsidRDefault="00AF0282" w:rsidP="00AF0282">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Name all modeling software used by LSE to develop its IRP, if any, and include the vendor and version number. Provide an explanation of differences between the LSE’s modeling tool and RESOLVE, and an explanation of how those differences should be considered during evaluation of the LSE’s portfolio(s).</w:t>
      </w:r>
    </w:p>
    <w:p w:rsidR="00AF0282" w:rsidRPr="00D6564C" w:rsidRDefault="00AF0282" w:rsidP="00AF0282">
      <w:pPr>
        <w:keepNext/>
        <w:keepLines/>
        <w:numPr>
          <w:ilvl w:val="2"/>
          <w:numId w:val="1"/>
        </w:numPr>
        <w:spacing w:before="480" w:after="240" w:line="276" w:lineRule="auto"/>
        <w:ind w:left="1584"/>
        <w:outlineLvl w:val="2"/>
        <w:rPr>
          <w:rFonts w:asciiTheme="majorHAnsi" w:eastAsiaTheme="majorEastAsia" w:hAnsiTheme="majorHAnsi" w:cstheme="majorBidi"/>
          <w:b/>
          <w:bCs/>
          <w:sz w:val="22"/>
          <w:szCs w:val="28"/>
        </w:rPr>
      </w:pPr>
      <w:bookmarkStart w:id="14" w:name="_Toc501375923"/>
      <w:r w:rsidRPr="00D6564C">
        <w:rPr>
          <w:rFonts w:asciiTheme="majorHAnsi" w:eastAsiaTheme="majorEastAsia" w:hAnsiTheme="majorHAnsi" w:cstheme="majorBidi"/>
          <w:b/>
          <w:bCs/>
          <w:sz w:val="22"/>
          <w:szCs w:val="28"/>
        </w:rPr>
        <w:t>Modeling Approach</w:t>
      </w:r>
      <w:bookmarkEnd w:id="14"/>
    </w:p>
    <w:p w:rsidR="00AF0282" w:rsidRPr="00D6564C" w:rsidRDefault="00AF0282" w:rsidP="00AF0282">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Describe the LSE’s overall approach to developing the scenarios it evaluated, and explain why each scenario was considered. Also describe any calculations, including post-processing calculations, used to generate metrics for portfolio analysis. </w:t>
      </w:r>
    </w:p>
    <w:p w:rsidR="00AF0282" w:rsidRPr="00D6564C" w:rsidRDefault="00AF0282" w:rsidP="00AF0282">
      <w:pPr>
        <w:keepNext/>
        <w:keepLines/>
        <w:numPr>
          <w:ilvl w:val="2"/>
          <w:numId w:val="1"/>
        </w:numPr>
        <w:spacing w:before="480" w:after="240" w:line="276" w:lineRule="auto"/>
        <w:ind w:left="1584"/>
        <w:outlineLvl w:val="2"/>
        <w:rPr>
          <w:rFonts w:asciiTheme="majorHAnsi" w:eastAsiaTheme="majorEastAsia" w:hAnsiTheme="majorHAnsi" w:cstheme="majorBidi"/>
          <w:b/>
          <w:bCs/>
          <w:sz w:val="22"/>
          <w:szCs w:val="28"/>
        </w:rPr>
      </w:pPr>
      <w:bookmarkStart w:id="15" w:name="_Toc500329349"/>
      <w:bookmarkStart w:id="16" w:name="_Toc500430345"/>
      <w:bookmarkStart w:id="17" w:name="_Toc501375924"/>
      <w:bookmarkEnd w:id="15"/>
      <w:bookmarkEnd w:id="16"/>
      <w:r w:rsidRPr="00D6564C">
        <w:rPr>
          <w:rFonts w:asciiTheme="majorHAnsi" w:eastAsiaTheme="majorEastAsia" w:hAnsiTheme="majorHAnsi" w:cstheme="majorBidi"/>
          <w:b/>
          <w:bCs/>
          <w:sz w:val="22"/>
          <w:szCs w:val="28"/>
        </w:rPr>
        <w:t>Assumptions</w:t>
      </w:r>
      <w:bookmarkEnd w:id="17"/>
    </w:p>
    <w:p w:rsidR="00AF0282" w:rsidRDefault="00AF0282" w:rsidP="00F737E9">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Describe any inputs or assumptions used by the LSE that differ from the corresponding assumption used by the Commission to prepare the Reference System Plan.  Each differing assumption must include a rationale for use of this assumption and any intermediate calculations used to develop the assumption and source data with citations. Include a side-by-side comparison of the original assumption data from the Reference System Plan and the LSE’s differing assumption data.  </w:t>
      </w:r>
      <w:proofErr w:type="gramStart"/>
      <w:r w:rsidRPr="00D6564C">
        <w:rPr>
          <w:rFonts w:asciiTheme="minorHAnsi" w:eastAsiaTheme="minorHAnsi" w:hAnsiTheme="minorHAnsi" w:cstheme="minorBidi"/>
          <w:i/>
          <w:sz w:val="22"/>
          <w:szCs w:val="22"/>
        </w:rPr>
        <w:t>Report data according to the requirements in the Data section below.</w:t>
      </w:r>
      <w:proofErr w:type="gramEnd"/>
    </w:p>
    <w:p w:rsidR="007C0056" w:rsidRPr="00F737E9" w:rsidRDefault="007C0056" w:rsidP="00F737E9">
      <w:pPr>
        <w:spacing w:after="200" w:line="276" w:lineRule="auto"/>
        <w:ind w:left="900"/>
        <w:rPr>
          <w:rFonts w:asciiTheme="minorHAnsi" w:eastAsiaTheme="minorHAnsi" w:hAnsiTheme="minorHAnsi" w:cstheme="minorBidi"/>
          <w:i/>
          <w:sz w:val="22"/>
          <w:szCs w:val="22"/>
        </w:rPr>
      </w:pPr>
    </w:p>
    <w:p w:rsidR="00AF0282" w:rsidRPr="00D6564C" w:rsidRDefault="00AF0282" w:rsidP="00AF0282">
      <w:pPr>
        <w:keepNext/>
        <w:keepLines/>
        <w:numPr>
          <w:ilvl w:val="0"/>
          <w:numId w:val="1"/>
        </w:numPr>
        <w:spacing w:before="480" w:after="240" w:line="276" w:lineRule="auto"/>
        <w:ind w:left="360"/>
        <w:outlineLvl w:val="0"/>
        <w:rPr>
          <w:rFonts w:asciiTheme="majorHAnsi" w:eastAsiaTheme="majorEastAsia" w:hAnsiTheme="majorHAnsi" w:cstheme="majorBidi"/>
          <w:b/>
          <w:bCs/>
          <w:sz w:val="28"/>
          <w:szCs w:val="28"/>
        </w:rPr>
      </w:pPr>
      <w:bookmarkStart w:id="18" w:name="_Toc501375925"/>
      <w:r w:rsidRPr="00D6564C">
        <w:rPr>
          <w:rFonts w:asciiTheme="majorHAnsi" w:eastAsiaTheme="majorEastAsia" w:hAnsiTheme="majorHAnsi" w:cstheme="majorBidi"/>
          <w:b/>
          <w:bCs/>
          <w:sz w:val="28"/>
          <w:szCs w:val="28"/>
        </w:rPr>
        <w:t>Study Results</w:t>
      </w:r>
      <w:bookmarkEnd w:id="18"/>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Use this section to present the results of the analytical work described in Section 2: Study Design.</w:t>
      </w:r>
    </w:p>
    <w:p w:rsidR="00AF0282" w:rsidRPr="00D6564C" w:rsidRDefault="00AF0282" w:rsidP="00AF0282">
      <w:pPr>
        <w:keepNext/>
        <w:keepLines/>
        <w:numPr>
          <w:ilvl w:val="1"/>
          <w:numId w:val="1"/>
        </w:numPr>
        <w:spacing w:before="480" w:after="240" w:line="276" w:lineRule="auto"/>
        <w:ind w:left="864" w:hanging="504"/>
        <w:outlineLvl w:val="1"/>
        <w:rPr>
          <w:rFonts w:asciiTheme="majorHAnsi" w:eastAsiaTheme="majorEastAsia" w:hAnsiTheme="majorHAnsi" w:cstheme="majorBidi"/>
          <w:b/>
          <w:bCs/>
          <w:sz w:val="24"/>
          <w:szCs w:val="28"/>
        </w:rPr>
      </w:pPr>
      <w:bookmarkStart w:id="19" w:name="_Toc501375926"/>
      <w:r w:rsidRPr="00D6564C">
        <w:rPr>
          <w:rFonts w:asciiTheme="majorHAnsi" w:eastAsiaTheme="majorEastAsia" w:hAnsiTheme="majorHAnsi" w:cstheme="majorBidi"/>
          <w:b/>
          <w:bCs/>
          <w:sz w:val="24"/>
          <w:szCs w:val="28"/>
        </w:rPr>
        <w:t>Portfolio Results</w:t>
      </w:r>
      <w:bookmarkEnd w:id="19"/>
    </w:p>
    <w:p w:rsidR="00AF0282" w:rsidRPr="00D6564C" w:rsidRDefault="00AF0282" w:rsidP="00AF0282">
      <w:pPr>
        <w:spacing w:after="12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Provide a list of all portfolios developed. Each portfolio’s content must be itemized in the Data Template Excel workbooks referenced below. A portfolio clearly identifies:</w:t>
      </w:r>
    </w:p>
    <w:p w:rsidR="00AF0282" w:rsidRPr="00D6564C" w:rsidRDefault="00AF0282" w:rsidP="00F737E9">
      <w:pPr>
        <w:numPr>
          <w:ilvl w:val="0"/>
          <w:numId w:val="4"/>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New resources that the LSE plans to invest in.</w:t>
      </w:r>
      <w:r w:rsidR="00DD052F">
        <w:rPr>
          <w:rFonts w:asciiTheme="minorHAnsi" w:eastAsiaTheme="minorHAnsi" w:hAnsiTheme="minorHAnsi" w:cstheme="minorBidi"/>
          <w:i/>
          <w:sz w:val="22"/>
          <w:szCs w:val="22"/>
        </w:rPr>
        <w:t xml:space="preserve">  </w:t>
      </w:r>
      <w:r w:rsidR="00864CF7">
        <w:rPr>
          <w:rFonts w:asciiTheme="minorHAnsi" w:eastAsiaTheme="minorHAnsi" w:hAnsiTheme="minorHAnsi" w:cstheme="minorBidi"/>
          <w:i/>
          <w:sz w:val="22"/>
          <w:szCs w:val="22"/>
        </w:rPr>
        <w:t>This d</w:t>
      </w:r>
      <w:r w:rsidR="00DD052F">
        <w:rPr>
          <w:rFonts w:asciiTheme="minorHAnsi" w:eastAsiaTheme="minorHAnsi" w:hAnsiTheme="minorHAnsi" w:cstheme="minorBidi"/>
          <w:i/>
          <w:sz w:val="22"/>
          <w:szCs w:val="22"/>
        </w:rPr>
        <w:t>oes not include future contracts with existing resources.</w:t>
      </w:r>
    </w:p>
    <w:p w:rsidR="00AF0282" w:rsidRPr="00D6564C" w:rsidRDefault="00AF0282" w:rsidP="00864CF7">
      <w:pPr>
        <w:numPr>
          <w:ilvl w:val="0"/>
          <w:numId w:val="4"/>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lastRenderedPageBreak/>
        <w:t>Existing resources that the LSE owns or contracts with</w:t>
      </w:r>
      <w:r w:rsidR="00DD052F">
        <w:rPr>
          <w:rFonts w:asciiTheme="minorHAnsi" w:eastAsiaTheme="minorHAnsi" w:hAnsiTheme="minorHAnsi" w:cstheme="minorBidi"/>
          <w:i/>
          <w:sz w:val="22"/>
          <w:szCs w:val="22"/>
        </w:rPr>
        <w:t xml:space="preserve">. </w:t>
      </w:r>
      <w:r w:rsidR="00864CF7">
        <w:rPr>
          <w:rFonts w:asciiTheme="minorHAnsi" w:eastAsiaTheme="minorHAnsi" w:hAnsiTheme="minorHAnsi" w:cstheme="minorBidi"/>
          <w:i/>
          <w:sz w:val="22"/>
          <w:szCs w:val="22"/>
        </w:rPr>
        <w:t>This</w:t>
      </w:r>
      <w:r w:rsidR="00DD052F">
        <w:rPr>
          <w:rFonts w:asciiTheme="minorHAnsi" w:eastAsiaTheme="minorHAnsi" w:hAnsiTheme="minorHAnsi" w:cstheme="minorBidi"/>
          <w:i/>
          <w:sz w:val="22"/>
          <w:szCs w:val="22"/>
        </w:rPr>
        <w:t xml:space="preserve"> includes future contracts with existing resources</w:t>
      </w:r>
      <w:r w:rsidRPr="00D6564C">
        <w:rPr>
          <w:rFonts w:asciiTheme="minorHAnsi" w:eastAsiaTheme="minorHAnsi" w:hAnsiTheme="minorHAnsi" w:cstheme="minorBidi"/>
          <w:i/>
          <w:sz w:val="22"/>
          <w:szCs w:val="22"/>
        </w:rPr>
        <w:t>.</w:t>
      </w:r>
      <w:r w:rsidR="00864CF7">
        <w:rPr>
          <w:rFonts w:asciiTheme="minorHAnsi" w:eastAsiaTheme="minorHAnsi" w:hAnsiTheme="minorHAnsi" w:cstheme="minorBidi"/>
          <w:i/>
          <w:sz w:val="22"/>
          <w:szCs w:val="22"/>
        </w:rPr>
        <w:t xml:space="preserve"> Existing resources are those </w:t>
      </w:r>
      <w:r w:rsidR="00864CF7" w:rsidRPr="00864CF7">
        <w:rPr>
          <w:rFonts w:asciiTheme="minorHAnsi" w:eastAsiaTheme="minorHAnsi" w:hAnsiTheme="minorHAnsi" w:cstheme="minorBidi"/>
          <w:i/>
          <w:sz w:val="22"/>
          <w:szCs w:val="22"/>
        </w:rPr>
        <w:t>on the 3/15/2018 NQC List</w:t>
      </w:r>
      <w:r w:rsidR="009A3883">
        <w:rPr>
          <w:rFonts w:asciiTheme="minorHAnsi" w:eastAsiaTheme="minorHAnsi" w:hAnsiTheme="minorHAnsi" w:cstheme="minorBidi"/>
          <w:i/>
          <w:sz w:val="22"/>
          <w:szCs w:val="22"/>
        </w:rPr>
        <w:t>,</w:t>
      </w:r>
      <w:r w:rsidR="00864CF7">
        <w:rPr>
          <w:rStyle w:val="FootnoteReference"/>
          <w:rFonts w:asciiTheme="minorHAnsi" w:eastAsiaTheme="minorHAnsi" w:hAnsiTheme="minorHAnsi" w:cstheme="minorBidi"/>
          <w:i/>
          <w:szCs w:val="22"/>
        </w:rPr>
        <w:footnoteReference w:id="2"/>
      </w:r>
      <w:r w:rsidR="009A3883">
        <w:rPr>
          <w:rFonts w:asciiTheme="minorHAnsi" w:eastAsiaTheme="minorHAnsi" w:hAnsiTheme="minorHAnsi" w:cstheme="minorBidi"/>
          <w:i/>
          <w:sz w:val="22"/>
          <w:szCs w:val="22"/>
        </w:rPr>
        <w:t xml:space="preserve"> </w:t>
      </w:r>
      <w:r w:rsidR="00864CF7" w:rsidRPr="00864CF7">
        <w:rPr>
          <w:rFonts w:asciiTheme="minorHAnsi" w:eastAsiaTheme="minorHAnsi" w:hAnsiTheme="minorHAnsi" w:cstheme="minorBidi"/>
          <w:i/>
          <w:sz w:val="22"/>
          <w:szCs w:val="22"/>
        </w:rPr>
        <w:t>or projects not yet online but that have secured a contract and may therefore be identified in the Commission’s RPS Contracts Database or an Application filed at the Commission, as of January 1, 2018.</w:t>
      </w:r>
    </w:p>
    <w:p w:rsidR="00AF0282" w:rsidRPr="00D6564C" w:rsidRDefault="00AF0282" w:rsidP="00AF0282">
      <w:pPr>
        <w:spacing w:after="12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Each LSE must produce a Conforming Portfolio. Alternative Portfolios are also permitted, provided that any deviations from the Conforming Portfolio are explained and justified. The LSE will identify one portfolio as its Preferred Portfolio.</w:t>
      </w:r>
    </w:p>
    <w:p w:rsidR="00AF0282" w:rsidRPr="00D6564C" w:rsidRDefault="00AF0282" w:rsidP="00AF0282">
      <w:pPr>
        <w:keepNext/>
        <w:keepLines/>
        <w:numPr>
          <w:ilvl w:val="1"/>
          <w:numId w:val="1"/>
        </w:numPr>
        <w:spacing w:before="480" w:after="240" w:line="276" w:lineRule="auto"/>
        <w:ind w:left="864" w:hanging="504"/>
        <w:outlineLvl w:val="1"/>
        <w:rPr>
          <w:rFonts w:asciiTheme="majorHAnsi" w:eastAsiaTheme="majorEastAsia" w:hAnsiTheme="majorHAnsi" w:cstheme="majorBidi"/>
          <w:b/>
          <w:bCs/>
          <w:sz w:val="24"/>
          <w:szCs w:val="28"/>
        </w:rPr>
      </w:pPr>
      <w:bookmarkStart w:id="20" w:name="_Toc501375927"/>
      <w:r w:rsidRPr="00D6564C">
        <w:rPr>
          <w:rFonts w:asciiTheme="majorHAnsi" w:eastAsiaTheme="majorEastAsia" w:hAnsiTheme="majorHAnsi" w:cstheme="majorBidi"/>
          <w:b/>
          <w:bCs/>
          <w:sz w:val="24"/>
          <w:szCs w:val="28"/>
        </w:rPr>
        <w:t xml:space="preserve">Preferred </w:t>
      </w:r>
      <w:bookmarkEnd w:id="20"/>
      <w:r w:rsidR="00F737E9">
        <w:rPr>
          <w:rFonts w:ascii="Cambria" w:eastAsia="Cambria" w:hAnsi="Cambria" w:cs="Cambria"/>
          <w:b/>
          <w:sz w:val="24"/>
          <w:szCs w:val="24"/>
        </w:rPr>
        <w:t>and Conforming Port</w:t>
      </w:r>
      <w:r w:rsidR="00F737E9">
        <w:rPr>
          <w:rFonts w:ascii="Cambria" w:eastAsia="Cambria" w:hAnsi="Cambria" w:cs="Cambria"/>
          <w:b/>
          <w:spacing w:val="1"/>
          <w:sz w:val="24"/>
          <w:szCs w:val="24"/>
        </w:rPr>
        <w:t>f</w:t>
      </w:r>
      <w:r w:rsidR="00F737E9">
        <w:rPr>
          <w:rFonts w:ascii="Cambria" w:eastAsia="Cambria" w:hAnsi="Cambria" w:cs="Cambria"/>
          <w:b/>
          <w:sz w:val="24"/>
          <w:szCs w:val="24"/>
        </w:rPr>
        <w:t>ol</w:t>
      </w:r>
      <w:r w:rsidR="00F737E9">
        <w:rPr>
          <w:rFonts w:ascii="Cambria" w:eastAsia="Cambria" w:hAnsi="Cambria" w:cs="Cambria"/>
          <w:b/>
          <w:spacing w:val="-1"/>
          <w:sz w:val="24"/>
          <w:szCs w:val="24"/>
        </w:rPr>
        <w:t>i</w:t>
      </w:r>
      <w:r w:rsidR="00F737E9">
        <w:rPr>
          <w:rFonts w:ascii="Cambria" w:eastAsia="Cambria" w:hAnsi="Cambria" w:cs="Cambria"/>
          <w:b/>
          <w:sz w:val="24"/>
          <w:szCs w:val="24"/>
        </w:rPr>
        <w:t>os</w:t>
      </w:r>
    </w:p>
    <w:p w:rsidR="001F71BA" w:rsidRDefault="00AF0282" w:rsidP="00916BEF">
      <w:pPr>
        <w:spacing w:after="200" w:line="276" w:lineRule="auto"/>
        <w:ind w:left="360"/>
        <w:rPr>
          <w:rFonts w:ascii="Calibri" w:eastAsia="Calibri" w:hAnsi="Calibri" w:cs="Calibri"/>
          <w:i/>
          <w:sz w:val="22"/>
          <w:szCs w:val="22"/>
        </w:rPr>
      </w:pPr>
      <w:r w:rsidRPr="00D6564C">
        <w:rPr>
          <w:rFonts w:asciiTheme="minorHAnsi" w:eastAsiaTheme="minorHAnsi" w:hAnsiTheme="minorHAnsi" w:cstheme="minorBidi"/>
          <w:i/>
          <w:sz w:val="22"/>
          <w:szCs w:val="22"/>
        </w:rPr>
        <w:t xml:space="preserve">Describe the portfolio the LSE prefers to use for planning purposes </w:t>
      </w:r>
      <w:r w:rsidR="00F737E9">
        <w:rPr>
          <w:rFonts w:ascii="Calibri" w:eastAsia="Calibri" w:hAnsi="Calibri" w:cs="Calibri"/>
          <w:i/>
          <w:sz w:val="22"/>
          <w:szCs w:val="22"/>
        </w:rPr>
        <w:t>(i.e., Preferred Portfolio)</w:t>
      </w:r>
      <w:r w:rsidR="00F737E9">
        <w:rPr>
          <w:rFonts w:ascii="Calibri" w:eastAsia="Calibri" w:hAnsi="Calibri" w:cs="Calibri"/>
          <w:i/>
          <w:spacing w:val="1"/>
          <w:sz w:val="22"/>
          <w:szCs w:val="22"/>
        </w:rPr>
        <w:t xml:space="preserve"> </w:t>
      </w:r>
      <w:r w:rsidRPr="00D6564C">
        <w:rPr>
          <w:rFonts w:asciiTheme="minorHAnsi" w:eastAsiaTheme="minorHAnsi" w:hAnsiTheme="minorHAnsi" w:cstheme="minorBidi"/>
          <w:i/>
          <w:sz w:val="22"/>
          <w:szCs w:val="22"/>
        </w:rPr>
        <w:t>and for which LSE seeks Commission approval or certification. Explain the reasons for the LSE’s preference and how its Preferred Plan is consistent with each relevant statutory and administrative requirement (refer to PU Code Section 454.52(a</w:t>
      </w:r>
      <w:proofErr w:type="gramStart"/>
      <w:r w:rsidRPr="00D6564C">
        <w:rPr>
          <w:rFonts w:asciiTheme="minorHAnsi" w:eastAsiaTheme="minorHAnsi" w:hAnsiTheme="minorHAnsi" w:cstheme="minorBidi"/>
          <w:i/>
          <w:sz w:val="22"/>
          <w:szCs w:val="22"/>
        </w:rPr>
        <w:t>)(</w:t>
      </w:r>
      <w:proofErr w:type="gramEnd"/>
      <w:r w:rsidRPr="00D6564C">
        <w:rPr>
          <w:rFonts w:asciiTheme="minorHAnsi" w:eastAsiaTheme="minorHAnsi" w:hAnsiTheme="minorHAnsi" w:cstheme="minorBidi"/>
          <w:i/>
          <w:sz w:val="22"/>
          <w:szCs w:val="22"/>
        </w:rPr>
        <w:t>1)).</w:t>
      </w:r>
      <w:r w:rsidRPr="00D6564C">
        <w:rPr>
          <w:rFonts w:asciiTheme="minorHAnsi" w:eastAsiaTheme="minorHAnsi" w:hAnsiTheme="minorHAnsi" w:cstheme="minorBidi"/>
          <w:sz w:val="22"/>
          <w:szCs w:val="22"/>
        </w:rPr>
        <w:t xml:space="preserve"> </w:t>
      </w:r>
      <w:r w:rsidRPr="00D6564C">
        <w:rPr>
          <w:rFonts w:asciiTheme="minorHAnsi" w:eastAsiaTheme="minorHAnsi" w:hAnsiTheme="minorHAnsi" w:cstheme="minorBidi"/>
          <w:i/>
          <w:sz w:val="22"/>
          <w:szCs w:val="22"/>
        </w:rPr>
        <w:t>In providing its rationale, the LSE should assume that other LSEs procure in a manner consistent with the Reference System Plan.</w:t>
      </w:r>
      <w:r w:rsidR="001F71BA">
        <w:rPr>
          <w:rFonts w:asciiTheme="minorHAnsi" w:eastAsiaTheme="minorHAnsi" w:hAnsiTheme="minorHAnsi" w:cstheme="minorBidi"/>
          <w:i/>
          <w:sz w:val="22"/>
          <w:szCs w:val="22"/>
        </w:rPr>
        <w:t xml:space="preserve"> </w:t>
      </w:r>
    </w:p>
    <w:p w:rsidR="001F71BA" w:rsidRDefault="00F737E9" w:rsidP="00916BEF">
      <w:pPr>
        <w:spacing w:after="200" w:line="276" w:lineRule="auto"/>
        <w:ind w:left="360"/>
        <w:rPr>
          <w:rFonts w:ascii="Calibri" w:eastAsia="Calibri" w:hAnsi="Calibri" w:cs="Calibri"/>
          <w:i/>
          <w:sz w:val="22"/>
          <w:szCs w:val="22"/>
        </w:rPr>
      </w:pPr>
      <w:r>
        <w:rPr>
          <w:rFonts w:ascii="Calibri" w:eastAsia="Calibri" w:hAnsi="Calibri" w:cs="Calibri"/>
          <w:i/>
          <w:sz w:val="22"/>
          <w:szCs w:val="22"/>
        </w:rPr>
        <w:t>If an</w:t>
      </w:r>
      <w:r w:rsidRPr="00D0255D">
        <w:rPr>
          <w:rFonts w:ascii="Calibri" w:eastAsia="Calibri" w:hAnsi="Calibri" w:cs="Calibri"/>
          <w:i/>
          <w:sz w:val="22"/>
          <w:szCs w:val="22"/>
        </w:rPr>
        <w:t xml:space="preserve"> LSE chooses the Conforming Portfolio as its Preferred Portfolio, the reporting requirements for those portfolios are one and the same</w:t>
      </w:r>
      <w:r>
        <w:rPr>
          <w:rFonts w:ascii="Calibri" w:eastAsia="Calibri" w:hAnsi="Calibri" w:cs="Calibri"/>
          <w:i/>
          <w:sz w:val="22"/>
          <w:szCs w:val="22"/>
        </w:rPr>
        <w:t>.</w:t>
      </w:r>
    </w:p>
    <w:p w:rsidR="00F737E9" w:rsidRPr="00F737E9" w:rsidRDefault="00F737E9" w:rsidP="00916BEF">
      <w:pPr>
        <w:spacing w:after="200" w:line="276" w:lineRule="auto"/>
        <w:ind w:left="360"/>
        <w:rPr>
          <w:rFonts w:ascii="Calibri" w:eastAsia="Calibri" w:hAnsi="Calibri" w:cs="Calibri"/>
          <w:i/>
          <w:sz w:val="22"/>
          <w:szCs w:val="22"/>
        </w:rPr>
      </w:pPr>
      <w:r>
        <w:rPr>
          <w:rFonts w:ascii="Calibri" w:eastAsia="Calibri" w:hAnsi="Calibri" w:cs="Calibri"/>
          <w:i/>
          <w:sz w:val="22"/>
          <w:szCs w:val="22"/>
        </w:rPr>
        <w:t>However, if an</w:t>
      </w:r>
      <w:r w:rsidRPr="00F737E9">
        <w:rPr>
          <w:rFonts w:ascii="Calibri" w:eastAsia="Calibri" w:hAnsi="Calibri" w:cs="Calibri"/>
          <w:i/>
          <w:sz w:val="22"/>
          <w:szCs w:val="22"/>
        </w:rPr>
        <w:t xml:space="preserve"> LSE chooses an Alternative Portfolio as its Preferred Portfolio, because an LSE is required to explain and justify any deviations between its Preferred Portfolio and its Conforming Portfolio, the LSE is expected to provide all information requested in Sections 3, 4, and 5 for both portfolios. In other words, the LSE should present the results for two portfolios, provide evidence showing how both portfolios minimize localized air pollutants and how it will affect the costs for its customers, and provide an action plan associated with both portfolios.</w:t>
      </w:r>
      <w:r>
        <w:rPr>
          <w:rFonts w:ascii="Calibri" w:eastAsia="Calibri" w:hAnsi="Calibri" w:cs="Calibri"/>
          <w:i/>
          <w:sz w:val="22"/>
          <w:szCs w:val="22"/>
        </w:rPr>
        <w:t xml:space="preserve"> </w:t>
      </w:r>
    </w:p>
    <w:p w:rsidR="00AF0282" w:rsidRPr="00D6564C" w:rsidRDefault="00AF0282" w:rsidP="00AF0282">
      <w:pPr>
        <w:keepNext/>
        <w:keepLines/>
        <w:numPr>
          <w:ilvl w:val="2"/>
          <w:numId w:val="1"/>
        </w:numPr>
        <w:spacing w:before="480" w:after="240" w:line="276" w:lineRule="auto"/>
        <w:ind w:left="1584"/>
        <w:outlineLvl w:val="2"/>
        <w:rPr>
          <w:rFonts w:asciiTheme="majorHAnsi" w:eastAsiaTheme="majorEastAsia" w:hAnsiTheme="majorHAnsi" w:cstheme="majorBidi"/>
          <w:b/>
          <w:bCs/>
          <w:sz w:val="22"/>
          <w:szCs w:val="28"/>
        </w:rPr>
      </w:pPr>
      <w:bookmarkStart w:id="21" w:name="_Toc501375928"/>
      <w:r w:rsidRPr="00D6564C">
        <w:rPr>
          <w:rFonts w:asciiTheme="majorHAnsi" w:eastAsiaTheme="majorEastAsia" w:hAnsiTheme="majorHAnsi" w:cstheme="majorBidi"/>
          <w:b/>
          <w:bCs/>
          <w:sz w:val="22"/>
          <w:szCs w:val="28"/>
        </w:rPr>
        <w:t>Local Air Pollutant Minimization</w:t>
      </w:r>
      <w:bookmarkEnd w:id="21"/>
    </w:p>
    <w:p w:rsidR="00AF0282" w:rsidRPr="00D6564C" w:rsidRDefault="00AF0282" w:rsidP="00AF0282">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and provide quantitative evidence to support how the LSE’s Preferred Portfolio minimizes localized air pollutants and other GHG emissions with early priority on disadvantaged communities.</w:t>
      </w:r>
    </w:p>
    <w:p w:rsidR="00AF0282" w:rsidRPr="00D6564C" w:rsidRDefault="00AF0282" w:rsidP="00AF0282">
      <w:pPr>
        <w:spacing w:after="12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In order to identify “disadvantaged communities” that are located within its service territory, each LSE must use CalEnviroScreen 3.0 to identify the top 25% of impacted census tracts on a statewide basis</w:t>
      </w:r>
      <w:r>
        <w:rPr>
          <w:rFonts w:asciiTheme="minorHAnsi" w:eastAsiaTheme="minorHAnsi" w:hAnsiTheme="minorHAnsi" w:cstheme="minorBidi"/>
          <w:i/>
          <w:sz w:val="22"/>
          <w:szCs w:val="22"/>
        </w:rPr>
        <w:t xml:space="preserve"> and the top 5% of census tracts without an overall score but with highest pollution burden</w:t>
      </w:r>
      <w:r w:rsidRPr="00D6564C">
        <w:rPr>
          <w:rFonts w:asciiTheme="minorHAnsi" w:eastAsiaTheme="minorHAnsi" w:hAnsiTheme="minorHAnsi" w:cstheme="minorBidi"/>
          <w:i/>
          <w:sz w:val="22"/>
          <w:szCs w:val="22"/>
        </w:rPr>
        <w:t>. LSEs must specify:</w:t>
      </w:r>
    </w:p>
    <w:p w:rsidR="00AF0282" w:rsidRPr="00D6564C" w:rsidRDefault="00AF0282" w:rsidP="00AF0282">
      <w:pPr>
        <w:numPr>
          <w:ilvl w:val="0"/>
          <w:numId w:val="6"/>
        </w:numPr>
        <w:spacing w:after="120" w:line="276" w:lineRule="auto"/>
        <w:ind w:left="162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Customers served in disadvantaged communities along with total disadvantaged population number served as a percentage of total number of customers served</w:t>
      </w:r>
    </w:p>
    <w:p w:rsidR="00AF0282" w:rsidRDefault="00AF0282" w:rsidP="00AF0282">
      <w:pPr>
        <w:numPr>
          <w:ilvl w:val="0"/>
          <w:numId w:val="6"/>
        </w:numPr>
        <w:spacing w:after="120" w:line="276" w:lineRule="auto"/>
        <w:ind w:left="162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lastRenderedPageBreak/>
        <w:t>What current and planned LSE activities/programs, if any, impact disadvantaged communities or contribute to economic development within disadvantaged communities (e.g. list all individual programs carried out in/for disadvantaged communities, along with description of program)</w:t>
      </w:r>
    </w:p>
    <w:p w:rsidR="0047349C" w:rsidRPr="005A1351" w:rsidRDefault="00AF0282" w:rsidP="00AF0282">
      <w:pPr>
        <w:numPr>
          <w:ilvl w:val="0"/>
          <w:numId w:val="6"/>
        </w:numPr>
        <w:spacing w:after="120" w:line="276" w:lineRule="auto"/>
        <w:ind w:left="1620"/>
        <w:rPr>
          <w:rFonts w:asciiTheme="minorHAnsi" w:eastAsiaTheme="minorHAnsi" w:hAnsiTheme="minorHAnsi" w:cstheme="minorBidi"/>
          <w:i/>
          <w:sz w:val="22"/>
          <w:szCs w:val="22"/>
        </w:rPr>
      </w:pPr>
      <w:r w:rsidRPr="005A1351">
        <w:rPr>
          <w:rFonts w:asciiTheme="minorHAnsi" w:eastAsiaTheme="minorHAnsi" w:hAnsiTheme="minorHAnsi" w:cstheme="minorBidi"/>
          <w:i/>
          <w:sz w:val="22"/>
          <w:szCs w:val="22"/>
        </w:rPr>
        <w:t>Estimates of annual emissions of nitrogen oxides and particulate matter</w:t>
      </w:r>
      <w:r w:rsidR="008B0D7C">
        <w:rPr>
          <w:rStyle w:val="FootnoteReference"/>
          <w:rFonts w:asciiTheme="minorHAnsi" w:eastAsiaTheme="minorHAnsi" w:hAnsiTheme="minorHAnsi" w:cstheme="minorBidi"/>
          <w:i/>
          <w:szCs w:val="22"/>
        </w:rPr>
        <w:footnoteReference w:id="3"/>
      </w:r>
      <w:r w:rsidRPr="005A1351">
        <w:rPr>
          <w:rFonts w:asciiTheme="minorHAnsi" w:eastAsiaTheme="minorHAnsi" w:hAnsiTheme="minorHAnsi" w:cstheme="minorBidi"/>
          <w:i/>
          <w:sz w:val="22"/>
          <w:szCs w:val="22"/>
        </w:rPr>
        <w:t xml:space="preserve"> (NOx and PM2.5, at a minimum), including emissions from normal plant operations and from plant cycling. As stated above, the Commission delegates to staff and the assigned ALJ to define a GHG accounting method</w:t>
      </w:r>
      <w:r w:rsidRPr="00917B3E">
        <w:rPr>
          <w:rFonts w:asciiTheme="minorHAnsi" w:eastAsiaTheme="minorHAnsi" w:hAnsiTheme="minorHAnsi" w:cstheme="minorBidi"/>
          <w:i/>
          <w:sz w:val="22"/>
          <w:szCs w:val="22"/>
        </w:rPr>
        <w:t xml:space="preserve">ology apportioning responsibility to individual LSEs. The method </w:t>
      </w:r>
      <w:r w:rsidR="0047349C">
        <w:rPr>
          <w:rFonts w:asciiTheme="minorHAnsi" w:eastAsiaTheme="minorHAnsi" w:hAnsiTheme="minorHAnsi" w:cstheme="minorBidi"/>
          <w:i/>
          <w:sz w:val="22"/>
          <w:szCs w:val="22"/>
        </w:rPr>
        <w:t xml:space="preserve">may </w:t>
      </w:r>
      <w:r w:rsidRPr="00917B3E">
        <w:rPr>
          <w:rFonts w:asciiTheme="minorHAnsi" w:eastAsiaTheme="minorHAnsi" w:hAnsiTheme="minorHAnsi" w:cstheme="minorBidi"/>
          <w:i/>
          <w:sz w:val="22"/>
          <w:szCs w:val="22"/>
        </w:rPr>
        <w:t xml:space="preserve">also be used to estimate localized pollutants such as nitrogen oxides and particulate matter. </w:t>
      </w:r>
    </w:p>
    <w:p w:rsidR="00AF0282" w:rsidRPr="00D6564C" w:rsidRDefault="00AF0282" w:rsidP="00AF0282">
      <w:pPr>
        <w:keepNext/>
        <w:keepLines/>
        <w:numPr>
          <w:ilvl w:val="2"/>
          <w:numId w:val="1"/>
        </w:numPr>
        <w:spacing w:before="480" w:after="240" w:line="276" w:lineRule="auto"/>
        <w:ind w:left="1584"/>
        <w:outlineLvl w:val="2"/>
        <w:rPr>
          <w:rFonts w:asciiTheme="majorHAnsi" w:eastAsiaTheme="majorEastAsia" w:hAnsiTheme="majorHAnsi" w:cstheme="majorBidi"/>
          <w:b/>
          <w:bCs/>
          <w:sz w:val="22"/>
          <w:szCs w:val="28"/>
        </w:rPr>
      </w:pPr>
      <w:bookmarkStart w:id="22" w:name="_Toc500329355"/>
      <w:bookmarkStart w:id="23" w:name="_Toc500430351"/>
      <w:bookmarkStart w:id="24" w:name="_Toc501375929"/>
      <w:bookmarkEnd w:id="22"/>
      <w:bookmarkEnd w:id="23"/>
      <w:r w:rsidRPr="00D6564C">
        <w:rPr>
          <w:rFonts w:asciiTheme="majorHAnsi" w:eastAsiaTheme="majorEastAsia" w:hAnsiTheme="majorHAnsi" w:cstheme="majorBidi"/>
          <w:b/>
          <w:bCs/>
          <w:sz w:val="22"/>
          <w:szCs w:val="28"/>
        </w:rPr>
        <w:t>Cost and Rate Analysis</w:t>
      </w:r>
      <w:bookmarkEnd w:id="24"/>
    </w:p>
    <w:p w:rsidR="00AF0282" w:rsidRPr="00D6564C" w:rsidRDefault="00AF0282" w:rsidP="00AF0282">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and provide quantitative information to reflect how the LSE anticipates that its Preferred Portfolio will affect the costs for its customers. For this analysis, assume other LSEs procure resources in a manner consistent with the Reference System Plan.</w:t>
      </w:r>
    </w:p>
    <w:p w:rsidR="00AF0282" w:rsidRPr="00D6564C" w:rsidRDefault="00F737E9" w:rsidP="00AF0282">
      <w:pPr>
        <w:spacing w:after="200" w:line="276" w:lineRule="auto"/>
        <w:ind w:left="180" w:firstLine="720"/>
        <w:rPr>
          <w:rFonts w:asciiTheme="minorHAnsi" w:eastAsiaTheme="minorHAnsi" w:hAnsiTheme="minorHAnsi" w:cstheme="minorBidi"/>
          <w:i/>
          <w:sz w:val="22"/>
          <w:szCs w:val="22"/>
          <w:u w:val="single"/>
        </w:rPr>
      </w:pPr>
      <w:r>
        <w:rPr>
          <w:rFonts w:ascii="Calibri" w:eastAsia="Calibri" w:hAnsi="Calibri" w:cs="Calibri"/>
          <w:b/>
          <w:i/>
          <w:spacing w:val="1"/>
          <w:sz w:val="22"/>
          <w:szCs w:val="22"/>
          <w:u w:val="single" w:color="000000"/>
        </w:rPr>
        <w:t>R</w:t>
      </w:r>
      <w:r>
        <w:rPr>
          <w:rFonts w:ascii="Calibri" w:eastAsia="Calibri" w:hAnsi="Calibri" w:cs="Calibri"/>
          <w:b/>
          <w:i/>
          <w:spacing w:val="-3"/>
          <w:sz w:val="22"/>
          <w:szCs w:val="22"/>
          <w:u w:val="single" w:color="000000"/>
        </w:rPr>
        <w:t>e</w:t>
      </w:r>
      <w:r>
        <w:rPr>
          <w:rFonts w:ascii="Calibri" w:eastAsia="Calibri" w:hAnsi="Calibri" w:cs="Calibri"/>
          <w:b/>
          <w:i/>
          <w:spacing w:val="1"/>
          <w:sz w:val="22"/>
          <w:szCs w:val="22"/>
          <w:u w:val="single" w:color="000000"/>
        </w:rPr>
        <w:t>q</w:t>
      </w:r>
      <w:r>
        <w:rPr>
          <w:rFonts w:ascii="Calibri" w:eastAsia="Calibri" w:hAnsi="Calibri" w:cs="Calibri"/>
          <w:b/>
          <w:i/>
          <w:spacing w:val="-1"/>
          <w:sz w:val="22"/>
          <w:szCs w:val="22"/>
          <w:u w:val="single" w:color="000000"/>
        </w:rPr>
        <w:t>u</w:t>
      </w:r>
      <w:r>
        <w:rPr>
          <w:rFonts w:ascii="Calibri" w:eastAsia="Calibri" w:hAnsi="Calibri" w:cs="Calibri"/>
          <w:b/>
          <w:i/>
          <w:spacing w:val="1"/>
          <w:sz w:val="22"/>
          <w:szCs w:val="22"/>
          <w:u w:val="single" w:color="000000"/>
        </w:rPr>
        <w:t>i</w:t>
      </w:r>
      <w:r>
        <w:rPr>
          <w:rFonts w:ascii="Calibri" w:eastAsia="Calibri" w:hAnsi="Calibri" w:cs="Calibri"/>
          <w:b/>
          <w:i/>
          <w:spacing w:val="-1"/>
          <w:sz w:val="22"/>
          <w:szCs w:val="22"/>
          <w:u w:val="single" w:color="000000"/>
        </w:rPr>
        <w:t>r</w:t>
      </w:r>
      <w:r>
        <w:rPr>
          <w:rFonts w:ascii="Calibri" w:eastAsia="Calibri" w:hAnsi="Calibri" w:cs="Calibri"/>
          <w:b/>
          <w:i/>
          <w:sz w:val="22"/>
          <w:szCs w:val="22"/>
          <w:u w:val="single" w:color="000000"/>
        </w:rPr>
        <w:t>em</w:t>
      </w:r>
      <w:r>
        <w:rPr>
          <w:rFonts w:ascii="Calibri" w:eastAsia="Calibri" w:hAnsi="Calibri" w:cs="Calibri"/>
          <w:b/>
          <w:i/>
          <w:spacing w:val="-1"/>
          <w:sz w:val="22"/>
          <w:szCs w:val="22"/>
          <w:u w:val="single" w:color="000000"/>
        </w:rPr>
        <w:t>en</w:t>
      </w:r>
      <w:r>
        <w:rPr>
          <w:rFonts w:ascii="Calibri" w:eastAsia="Calibri" w:hAnsi="Calibri" w:cs="Calibri"/>
          <w:b/>
          <w:i/>
          <w:sz w:val="22"/>
          <w:szCs w:val="22"/>
          <w:u w:val="single" w:color="000000"/>
        </w:rPr>
        <w:t>ts for IOUs Only</w:t>
      </w:r>
    </w:p>
    <w:p w:rsidR="00AF0282" w:rsidRPr="00D6564C" w:rsidRDefault="00AF0282" w:rsidP="00AF0282">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Data must be provided showing the forecasted revenue requirement and system average rate for bundled customers for all portfolios developed by the IOU. The costs should be forecasted consistently with the categories covered by each IOU in its general rate case. The data should reflect the </w:t>
      </w:r>
      <w:r w:rsidR="00934D45">
        <w:rPr>
          <w:rFonts w:asciiTheme="minorHAnsi" w:eastAsiaTheme="minorHAnsi" w:hAnsiTheme="minorHAnsi" w:cstheme="minorBidi"/>
          <w:i/>
          <w:sz w:val="22"/>
          <w:szCs w:val="22"/>
        </w:rPr>
        <w:t>IOU’s</w:t>
      </w:r>
      <w:r w:rsidR="00934D45" w:rsidRPr="00D6564C">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assigned load forecast</w:t>
      </w:r>
      <w:r w:rsidR="00EF4554">
        <w:rPr>
          <w:rFonts w:asciiTheme="minorHAnsi" w:eastAsiaTheme="minorHAnsi" w:hAnsiTheme="minorHAnsi" w:cstheme="minorBidi"/>
          <w:i/>
          <w:sz w:val="22"/>
          <w:szCs w:val="22"/>
        </w:rPr>
        <w:t xml:space="preserve"> (for the conforming portfolio)</w:t>
      </w:r>
      <w:r w:rsidRPr="00D6564C">
        <w:rPr>
          <w:rFonts w:asciiTheme="minorHAnsi" w:eastAsiaTheme="minorHAnsi" w:hAnsiTheme="minorHAnsi" w:cstheme="minorBidi"/>
          <w:i/>
          <w:sz w:val="22"/>
          <w:szCs w:val="22"/>
        </w:rPr>
        <w:t>, and revenue requirements for each portfolio should be broken down by the following categories:</w:t>
      </w:r>
    </w:p>
    <w:p w:rsidR="00AF0282" w:rsidRPr="00D6564C" w:rsidRDefault="00AF0282" w:rsidP="00AF0282">
      <w:pPr>
        <w:numPr>
          <w:ilvl w:val="0"/>
          <w:numId w:val="5"/>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Transmission</w:t>
      </w:r>
    </w:p>
    <w:p w:rsidR="00AF0282" w:rsidRPr="00D6564C" w:rsidRDefault="00AF0282" w:rsidP="00AF0282">
      <w:pPr>
        <w:numPr>
          <w:ilvl w:val="0"/>
          <w:numId w:val="5"/>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Distribution </w:t>
      </w:r>
      <w:r w:rsidR="004B1665">
        <w:rPr>
          <w:rFonts w:asciiTheme="minorHAnsi" w:eastAsiaTheme="minorHAnsi" w:hAnsiTheme="minorHAnsi" w:cstheme="minorBidi"/>
          <w:i/>
          <w:sz w:val="22"/>
          <w:szCs w:val="22"/>
        </w:rPr>
        <w:t>(e.g. includes costs from distribution upgrades driven by customer-generation)</w:t>
      </w:r>
    </w:p>
    <w:p w:rsidR="00AF0282" w:rsidRPr="00D6564C" w:rsidRDefault="00AF0282" w:rsidP="00AF0282">
      <w:pPr>
        <w:numPr>
          <w:ilvl w:val="0"/>
          <w:numId w:val="5"/>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DSM Programs</w:t>
      </w:r>
      <w:r w:rsidR="009267AB">
        <w:rPr>
          <w:rFonts w:asciiTheme="minorHAnsi" w:eastAsiaTheme="minorHAnsi" w:hAnsiTheme="minorHAnsi" w:cstheme="minorBidi"/>
          <w:i/>
          <w:sz w:val="22"/>
          <w:szCs w:val="22"/>
        </w:rPr>
        <w:t xml:space="preserve"> (</w:t>
      </w:r>
      <w:r w:rsidR="00934D45">
        <w:rPr>
          <w:rFonts w:asciiTheme="minorHAnsi" w:eastAsiaTheme="minorHAnsi" w:hAnsiTheme="minorHAnsi" w:cstheme="minorBidi"/>
          <w:i/>
          <w:sz w:val="22"/>
          <w:szCs w:val="22"/>
        </w:rPr>
        <w:t xml:space="preserve">e.g. </w:t>
      </w:r>
      <w:r w:rsidR="009267AB">
        <w:rPr>
          <w:rFonts w:asciiTheme="minorHAnsi" w:eastAsiaTheme="minorHAnsi" w:hAnsiTheme="minorHAnsi" w:cstheme="minorBidi"/>
          <w:i/>
          <w:sz w:val="22"/>
          <w:szCs w:val="22"/>
        </w:rPr>
        <w:t>includes</w:t>
      </w:r>
      <w:r w:rsidR="00934D45">
        <w:rPr>
          <w:rFonts w:asciiTheme="minorHAnsi" w:eastAsiaTheme="minorHAnsi" w:hAnsiTheme="minorHAnsi" w:cstheme="minorBidi"/>
          <w:i/>
          <w:sz w:val="22"/>
          <w:szCs w:val="22"/>
        </w:rPr>
        <w:t xml:space="preserve"> costs of </w:t>
      </w:r>
      <w:r w:rsidR="009267AB">
        <w:rPr>
          <w:rFonts w:asciiTheme="minorHAnsi" w:eastAsiaTheme="minorHAnsi" w:hAnsiTheme="minorHAnsi" w:cstheme="minorBidi"/>
          <w:i/>
          <w:sz w:val="22"/>
          <w:szCs w:val="22"/>
        </w:rPr>
        <w:t>energy-efficiency</w:t>
      </w:r>
      <w:r w:rsidR="00FC0FF5">
        <w:rPr>
          <w:rFonts w:asciiTheme="minorHAnsi" w:eastAsiaTheme="minorHAnsi" w:hAnsiTheme="minorHAnsi" w:cstheme="minorBidi"/>
          <w:i/>
          <w:sz w:val="22"/>
          <w:szCs w:val="22"/>
        </w:rPr>
        <w:t>,</w:t>
      </w:r>
      <w:r w:rsidR="009267AB">
        <w:rPr>
          <w:rFonts w:asciiTheme="minorHAnsi" w:eastAsiaTheme="minorHAnsi" w:hAnsiTheme="minorHAnsi" w:cstheme="minorBidi"/>
          <w:i/>
          <w:sz w:val="22"/>
          <w:szCs w:val="22"/>
        </w:rPr>
        <w:t xml:space="preserve"> demand response</w:t>
      </w:r>
      <w:r w:rsidR="00FC0FF5">
        <w:rPr>
          <w:rFonts w:asciiTheme="minorHAnsi" w:eastAsiaTheme="minorHAnsi" w:hAnsiTheme="minorHAnsi" w:cstheme="minorBidi"/>
          <w:i/>
          <w:sz w:val="22"/>
          <w:szCs w:val="22"/>
        </w:rPr>
        <w:t>, and other</w:t>
      </w:r>
      <w:r w:rsidR="009267AB">
        <w:rPr>
          <w:rFonts w:asciiTheme="minorHAnsi" w:eastAsiaTheme="minorHAnsi" w:hAnsiTheme="minorHAnsi" w:cstheme="minorBidi"/>
          <w:i/>
          <w:sz w:val="22"/>
          <w:szCs w:val="22"/>
        </w:rPr>
        <w:t xml:space="preserve"> programs)</w:t>
      </w:r>
    </w:p>
    <w:p w:rsidR="00AF0282" w:rsidRPr="00D6564C" w:rsidRDefault="00AF0282" w:rsidP="00AF0282">
      <w:pPr>
        <w:numPr>
          <w:ilvl w:val="0"/>
          <w:numId w:val="5"/>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Generation</w:t>
      </w:r>
      <w:r w:rsidR="009267AB">
        <w:rPr>
          <w:rFonts w:asciiTheme="minorHAnsi" w:eastAsiaTheme="minorHAnsi" w:hAnsiTheme="minorHAnsi" w:cstheme="minorBidi"/>
          <w:i/>
          <w:sz w:val="22"/>
          <w:szCs w:val="22"/>
        </w:rPr>
        <w:t xml:space="preserve"> (</w:t>
      </w:r>
      <w:r w:rsidR="00934D45">
        <w:rPr>
          <w:rFonts w:asciiTheme="minorHAnsi" w:eastAsiaTheme="minorHAnsi" w:hAnsiTheme="minorHAnsi" w:cstheme="minorBidi"/>
          <w:i/>
          <w:sz w:val="22"/>
          <w:szCs w:val="22"/>
        </w:rPr>
        <w:t xml:space="preserve">e.g. </w:t>
      </w:r>
      <w:r w:rsidR="009267AB">
        <w:rPr>
          <w:rFonts w:asciiTheme="minorHAnsi" w:eastAsiaTheme="minorHAnsi" w:hAnsiTheme="minorHAnsi" w:cstheme="minorBidi"/>
          <w:i/>
          <w:sz w:val="22"/>
          <w:szCs w:val="22"/>
        </w:rPr>
        <w:t xml:space="preserve">includes </w:t>
      </w:r>
      <w:r w:rsidR="00934D45">
        <w:rPr>
          <w:rFonts w:asciiTheme="minorHAnsi" w:eastAsiaTheme="minorHAnsi" w:hAnsiTheme="minorHAnsi" w:cstheme="minorBidi"/>
          <w:i/>
          <w:sz w:val="22"/>
          <w:szCs w:val="22"/>
        </w:rPr>
        <w:t xml:space="preserve">costs of </w:t>
      </w:r>
      <w:r w:rsidR="009267AB">
        <w:rPr>
          <w:rFonts w:asciiTheme="minorHAnsi" w:eastAsiaTheme="minorHAnsi" w:hAnsiTheme="minorHAnsi" w:cstheme="minorBidi"/>
          <w:i/>
          <w:sz w:val="22"/>
          <w:szCs w:val="22"/>
        </w:rPr>
        <w:t>utility-owned generation, bilateral contracts, renewables contracts,</w:t>
      </w:r>
      <w:r w:rsidR="00934D45">
        <w:rPr>
          <w:rFonts w:asciiTheme="minorHAnsi" w:eastAsiaTheme="minorHAnsi" w:hAnsiTheme="minorHAnsi" w:cstheme="minorBidi"/>
          <w:i/>
          <w:sz w:val="22"/>
          <w:szCs w:val="22"/>
        </w:rPr>
        <w:t xml:space="preserve"> and</w:t>
      </w:r>
      <w:r w:rsidR="009267AB">
        <w:rPr>
          <w:rFonts w:asciiTheme="minorHAnsi" w:eastAsiaTheme="minorHAnsi" w:hAnsiTheme="minorHAnsi" w:cstheme="minorBidi"/>
          <w:i/>
          <w:sz w:val="22"/>
          <w:szCs w:val="22"/>
        </w:rPr>
        <w:t xml:space="preserve"> storage contracts, </w:t>
      </w:r>
      <w:r w:rsidR="0075255A">
        <w:rPr>
          <w:rFonts w:asciiTheme="minorHAnsi" w:eastAsiaTheme="minorHAnsi" w:hAnsiTheme="minorHAnsi" w:cstheme="minorBidi"/>
          <w:i/>
          <w:sz w:val="22"/>
          <w:szCs w:val="22"/>
        </w:rPr>
        <w:t>net of</w:t>
      </w:r>
      <w:r w:rsidR="009267AB">
        <w:rPr>
          <w:rFonts w:asciiTheme="minorHAnsi" w:eastAsiaTheme="minorHAnsi" w:hAnsiTheme="minorHAnsi" w:cstheme="minorBidi"/>
          <w:i/>
          <w:sz w:val="22"/>
          <w:szCs w:val="22"/>
        </w:rPr>
        <w:t xml:space="preserve"> revenue from EDU allowances)</w:t>
      </w:r>
    </w:p>
    <w:p w:rsidR="00AF0282" w:rsidRPr="00D6564C" w:rsidRDefault="00AF0282" w:rsidP="00AF0282">
      <w:pPr>
        <w:numPr>
          <w:ilvl w:val="0"/>
          <w:numId w:val="5"/>
        </w:numPr>
        <w:spacing w:after="12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Other</w:t>
      </w:r>
      <w:r w:rsidR="009267AB">
        <w:rPr>
          <w:rFonts w:asciiTheme="minorHAnsi" w:eastAsiaTheme="minorHAnsi" w:hAnsiTheme="minorHAnsi" w:cstheme="minorBidi"/>
          <w:i/>
          <w:sz w:val="22"/>
          <w:szCs w:val="22"/>
        </w:rPr>
        <w:t xml:space="preserve"> (</w:t>
      </w:r>
      <w:r w:rsidR="00934D45">
        <w:rPr>
          <w:rFonts w:asciiTheme="minorHAnsi" w:eastAsiaTheme="minorHAnsi" w:hAnsiTheme="minorHAnsi" w:cstheme="minorBidi"/>
          <w:i/>
          <w:sz w:val="22"/>
          <w:szCs w:val="22"/>
        </w:rPr>
        <w:t xml:space="preserve">e.g. </w:t>
      </w:r>
      <w:r w:rsidR="009267AB">
        <w:rPr>
          <w:rFonts w:asciiTheme="minorHAnsi" w:eastAsiaTheme="minorHAnsi" w:hAnsiTheme="minorHAnsi" w:cstheme="minorBidi"/>
          <w:i/>
          <w:sz w:val="22"/>
          <w:szCs w:val="22"/>
        </w:rPr>
        <w:t xml:space="preserve">includes nuclear decommissioning, DWR bonds, public purpose programs, </w:t>
      </w:r>
      <w:r w:rsidR="00934D45">
        <w:rPr>
          <w:rFonts w:asciiTheme="minorHAnsi" w:eastAsiaTheme="minorHAnsi" w:hAnsiTheme="minorHAnsi" w:cstheme="minorBidi"/>
          <w:i/>
          <w:sz w:val="22"/>
          <w:szCs w:val="22"/>
        </w:rPr>
        <w:t>and other miscellaneous</w:t>
      </w:r>
      <w:r w:rsidR="009267AB">
        <w:rPr>
          <w:rFonts w:asciiTheme="minorHAnsi" w:eastAsiaTheme="minorHAnsi" w:hAnsiTheme="minorHAnsi" w:cstheme="minorBidi"/>
          <w:i/>
          <w:sz w:val="22"/>
          <w:szCs w:val="22"/>
        </w:rPr>
        <w:t>)</w:t>
      </w:r>
    </w:p>
    <w:p w:rsidR="00AF0282" w:rsidRPr="00D6564C" w:rsidRDefault="00AF0282" w:rsidP="00AF0282">
      <w:pPr>
        <w:spacing w:after="200" w:line="276" w:lineRule="auto"/>
        <w:ind w:left="90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In presenting revenue requirement data, IOUs should clearly distinguish between current (baseline) projected revenue requirement broken down by the categories above, and the incremental projected revenue requirement broke</w:t>
      </w:r>
      <w:r>
        <w:rPr>
          <w:rFonts w:asciiTheme="minorHAnsi" w:eastAsiaTheme="minorHAnsi" w:hAnsiTheme="minorHAnsi" w:cstheme="minorBidi"/>
          <w:i/>
          <w:sz w:val="22"/>
          <w:szCs w:val="22"/>
        </w:rPr>
        <w:t>n</w:t>
      </w:r>
      <w:r w:rsidRPr="00D6564C">
        <w:rPr>
          <w:rFonts w:asciiTheme="minorHAnsi" w:eastAsiaTheme="minorHAnsi" w:hAnsiTheme="minorHAnsi" w:cstheme="minorBidi"/>
          <w:i/>
          <w:sz w:val="22"/>
          <w:szCs w:val="22"/>
        </w:rPr>
        <w:t xml:space="preserve"> down by the same categories, for each new </w:t>
      </w:r>
      <w:r w:rsidRPr="00D6564C">
        <w:rPr>
          <w:rFonts w:asciiTheme="minorHAnsi" w:eastAsiaTheme="minorHAnsi" w:hAnsiTheme="minorHAnsi" w:cstheme="minorBidi"/>
          <w:i/>
          <w:sz w:val="22"/>
          <w:szCs w:val="22"/>
        </w:rPr>
        <w:lastRenderedPageBreak/>
        <w:t>resource portfolio that the IOU is showing results for in its Plan. IOUs should assume no procurement on behalf of non-bundled customers would be needed unless specifically required by the Commission.</w:t>
      </w:r>
      <w:r w:rsidR="002F40C6">
        <w:rPr>
          <w:rFonts w:asciiTheme="minorHAnsi" w:eastAsiaTheme="minorHAnsi" w:hAnsiTheme="minorHAnsi" w:cstheme="minorBidi"/>
          <w:i/>
          <w:sz w:val="22"/>
          <w:szCs w:val="22"/>
        </w:rPr>
        <w:t xml:space="preserve">  </w:t>
      </w:r>
      <w:r w:rsidR="00262EEF">
        <w:rPr>
          <w:rFonts w:asciiTheme="minorHAnsi" w:eastAsiaTheme="minorHAnsi" w:hAnsiTheme="minorHAnsi" w:cstheme="minorBidi"/>
          <w:i/>
          <w:sz w:val="22"/>
          <w:szCs w:val="22"/>
        </w:rPr>
        <w:t xml:space="preserve">Report all assumptions used such as cost escalation rate, inflation rate, </w:t>
      </w:r>
      <w:proofErr w:type="spellStart"/>
      <w:r w:rsidR="00262EEF">
        <w:rPr>
          <w:rFonts w:asciiTheme="minorHAnsi" w:eastAsiaTheme="minorHAnsi" w:hAnsiTheme="minorHAnsi" w:cstheme="minorBidi"/>
          <w:i/>
          <w:sz w:val="22"/>
          <w:szCs w:val="22"/>
        </w:rPr>
        <w:t>levelization</w:t>
      </w:r>
      <w:proofErr w:type="spellEnd"/>
      <w:r w:rsidR="00262EEF">
        <w:rPr>
          <w:rFonts w:asciiTheme="minorHAnsi" w:eastAsiaTheme="minorHAnsi" w:hAnsiTheme="minorHAnsi" w:cstheme="minorBidi"/>
          <w:i/>
          <w:sz w:val="22"/>
          <w:szCs w:val="22"/>
        </w:rPr>
        <w:t xml:space="preserve"> period, discount rate</w:t>
      </w:r>
      <w:r w:rsidR="0013179E">
        <w:rPr>
          <w:rFonts w:asciiTheme="minorHAnsi" w:eastAsiaTheme="minorHAnsi" w:hAnsiTheme="minorHAnsi" w:cstheme="minorBidi"/>
          <w:i/>
          <w:sz w:val="22"/>
          <w:szCs w:val="22"/>
        </w:rPr>
        <w:t>, taxes, financing, etc</w:t>
      </w:r>
      <w:r w:rsidR="00262EEF">
        <w:rPr>
          <w:rFonts w:asciiTheme="minorHAnsi" w:eastAsiaTheme="minorHAnsi" w:hAnsiTheme="minorHAnsi" w:cstheme="minorBidi"/>
          <w:i/>
          <w:sz w:val="22"/>
          <w:szCs w:val="22"/>
        </w:rPr>
        <w:t>.</w:t>
      </w:r>
      <w:r w:rsidR="0069551D">
        <w:rPr>
          <w:rFonts w:asciiTheme="minorHAnsi" w:eastAsiaTheme="minorHAnsi" w:hAnsiTheme="minorHAnsi" w:cstheme="minorBidi"/>
          <w:i/>
          <w:sz w:val="22"/>
          <w:szCs w:val="22"/>
        </w:rPr>
        <w:t xml:space="preserve">  For the conforming portfolio, assumptions should align with those used in the RESOLVE model to the extent possible.</w:t>
      </w:r>
    </w:p>
    <w:p w:rsidR="00AF0282" w:rsidRPr="00D6564C" w:rsidRDefault="00F737E9" w:rsidP="00AF0282">
      <w:pPr>
        <w:spacing w:after="200" w:line="276" w:lineRule="auto"/>
        <w:ind w:left="180" w:firstLine="720"/>
        <w:rPr>
          <w:rFonts w:asciiTheme="minorHAnsi" w:eastAsiaTheme="minorHAnsi" w:hAnsiTheme="minorHAnsi" w:cstheme="minorBidi"/>
          <w:b/>
          <w:i/>
          <w:sz w:val="22"/>
          <w:szCs w:val="22"/>
          <w:u w:val="single"/>
        </w:rPr>
      </w:pPr>
      <w:r>
        <w:rPr>
          <w:rFonts w:ascii="Calibri" w:eastAsia="Calibri" w:hAnsi="Calibri" w:cs="Calibri"/>
          <w:b/>
          <w:i/>
          <w:sz w:val="22"/>
          <w:szCs w:val="22"/>
          <w:u w:val="single" w:color="000000"/>
        </w:rPr>
        <w:t>Requirements for A</w:t>
      </w:r>
      <w:r>
        <w:rPr>
          <w:rFonts w:ascii="Calibri" w:eastAsia="Calibri" w:hAnsi="Calibri" w:cs="Calibri"/>
          <w:b/>
          <w:i/>
          <w:spacing w:val="1"/>
          <w:sz w:val="22"/>
          <w:szCs w:val="22"/>
          <w:u w:val="single" w:color="000000"/>
        </w:rPr>
        <w:t>l</w:t>
      </w:r>
      <w:r>
        <w:rPr>
          <w:rFonts w:ascii="Calibri" w:eastAsia="Calibri" w:hAnsi="Calibri" w:cs="Calibri"/>
          <w:b/>
          <w:i/>
          <w:sz w:val="22"/>
          <w:szCs w:val="22"/>
          <w:u w:val="single" w:color="000000"/>
        </w:rPr>
        <w:t>l</w:t>
      </w:r>
      <w:r>
        <w:rPr>
          <w:rFonts w:ascii="Calibri" w:eastAsia="Calibri" w:hAnsi="Calibri" w:cs="Calibri"/>
          <w:b/>
          <w:i/>
          <w:spacing w:val="-1"/>
          <w:sz w:val="22"/>
          <w:szCs w:val="22"/>
          <w:u w:val="single" w:color="000000"/>
        </w:rPr>
        <w:t xml:space="preserve"> </w:t>
      </w:r>
      <w:r>
        <w:rPr>
          <w:rFonts w:ascii="Calibri" w:eastAsia="Calibri" w:hAnsi="Calibri" w:cs="Calibri"/>
          <w:b/>
          <w:i/>
          <w:sz w:val="22"/>
          <w:szCs w:val="22"/>
          <w:u w:val="single" w:color="000000"/>
        </w:rPr>
        <w:t>L</w:t>
      </w:r>
      <w:r>
        <w:rPr>
          <w:rFonts w:ascii="Calibri" w:eastAsia="Calibri" w:hAnsi="Calibri" w:cs="Calibri"/>
          <w:b/>
          <w:i/>
          <w:spacing w:val="-2"/>
          <w:sz w:val="22"/>
          <w:szCs w:val="22"/>
          <w:u w:val="single" w:color="000000"/>
        </w:rPr>
        <w:t>S</w:t>
      </w:r>
      <w:r>
        <w:rPr>
          <w:rFonts w:ascii="Calibri" w:eastAsia="Calibri" w:hAnsi="Calibri" w:cs="Calibri"/>
          <w:b/>
          <w:i/>
          <w:sz w:val="22"/>
          <w:szCs w:val="22"/>
          <w:u w:val="single" w:color="000000"/>
        </w:rPr>
        <w:t>Es</w:t>
      </w:r>
    </w:p>
    <w:p w:rsidR="00AF0282" w:rsidRPr="00D6564C" w:rsidRDefault="00F737E9" w:rsidP="00AF0282">
      <w:pPr>
        <w:spacing w:after="200" w:line="276" w:lineRule="auto"/>
        <w:ind w:left="900"/>
        <w:rPr>
          <w:rFonts w:asciiTheme="minorHAnsi" w:eastAsiaTheme="minorHAnsi" w:hAnsiTheme="minorHAnsi" w:cstheme="minorBidi"/>
          <w:i/>
          <w:sz w:val="22"/>
          <w:szCs w:val="22"/>
        </w:rPr>
      </w:pPr>
      <w:r>
        <w:rPr>
          <w:rFonts w:asciiTheme="minorHAnsi" w:eastAsiaTheme="minorHAnsi" w:hAnsiTheme="minorHAnsi" w:cstheme="minorBidi"/>
          <w:i/>
          <w:sz w:val="22"/>
          <w:szCs w:val="22"/>
        </w:rPr>
        <w:t>A</w:t>
      </w:r>
      <w:r w:rsidR="00AF0282" w:rsidRPr="00D6564C">
        <w:rPr>
          <w:rFonts w:asciiTheme="minorHAnsi" w:eastAsiaTheme="minorHAnsi" w:hAnsiTheme="minorHAnsi" w:cstheme="minorBidi"/>
          <w:i/>
          <w:sz w:val="22"/>
          <w:szCs w:val="22"/>
        </w:rPr>
        <w:t>ll LSEs should consider cost and rate impacts on their customers when planning and submitting their individual IRPs, and, at a minimum, include a narrative description of their approach in support of this requirement.</w:t>
      </w:r>
    </w:p>
    <w:p w:rsidR="00AF0282" w:rsidRPr="00D6564C" w:rsidRDefault="00AF0282" w:rsidP="00AF0282">
      <w:pPr>
        <w:spacing w:after="200" w:line="276" w:lineRule="auto"/>
        <w:ind w:left="900"/>
        <w:rPr>
          <w:rFonts w:asciiTheme="minorHAnsi" w:eastAsiaTheme="minorHAnsi" w:hAnsiTheme="minorHAnsi" w:cstheme="minorBidi"/>
          <w:sz w:val="22"/>
          <w:szCs w:val="22"/>
          <w:highlight w:val="yellow"/>
        </w:rPr>
      </w:pPr>
      <w:r w:rsidRPr="00D6564C">
        <w:rPr>
          <w:rFonts w:asciiTheme="minorHAnsi" w:eastAsiaTheme="minorHAnsi" w:hAnsiTheme="minorHAnsi" w:cstheme="minorBidi"/>
          <w:i/>
          <w:sz w:val="22"/>
          <w:szCs w:val="22"/>
        </w:rPr>
        <w:t xml:space="preserve">Additionally, LSE Plans should account for any resources subject to the cost allocation mechanism (CAM) in their portfolios. </w:t>
      </w:r>
      <w:r>
        <w:rPr>
          <w:rFonts w:asciiTheme="minorHAnsi" w:eastAsiaTheme="minorHAnsi" w:hAnsiTheme="minorHAnsi" w:cstheme="minorBidi"/>
          <w:i/>
          <w:sz w:val="22"/>
          <w:szCs w:val="22"/>
        </w:rPr>
        <w:t xml:space="preserve">In estimating the resource adequacy benefits of resources subject to the CAM in its Conforming Portfolio, each LSE should refer to the most recent </w:t>
      </w:r>
      <w:r w:rsidR="00E71B35">
        <w:rPr>
          <w:rFonts w:asciiTheme="minorHAnsi" w:eastAsiaTheme="minorHAnsi" w:hAnsiTheme="minorHAnsi" w:cstheme="minorBidi"/>
          <w:i/>
          <w:sz w:val="22"/>
          <w:szCs w:val="22"/>
        </w:rPr>
        <w:t xml:space="preserve">year-ahead </w:t>
      </w:r>
      <w:r>
        <w:rPr>
          <w:rFonts w:asciiTheme="minorHAnsi" w:eastAsiaTheme="minorHAnsi" w:hAnsiTheme="minorHAnsi" w:cstheme="minorBidi"/>
          <w:i/>
          <w:sz w:val="22"/>
          <w:szCs w:val="22"/>
        </w:rPr>
        <w:t>CAM resource list available on the Commission’s Resource Adequacy Compliance Materials webpage</w:t>
      </w:r>
      <w:r w:rsidR="00E71B35">
        <w:rPr>
          <w:rFonts w:asciiTheme="minorHAnsi" w:eastAsiaTheme="minorHAnsi" w:hAnsiTheme="minorHAnsi" w:cstheme="minorBidi"/>
          <w:i/>
          <w:sz w:val="22"/>
          <w:szCs w:val="22"/>
        </w:rPr>
        <w:t>.</w:t>
      </w:r>
      <w:r>
        <w:rPr>
          <w:rStyle w:val="FootnoteReference"/>
          <w:rFonts w:asciiTheme="minorHAnsi" w:eastAsiaTheme="minorHAnsi" w:hAnsiTheme="minorHAnsi" w:cstheme="minorBidi"/>
          <w:i/>
          <w:szCs w:val="22"/>
        </w:rPr>
        <w:footnoteReference w:id="4"/>
      </w:r>
      <w:r>
        <w:rPr>
          <w:rFonts w:asciiTheme="minorHAnsi" w:eastAsiaTheme="minorHAnsi" w:hAnsiTheme="minorHAnsi" w:cstheme="minorBidi"/>
          <w:i/>
          <w:sz w:val="22"/>
          <w:szCs w:val="22"/>
        </w:rPr>
        <w:t xml:space="preserve"> </w:t>
      </w:r>
      <w:r w:rsidR="00E71B35">
        <w:rPr>
          <w:rFonts w:asciiTheme="minorHAnsi" w:eastAsiaTheme="minorHAnsi" w:hAnsiTheme="minorHAnsi" w:cstheme="minorBidi"/>
          <w:i/>
          <w:sz w:val="22"/>
          <w:szCs w:val="22"/>
        </w:rPr>
        <w:t xml:space="preserve">The year-ahead CAM list itemizes the resource adequacy value benefiting all LSEs within a given </w:t>
      </w:r>
      <w:r w:rsidR="00AB4392">
        <w:rPr>
          <w:rFonts w:asciiTheme="minorHAnsi" w:eastAsiaTheme="minorHAnsi" w:hAnsiTheme="minorHAnsi" w:cstheme="minorBidi"/>
          <w:i/>
          <w:sz w:val="22"/>
          <w:szCs w:val="22"/>
        </w:rPr>
        <w:t>IOU service territory</w:t>
      </w:r>
      <w:r w:rsidR="00E71B35">
        <w:rPr>
          <w:rFonts w:asciiTheme="minorHAnsi" w:eastAsiaTheme="minorHAnsi" w:hAnsiTheme="minorHAnsi" w:cstheme="minorBidi"/>
          <w:i/>
          <w:sz w:val="22"/>
          <w:szCs w:val="22"/>
        </w:rPr>
        <w:t xml:space="preserve">, by month and year.  In developing </w:t>
      </w:r>
      <w:r w:rsidR="004740FC">
        <w:rPr>
          <w:rFonts w:asciiTheme="minorHAnsi" w:eastAsiaTheme="minorHAnsi" w:hAnsiTheme="minorHAnsi" w:cstheme="minorBidi"/>
          <w:i/>
          <w:sz w:val="22"/>
          <w:szCs w:val="22"/>
        </w:rPr>
        <w:t>its</w:t>
      </w:r>
      <w:r w:rsidR="00E71B35">
        <w:rPr>
          <w:rFonts w:asciiTheme="minorHAnsi" w:eastAsiaTheme="minorHAnsi" w:hAnsiTheme="minorHAnsi" w:cstheme="minorBidi"/>
          <w:i/>
          <w:sz w:val="22"/>
          <w:szCs w:val="22"/>
        </w:rPr>
        <w:t xml:space="preserve"> IRP portfolios, LSEs should assume </w:t>
      </w:r>
      <w:r w:rsidR="004740FC">
        <w:rPr>
          <w:rFonts w:asciiTheme="minorHAnsi" w:eastAsiaTheme="minorHAnsi" w:hAnsiTheme="minorHAnsi" w:cstheme="minorBidi"/>
          <w:i/>
          <w:sz w:val="22"/>
          <w:szCs w:val="22"/>
        </w:rPr>
        <w:t>its</w:t>
      </w:r>
      <w:r w:rsidR="00E71B35">
        <w:rPr>
          <w:rFonts w:asciiTheme="minorHAnsi" w:eastAsiaTheme="minorHAnsi" w:hAnsiTheme="minorHAnsi" w:cstheme="minorBidi"/>
          <w:i/>
          <w:sz w:val="22"/>
          <w:szCs w:val="22"/>
        </w:rPr>
        <w:t xml:space="preserve"> future resource adequacy obligations are </w:t>
      </w:r>
      <w:r w:rsidR="00282C43">
        <w:rPr>
          <w:rFonts w:asciiTheme="minorHAnsi" w:eastAsiaTheme="minorHAnsi" w:hAnsiTheme="minorHAnsi" w:cstheme="minorBidi"/>
          <w:i/>
          <w:sz w:val="22"/>
          <w:szCs w:val="22"/>
        </w:rPr>
        <w:t xml:space="preserve">reduced by </w:t>
      </w:r>
      <w:r w:rsidR="004740FC">
        <w:rPr>
          <w:rFonts w:asciiTheme="minorHAnsi" w:eastAsiaTheme="minorHAnsi" w:hAnsiTheme="minorHAnsi" w:cstheme="minorBidi"/>
          <w:i/>
          <w:sz w:val="22"/>
          <w:szCs w:val="22"/>
        </w:rPr>
        <w:t>its</w:t>
      </w:r>
      <w:r w:rsidR="00282C43">
        <w:rPr>
          <w:rFonts w:asciiTheme="minorHAnsi" w:eastAsiaTheme="minorHAnsi" w:hAnsiTheme="minorHAnsi" w:cstheme="minorBidi"/>
          <w:i/>
          <w:sz w:val="22"/>
          <w:szCs w:val="22"/>
        </w:rPr>
        <w:t xml:space="preserve"> </w:t>
      </w:r>
      <w:r w:rsidR="00B0648B">
        <w:rPr>
          <w:rFonts w:asciiTheme="minorHAnsi" w:eastAsiaTheme="minorHAnsi" w:hAnsiTheme="minorHAnsi" w:cstheme="minorBidi"/>
          <w:i/>
          <w:sz w:val="22"/>
          <w:szCs w:val="22"/>
        </w:rPr>
        <w:t>proportional share</w:t>
      </w:r>
      <w:r w:rsidR="00282C43">
        <w:rPr>
          <w:rFonts w:asciiTheme="minorHAnsi" w:eastAsiaTheme="minorHAnsi" w:hAnsiTheme="minorHAnsi" w:cstheme="minorBidi"/>
          <w:i/>
          <w:sz w:val="22"/>
          <w:szCs w:val="22"/>
        </w:rPr>
        <w:t xml:space="preserve"> of the resource adequacy value itemized in the year-ahead CAM list.  An LSE’s p</w:t>
      </w:r>
      <w:r w:rsidR="00B0648B">
        <w:rPr>
          <w:rFonts w:asciiTheme="minorHAnsi" w:eastAsiaTheme="minorHAnsi" w:hAnsiTheme="minorHAnsi" w:cstheme="minorBidi"/>
          <w:i/>
          <w:sz w:val="22"/>
          <w:szCs w:val="22"/>
        </w:rPr>
        <w:t>roportional share</w:t>
      </w:r>
      <w:r w:rsidR="00282C43">
        <w:rPr>
          <w:rFonts w:asciiTheme="minorHAnsi" w:eastAsiaTheme="minorHAnsi" w:hAnsiTheme="minorHAnsi" w:cstheme="minorBidi"/>
          <w:i/>
          <w:sz w:val="22"/>
          <w:szCs w:val="22"/>
        </w:rPr>
        <w:t xml:space="preserve"> is determined by its</w:t>
      </w:r>
      <w:r w:rsidR="00B0648B">
        <w:rPr>
          <w:rFonts w:asciiTheme="minorHAnsi" w:eastAsiaTheme="minorHAnsi" w:hAnsiTheme="minorHAnsi" w:cstheme="minorBidi"/>
          <w:i/>
          <w:sz w:val="22"/>
          <w:szCs w:val="22"/>
        </w:rPr>
        <w:t xml:space="preserve"> year-ahead </w:t>
      </w:r>
      <w:r w:rsidR="00282C43">
        <w:rPr>
          <w:rFonts w:asciiTheme="minorHAnsi" w:eastAsiaTheme="minorHAnsi" w:hAnsiTheme="minorHAnsi" w:cstheme="minorBidi"/>
          <w:i/>
          <w:sz w:val="22"/>
          <w:szCs w:val="22"/>
        </w:rPr>
        <w:t xml:space="preserve">share of peak load out of total </w:t>
      </w:r>
      <w:r w:rsidR="00AB4392">
        <w:rPr>
          <w:rFonts w:asciiTheme="minorHAnsi" w:eastAsiaTheme="minorHAnsi" w:hAnsiTheme="minorHAnsi" w:cstheme="minorBidi"/>
          <w:i/>
          <w:sz w:val="22"/>
          <w:szCs w:val="22"/>
        </w:rPr>
        <w:t xml:space="preserve">coincident </w:t>
      </w:r>
      <w:r w:rsidR="00282C43">
        <w:rPr>
          <w:rFonts w:asciiTheme="minorHAnsi" w:eastAsiaTheme="minorHAnsi" w:hAnsiTheme="minorHAnsi" w:cstheme="minorBidi"/>
          <w:i/>
          <w:sz w:val="22"/>
          <w:szCs w:val="22"/>
        </w:rPr>
        <w:t xml:space="preserve">peak load for the </w:t>
      </w:r>
      <w:r w:rsidR="00AB4392">
        <w:rPr>
          <w:rFonts w:asciiTheme="minorHAnsi" w:eastAsiaTheme="minorHAnsi" w:hAnsiTheme="minorHAnsi" w:cstheme="minorBidi"/>
          <w:i/>
          <w:sz w:val="22"/>
          <w:szCs w:val="22"/>
        </w:rPr>
        <w:t>IOU service territory</w:t>
      </w:r>
      <w:r w:rsidR="00282C43">
        <w:rPr>
          <w:rFonts w:asciiTheme="minorHAnsi" w:eastAsiaTheme="minorHAnsi" w:hAnsiTheme="minorHAnsi" w:cstheme="minorBidi"/>
          <w:i/>
          <w:sz w:val="22"/>
          <w:szCs w:val="22"/>
        </w:rPr>
        <w:t xml:space="preserve"> the LSE is located in</w:t>
      </w:r>
      <w:r w:rsidR="00B0648B">
        <w:rPr>
          <w:rFonts w:asciiTheme="minorHAnsi" w:eastAsiaTheme="minorHAnsi" w:hAnsiTheme="minorHAnsi" w:cstheme="minorBidi"/>
          <w:i/>
          <w:sz w:val="22"/>
          <w:szCs w:val="22"/>
        </w:rPr>
        <w:t>, as assigned in the Commission’s annual resource adequacy process</w:t>
      </w:r>
      <w:r w:rsidR="00282C43">
        <w:rPr>
          <w:rFonts w:asciiTheme="minorHAnsi" w:eastAsiaTheme="minorHAnsi" w:hAnsiTheme="minorHAnsi" w:cstheme="minorBidi"/>
          <w:i/>
          <w:sz w:val="22"/>
          <w:szCs w:val="22"/>
        </w:rPr>
        <w:t xml:space="preserve">. </w:t>
      </w:r>
      <w:r w:rsidR="00B0648B">
        <w:rPr>
          <w:rFonts w:asciiTheme="minorHAnsi" w:eastAsiaTheme="minorHAnsi" w:hAnsiTheme="minorHAnsi" w:cstheme="minorBidi"/>
          <w:i/>
          <w:sz w:val="22"/>
          <w:szCs w:val="22"/>
        </w:rPr>
        <w:t xml:space="preserve"> The LSE’</w:t>
      </w:r>
      <w:r w:rsidR="004740FC">
        <w:rPr>
          <w:rFonts w:asciiTheme="minorHAnsi" w:eastAsiaTheme="minorHAnsi" w:hAnsiTheme="minorHAnsi" w:cstheme="minorBidi"/>
          <w:i/>
          <w:sz w:val="22"/>
          <w:szCs w:val="22"/>
        </w:rPr>
        <w:t>s proportional share is assumed static through the IRP planning horizon for the purpose of projecting its share of CAM resource adequacy value, but will be updated each IRP cycle</w:t>
      </w:r>
      <w:r w:rsidR="00D2349B">
        <w:rPr>
          <w:rFonts w:asciiTheme="minorHAnsi" w:eastAsiaTheme="minorHAnsi" w:hAnsiTheme="minorHAnsi" w:cstheme="minorBidi"/>
          <w:i/>
          <w:sz w:val="22"/>
          <w:szCs w:val="22"/>
        </w:rPr>
        <w:t xml:space="preserve"> based on the current proportional share assignment from the</w:t>
      </w:r>
      <w:r w:rsidR="00D2349B" w:rsidRPr="00D2349B">
        <w:rPr>
          <w:rFonts w:asciiTheme="minorHAnsi" w:eastAsiaTheme="minorHAnsi" w:hAnsiTheme="minorHAnsi" w:cstheme="minorBidi"/>
          <w:i/>
          <w:sz w:val="22"/>
          <w:szCs w:val="22"/>
        </w:rPr>
        <w:t xml:space="preserve"> </w:t>
      </w:r>
      <w:r w:rsidR="00D2349B">
        <w:rPr>
          <w:rFonts w:asciiTheme="minorHAnsi" w:eastAsiaTheme="minorHAnsi" w:hAnsiTheme="minorHAnsi" w:cstheme="minorBidi"/>
          <w:i/>
          <w:sz w:val="22"/>
          <w:szCs w:val="22"/>
        </w:rPr>
        <w:t>Commission’s annual resource adequacy process</w:t>
      </w:r>
      <w:r w:rsidR="004740FC">
        <w:rPr>
          <w:rFonts w:asciiTheme="minorHAnsi" w:eastAsiaTheme="minorHAnsi" w:hAnsiTheme="minorHAnsi" w:cstheme="minorBidi"/>
          <w:i/>
          <w:sz w:val="22"/>
          <w:szCs w:val="22"/>
        </w:rPr>
        <w:t>.</w:t>
      </w:r>
      <w:r w:rsidR="00B0648B">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 xml:space="preserve">LSEs should not make assumptions or predictions on what resources may be </w:t>
      </w:r>
      <w:r>
        <w:rPr>
          <w:rFonts w:asciiTheme="minorHAnsi" w:eastAsiaTheme="minorHAnsi" w:hAnsiTheme="minorHAnsi" w:cstheme="minorBidi"/>
          <w:i/>
          <w:sz w:val="22"/>
          <w:szCs w:val="22"/>
        </w:rPr>
        <w:t xml:space="preserve">procured on behalf of all </w:t>
      </w:r>
      <w:proofErr w:type="gramStart"/>
      <w:r>
        <w:rPr>
          <w:rFonts w:asciiTheme="minorHAnsi" w:eastAsiaTheme="minorHAnsi" w:hAnsiTheme="minorHAnsi" w:cstheme="minorBidi"/>
          <w:i/>
          <w:sz w:val="22"/>
          <w:szCs w:val="22"/>
        </w:rPr>
        <w:t>load</w:t>
      </w:r>
      <w:proofErr w:type="gramEnd"/>
      <w:r>
        <w:rPr>
          <w:rFonts w:asciiTheme="minorHAnsi" w:eastAsiaTheme="minorHAnsi" w:hAnsiTheme="minorHAnsi" w:cstheme="minorBidi"/>
          <w:i/>
          <w:sz w:val="22"/>
          <w:szCs w:val="22"/>
        </w:rPr>
        <w:t xml:space="preserve"> and </w:t>
      </w:r>
      <w:r w:rsidRPr="00D6564C">
        <w:rPr>
          <w:rFonts w:asciiTheme="minorHAnsi" w:eastAsiaTheme="minorHAnsi" w:hAnsiTheme="minorHAnsi" w:cstheme="minorBidi"/>
          <w:i/>
          <w:sz w:val="22"/>
          <w:szCs w:val="22"/>
        </w:rPr>
        <w:t>subject to the CAM in the future.</w:t>
      </w:r>
    </w:p>
    <w:p w:rsidR="00AF0282" w:rsidRPr="00D6564C" w:rsidRDefault="00AF0282" w:rsidP="00AF0282">
      <w:pPr>
        <w:keepNext/>
        <w:keepLines/>
        <w:numPr>
          <w:ilvl w:val="1"/>
          <w:numId w:val="1"/>
        </w:numPr>
        <w:spacing w:before="480" w:after="240" w:line="276" w:lineRule="auto"/>
        <w:ind w:left="864" w:hanging="504"/>
        <w:outlineLvl w:val="1"/>
        <w:rPr>
          <w:rFonts w:asciiTheme="majorHAnsi" w:eastAsiaTheme="majorEastAsia" w:hAnsiTheme="majorHAnsi" w:cstheme="majorBidi"/>
          <w:b/>
          <w:bCs/>
          <w:sz w:val="24"/>
          <w:szCs w:val="28"/>
        </w:rPr>
      </w:pPr>
      <w:bookmarkStart w:id="25" w:name="_Toc500329357"/>
      <w:bookmarkStart w:id="26" w:name="_Toc500430353"/>
      <w:bookmarkStart w:id="27" w:name="_Toc500329358"/>
      <w:bookmarkStart w:id="28" w:name="_Toc500430354"/>
      <w:bookmarkStart w:id="29" w:name="_Toc500329359"/>
      <w:bookmarkStart w:id="30" w:name="_Toc500430355"/>
      <w:bookmarkStart w:id="31" w:name="_Toc501375930"/>
      <w:bookmarkEnd w:id="25"/>
      <w:bookmarkEnd w:id="26"/>
      <w:bookmarkEnd w:id="27"/>
      <w:bookmarkEnd w:id="28"/>
      <w:bookmarkEnd w:id="29"/>
      <w:bookmarkEnd w:id="30"/>
      <w:r w:rsidRPr="00D6564C">
        <w:rPr>
          <w:rFonts w:asciiTheme="majorHAnsi" w:eastAsiaTheme="majorEastAsia" w:hAnsiTheme="majorHAnsi" w:cstheme="majorBidi"/>
          <w:b/>
          <w:bCs/>
          <w:sz w:val="24"/>
          <w:szCs w:val="28"/>
        </w:rPr>
        <w:t>Deviations from Current Resource Plans</w:t>
      </w:r>
      <w:bookmarkEnd w:id="31"/>
    </w:p>
    <w:p w:rsidR="00AF0282" w:rsidRPr="00D6564C"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and quantify any differences in the quantities and/or budgets for procurement between the LSE’s Preferred Plan and any currently filed or authorized resource plans, including, but not limited to: Bundled Plans, RPS Plans, Energy Efficiency Business Plans, Distributed Resource Plans, and specific procurement-related applications.</w:t>
      </w:r>
    </w:p>
    <w:p w:rsidR="00AF0282" w:rsidRPr="00D6564C" w:rsidRDefault="00AF0282" w:rsidP="00AF0282">
      <w:pPr>
        <w:keepNext/>
        <w:keepLines/>
        <w:numPr>
          <w:ilvl w:val="1"/>
          <w:numId w:val="1"/>
        </w:numPr>
        <w:spacing w:before="480" w:after="240" w:line="276" w:lineRule="auto"/>
        <w:ind w:left="864" w:hanging="504"/>
        <w:outlineLvl w:val="1"/>
        <w:rPr>
          <w:rFonts w:asciiTheme="majorHAnsi" w:eastAsiaTheme="majorEastAsia" w:hAnsiTheme="majorHAnsi" w:cstheme="majorBidi"/>
          <w:b/>
          <w:bCs/>
          <w:sz w:val="24"/>
          <w:szCs w:val="28"/>
        </w:rPr>
      </w:pPr>
      <w:bookmarkStart w:id="32" w:name="_Toc501375931"/>
      <w:r w:rsidRPr="00D6564C">
        <w:rPr>
          <w:rFonts w:asciiTheme="majorHAnsi" w:eastAsiaTheme="majorEastAsia" w:hAnsiTheme="majorHAnsi" w:cstheme="majorBidi"/>
          <w:b/>
          <w:bCs/>
          <w:sz w:val="24"/>
          <w:szCs w:val="28"/>
        </w:rPr>
        <w:lastRenderedPageBreak/>
        <w:t>Local Needs Analysis</w:t>
      </w:r>
      <w:bookmarkEnd w:id="32"/>
    </w:p>
    <w:p w:rsidR="00AF0282" w:rsidRPr="00D6564C"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LSEs that serve load within a CAISO-defined local capacity area must report the LSE’s own assessment of how it will meet the local capacity needs projected in the most recent CAISO Transmission Plan.</w:t>
      </w:r>
      <w:r>
        <w:rPr>
          <w:rStyle w:val="FootnoteReference"/>
          <w:rFonts w:asciiTheme="minorHAnsi" w:eastAsiaTheme="minorHAnsi" w:hAnsiTheme="minorHAnsi" w:cstheme="minorBidi"/>
          <w:i/>
          <w:szCs w:val="22"/>
        </w:rPr>
        <w:footnoteReference w:id="5"/>
      </w:r>
      <w:r w:rsidR="00F737E9" w:rsidRPr="00F737E9">
        <w:rPr>
          <w:rFonts w:ascii="Calibri" w:eastAsia="Calibri" w:hAnsi="Calibri" w:cs="Calibri"/>
          <w:i/>
          <w:spacing w:val="-1"/>
          <w:sz w:val="22"/>
          <w:szCs w:val="22"/>
        </w:rPr>
        <w:t xml:space="preserve"> </w:t>
      </w:r>
      <w:r w:rsidR="00F737E9">
        <w:rPr>
          <w:rFonts w:ascii="Calibri" w:eastAsia="Calibri" w:hAnsi="Calibri" w:cs="Calibri"/>
          <w:i/>
          <w:spacing w:val="-1"/>
          <w:sz w:val="22"/>
          <w:szCs w:val="22"/>
        </w:rPr>
        <w:t xml:space="preserve">In doing so, </w:t>
      </w:r>
      <w:r w:rsidR="00F737E9" w:rsidRPr="00F26A94">
        <w:rPr>
          <w:rFonts w:ascii="Calibri" w:eastAsia="Calibri" w:hAnsi="Calibri" w:cs="Calibri"/>
          <w:i/>
          <w:spacing w:val="-1"/>
          <w:sz w:val="22"/>
          <w:szCs w:val="22"/>
        </w:rPr>
        <w:t xml:space="preserve">LSEs should use the Local Capacity Technical Analysis (LCT) reports for years 2018 and 2022 associated with the CAISO board-approved </w:t>
      </w:r>
      <w:proofErr w:type="gramStart"/>
      <w:r w:rsidR="00F737E9" w:rsidRPr="00F26A94">
        <w:rPr>
          <w:rFonts w:ascii="Calibri" w:eastAsia="Calibri" w:hAnsi="Calibri" w:cs="Calibri"/>
          <w:i/>
          <w:spacing w:val="-1"/>
          <w:sz w:val="22"/>
          <w:szCs w:val="22"/>
        </w:rPr>
        <w:t>2017-18 Transmission Plan</w:t>
      </w:r>
      <w:proofErr w:type="gramEnd"/>
      <w:r w:rsidR="00F737E9" w:rsidRPr="00F26A94">
        <w:rPr>
          <w:rFonts w:ascii="Calibri" w:eastAsia="Calibri" w:hAnsi="Calibri" w:cs="Calibri"/>
          <w:i/>
          <w:spacing w:val="-1"/>
          <w:sz w:val="22"/>
          <w:szCs w:val="22"/>
        </w:rPr>
        <w:t xml:space="preserve"> when developing the local needs analysis of their Conforming Portfolios. LSEs may use the 2017 IEPR-based final LCT reports for 2019 and 2023 (expected to be available by the end of May2018 at the latest) to develop a local needs analysis i</w:t>
      </w:r>
      <w:r w:rsidR="00F737E9">
        <w:rPr>
          <w:rFonts w:ascii="Calibri" w:eastAsia="Calibri" w:hAnsi="Calibri" w:cs="Calibri"/>
          <w:i/>
          <w:spacing w:val="-1"/>
          <w:sz w:val="22"/>
          <w:szCs w:val="22"/>
        </w:rPr>
        <w:t>n their Alternative Portfolios.</w:t>
      </w:r>
      <w:r w:rsidR="00F737E9">
        <w:rPr>
          <w:rStyle w:val="FootnoteReference"/>
          <w:rFonts w:ascii="Calibri" w:eastAsia="Calibri" w:hAnsi="Calibri" w:cs="Calibri"/>
          <w:i/>
          <w:spacing w:val="-1"/>
          <w:sz w:val="22"/>
          <w:szCs w:val="22"/>
        </w:rPr>
        <w:footnoteReference w:id="6"/>
      </w:r>
      <w:r w:rsidR="00D2349B">
        <w:rPr>
          <w:rFonts w:ascii="Calibri" w:eastAsia="Calibri" w:hAnsi="Calibri" w:cs="Calibri"/>
          <w:i/>
          <w:spacing w:val="-1"/>
          <w:sz w:val="22"/>
          <w:szCs w:val="22"/>
        </w:rPr>
        <w:t xml:space="preserve">  LSEs should use the </w:t>
      </w:r>
      <w:r w:rsidR="00D2349B">
        <w:rPr>
          <w:rFonts w:asciiTheme="minorHAnsi" w:eastAsiaTheme="minorHAnsi" w:hAnsiTheme="minorHAnsi" w:cstheme="minorBidi"/>
          <w:i/>
          <w:sz w:val="22"/>
          <w:szCs w:val="22"/>
        </w:rPr>
        <w:t xml:space="preserve">Commission’s resource adequacy program’s definition of local capacity areas for the purposes of the local needs analysis.  These areas are: Greater Bay Area, </w:t>
      </w:r>
      <w:r w:rsidR="00D2349B" w:rsidRPr="00D2349B">
        <w:rPr>
          <w:rFonts w:asciiTheme="minorHAnsi" w:eastAsiaTheme="minorHAnsi" w:hAnsiTheme="minorHAnsi" w:cstheme="minorBidi"/>
          <w:i/>
          <w:sz w:val="22"/>
          <w:szCs w:val="22"/>
        </w:rPr>
        <w:t xml:space="preserve">Big Creek Ventura, CAISO System, LA Basin, San Diego IV, </w:t>
      </w:r>
      <w:r w:rsidR="00D2349B">
        <w:rPr>
          <w:rFonts w:asciiTheme="minorHAnsi" w:eastAsiaTheme="minorHAnsi" w:hAnsiTheme="minorHAnsi" w:cstheme="minorBidi"/>
          <w:i/>
          <w:sz w:val="22"/>
          <w:szCs w:val="22"/>
        </w:rPr>
        <w:t xml:space="preserve">and </w:t>
      </w:r>
      <w:r w:rsidR="00D2349B" w:rsidRPr="00D2349B">
        <w:rPr>
          <w:rFonts w:asciiTheme="minorHAnsi" w:eastAsiaTheme="minorHAnsi" w:hAnsiTheme="minorHAnsi" w:cstheme="minorBidi"/>
          <w:i/>
          <w:sz w:val="22"/>
          <w:szCs w:val="22"/>
        </w:rPr>
        <w:t>Other PG&amp;E</w:t>
      </w:r>
      <w:r w:rsidR="00D2349B">
        <w:rPr>
          <w:rFonts w:asciiTheme="minorHAnsi" w:eastAsiaTheme="minorHAnsi" w:hAnsiTheme="minorHAnsi" w:cstheme="minorBidi"/>
          <w:i/>
          <w:sz w:val="22"/>
          <w:szCs w:val="22"/>
        </w:rPr>
        <w:t>.</w:t>
      </w:r>
    </w:p>
    <w:p w:rsidR="00AF0282" w:rsidRPr="00D6564C" w:rsidRDefault="00AF0282" w:rsidP="00AF0282">
      <w:pPr>
        <w:keepNext/>
        <w:keepLines/>
        <w:numPr>
          <w:ilvl w:val="0"/>
          <w:numId w:val="1"/>
        </w:numPr>
        <w:spacing w:before="480" w:after="240" w:line="276" w:lineRule="auto"/>
        <w:ind w:left="360"/>
        <w:outlineLvl w:val="0"/>
        <w:rPr>
          <w:rFonts w:asciiTheme="majorHAnsi" w:eastAsiaTheme="majorEastAsia" w:hAnsiTheme="majorHAnsi" w:cstheme="majorBidi"/>
          <w:b/>
          <w:bCs/>
          <w:sz w:val="28"/>
          <w:szCs w:val="28"/>
        </w:rPr>
      </w:pPr>
      <w:bookmarkStart w:id="33" w:name="_Toc501375932"/>
      <w:r w:rsidRPr="00D6564C">
        <w:rPr>
          <w:rFonts w:asciiTheme="majorHAnsi" w:eastAsiaTheme="majorEastAsia" w:hAnsiTheme="majorHAnsi" w:cstheme="majorBidi"/>
          <w:b/>
          <w:bCs/>
          <w:sz w:val="28"/>
          <w:szCs w:val="28"/>
        </w:rPr>
        <w:t>Action Plan</w:t>
      </w:r>
      <w:bookmarkEnd w:id="33"/>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This section will present all the actions that the LSE proposes to take in the next 1-3 years to implement its LSE Plan.</w:t>
      </w:r>
    </w:p>
    <w:p w:rsidR="00AF0282" w:rsidRPr="00D6564C" w:rsidRDefault="00AF0282" w:rsidP="00AF0282">
      <w:pPr>
        <w:keepNext/>
        <w:keepLines/>
        <w:numPr>
          <w:ilvl w:val="1"/>
          <w:numId w:val="1"/>
        </w:numPr>
        <w:spacing w:before="480" w:after="240" w:line="276" w:lineRule="auto"/>
        <w:ind w:left="864" w:hanging="504"/>
        <w:outlineLvl w:val="1"/>
        <w:rPr>
          <w:rFonts w:asciiTheme="majorHAnsi" w:eastAsiaTheme="majorEastAsia" w:hAnsiTheme="majorHAnsi" w:cstheme="majorBidi"/>
          <w:b/>
          <w:bCs/>
          <w:sz w:val="24"/>
          <w:szCs w:val="28"/>
        </w:rPr>
      </w:pPr>
      <w:bookmarkStart w:id="34" w:name="_Toc501375933"/>
      <w:r w:rsidRPr="00D6564C">
        <w:rPr>
          <w:rFonts w:asciiTheme="majorHAnsi" w:eastAsiaTheme="majorEastAsia" w:hAnsiTheme="majorHAnsi" w:cstheme="majorBidi"/>
          <w:b/>
          <w:bCs/>
          <w:sz w:val="24"/>
          <w:szCs w:val="28"/>
        </w:rPr>
        <w:t>Proposed Activities</w:t>
      </w:r>
      <w:bookmarkEnd w:id="34"/>
    </w:p>
    <w:p w:rsidR="00AF0282"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Describe any near-term activities the LSE proposes to undertake across resource types in order to implement its LSE Plan</w:t>
      </w:r>
      <w:r>
        <w:rPr>
          <w:rFonts w:asciiTheme="minorHAnsi" w:eastAsiaTheme="minorHAnsi" w:hAnsiTheme="minorHAnsi" w:cstheme="minorBidi"/>
          <w:i/>
          <w:sz w:val="22"/>
          <w:szCs w:val="22"/>
        </w:rPr>
        <w:t>, including any information on proposed and procurement-related activities as required by the Commission decision on</w:t>
      </w:r>
      <w:r w:rsidRPr="001D5A4D">
        <w:rPr>
          <w:rFonts w:asciiTheme="minorHAnsi" w:eastAsiaTheme="minorHAnsi" w:hAnsiTheme="minorHAnsi" w:cstheme="minorBidi"/>
          <w:i/>
          <w:sz w:val="22"/>
          <w:szCs w:val="22"/>
        </w:rPr>
        <w:t xml:space="preserve"> </w:t>
      </w:r>
      <w:r>
        <w:rPr>
          <w:rFonts w:asciiTheme="minorHAnsi" w:eastAsiaTheme="minorHAnsi" w:hAnsiTheme="minorHAnsi" w:cstheme="minorBidi"/>
          <w:i/>
          <w:sz w:val="22"/>
          <w:szCs w:val="22"/>
        </w:rPr>
        <w:t>IRP</w:t>
      </w:r>
      <w:r w:rsidRPr="00D6564C">
        <w:rPr>
          <w:rFonts w:asciiTheme="minorHAnsi" w:eastAsiaTheme="minorHAnsi" w:hAnsiTheme="minorHAnsi" w:cstheme="minorBidi"/>
          <w:i/>
          <w:sz w:val="22"/>
          <w:szCs w:val="22"/>
        </w:rPr>
        <w:t xml:space="preserve">. Clearly describe how each </w:t>
      </w:r>
      <w:r>
        <w:rPr>
          <w:rFonts w:asciiTheme="minorHAnsi" w:eastAsiaTheme="minorHAnsi" w:hAnsiTheme="minorHAnsi" w:cstheme="minorBidi"/>
          <w:i/>
          <w:sz w:val="22"/>
          <w:szCs w:val="22"/>
        </w:rPr>
        <w:t xml:space="preserve">proposed </w:t>
      </w:r>
      <w:r w:rsidRPr="00D6564C">
        <w:rPr>
          <w:rFonts w:asciiTheme="minorHAnsi" w:eastAsiaTheme="minorHAnsi" w:hAnsiTheme="minorHAnsi" w:cstheme="minorBidi"/>
          <w:i/>
          <w:sz w:val="22"/>
          <w:szCs w:val="22"/>
        </w:rPr>
        <w:t>activity relates to the study results presented in Section 3: Study Results.</w:t>
      </w:r>
      <w:r w:rsidR="00F737E9">
        <w:rPr>
          <w:rFonts w:asciiTheme="minorHAnsi" w:eastAsiaTheme="minorHAnsi" w:hAnsiTheme="minorHAnsi" w:cstheme="minorBidi"/>
          <w:i/>
          <w:sz w:val="22"/>
          <w:szCs w:val="22"/>
        </w:rPr>
        <w:t xml:space="preserve"> </w:t>
      </w:r>
      <w:r w:rsidR="00F737E9">
        <w:rPr>
          <w:rFonts w:ascii="Calibri" w:eastAsia="Calibri" w:hAnsi="Calibri" w:cs="Calibri"/>
          <w:i/>
          <w:sz w:val="22"/>
          <w:szCs w:val="22"/>
        </w:rPr>
        <w:t xml:space="preserve">As stated in Section 3.b., if the LSE chooses a portfolio other than its Conforming Portfolio as its Preferred Portfolio, it should use this section to describe Proposed Activities for both portfolios. To the extent that any proposed activities would apply to both portfolios, the LSE may indicate </w:t>
      </w:r>
      <w:r w:rsidR="00887C82">
        <w:rPr>
          <w:rFonts w:ascii="Calibri" w:eastAsia="Calibri" w:hAnsi="Calibri" w:cs="Calibri"/>
          <w:i/>
          <w:sz w:val="22"/>
          <w:szCs w:val="22"/>
        </w:rPr>
        <w:t>as such</w:t>
      </w:r>
      <w:r w:rsidR="00F737E9">
        <w:rPr>
          <w:rFonts w:ascii="Calibri" w:eastAsia="Calibri" w:hAnsi="Calibri" w:cs="Calibri"/>
          <w:i/>
          <w:sz w:val="22"/>
          <w:szCs w:val="22"/>
        </w:rPr>
        <w:t xml:space="preserve"> rather than </w:t>
      </w:r>
      <w:r w:rsidR="00887C82">
        <w:rPr>
          <w:rFonts w:ascii="Calibri" w:eastAsia="Calibri" w:hAnsi="Calibri" w:cs="Calibri"/>
          <w:i/>
          <w:sz w:val="22"/>
          <w:szCs w:val="22"/>
        </w:rPr>
        <w:t>duplicate</w:t>
      </w:r>
      <w:r w:rsidR="00F737E9">
        <w:rPr>
          <w:rFonts w:ascii="Calibri" w:eastAsia="Calibri" w:hAnsi="Calibri" w:cs="Calibri"/>
          <w:i/>
          <w:sz w:val="22"/>
          <w:szCs w:val="22"/>
        </w:rPr>
        <w:t xml:space="preserve"> information.</w:t>
      </w:r>
    </w:p>
    <w:p w:rsidR="00AF0282" w:rsidRPr="00D6564C" w:rsidRDefault="00AF0282" w:rsidP="00AF0282">
      <w:pPr>
        <w:spacing w:after="200" w:line="276" w:lineRule="auto"/>
        <w:ind w:left="360"/>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Additionally, use this section to describe </w:t>
      </w:r>
      <w:r w:rsidRPr="000B5DE2">
        <w:rPr>
          <w:rFonts w:asciiTheme="minorHAnsi" w:eastAsiaTheme="minorHAnsi" w:hAnsiTheme="minorHAnsi" w:cstheme="minorBidi"/>
          <w:i/>
          <w:sz w:val="22"/>
          <w:szCs w:val="22"/>
        </w:rPr>
        <w:t>planned activities to conduct outreach and seek input from any disadvantaged communities that</w:t>
      </w:r>
      <w:r w:rsidRPr="005C2646">
        <w:rPr>
          <w:rFonts w:asciiTheme="minorHAnsi" w:eastAsiaTheme="minorHAnsi" w:hAnsiTheme="minorHAnsi" w:cstheme="minorBidi"/>
          <w:i/>
          <w:sz w:val="22"/>
          <w:szCs w:val="22"/>
        </w:rPr>
        <w:t xml:space="preserve"> could be impacted by</w:t>
      </w:r>
      <w:r w:rsidRPr="000B5DE2">
        <w:rPr>
          <w:rFonts w:asciiTheme="minorHAnsi" w:eastAsiaTheme="minorHAnsi" w:hAnsiTheme="minorHAnsi" w:cstheme="minorBidi"/>
          <w:i/>
          <w:sz w:val="22"/>
          <w:szCs w:val="22"/>
        </w:rPr>
        <w:t xml:space="preserve"> procurement</w:t>
      </w:r>
      <w:r>
        <w:rPr>
          <w:rFonts w:asciiTheme="minorHAnsi" w:eastAsiaTheme="minorHAnsi" w:hAnsiTheme="minorHAnsi" w:cstheme="minorBidi"/>
          <w:i/>
          <w:sz w:val="22"/>
          <w:szCs w:val="22"/>
        </w:rPr>
        <w:t xml:space="preserve"> resulting from the implementation of the LSE’s Plan. Include the criteria used to evaluate any proposed procurement located in disadvantaged communities (e.g., use of any scoring bonuses or any other mechanisms LSE has implemented to ensure its preferred portfolio complies statutory requirements related to procurement of projects in disadvantaged communities, as described in Sections </w:t>
      </w:r>
      <w:r w:rsidRPr="000B5DE2">
        <w:rPr>
          <w:rFonts w:asciiTheme="minorHAnsi" w:eastAsiaTheme="minorHAnsi" w:hAnsiTheme="minorHAnsi" w:cstheme="minorBidi"/>
          <w:i/>
          <w:sz w:val="22"/>
          <w:szCs w:val="22"/>
        </w:rPr>
        <w:t>454.5(b)(9)(D)(</w:t>
      </w:r>
      <w:proofErr w:type="spellStart"/>
      <w:r w:rsidRPr="000B5DE2">
        <w:rPr>
          <w:rFonts w:asciiTheme="minorHAnsi" w:eastAsiaTheme="minorHAnsi" w:hAnsiTheme="minorHAnsi" w:cstheme="minorBidi"/>
          <w:i/>
          <w:sz w:val="22"/>
          <w:szCs w:val="22"/>
        </w:rPr>
        <w:t>i</w:t>
      </w:r>
      <w:proofErr w:type="spellEnd"/>
      <w:r w:rsidRPr="000B5DE2">
        <w:rPr>
          <w:rFonts w:asciiTheme="minorHAnsi" w:eastAsiaTheme="minorHAnsi" w:hAnsiTheme="minorHAnsi" w:cstheme="minorBidi"/>
          <w:i/>
          <w:sz w:val="22"/>
          <w:szCs w:val="22"/>
        </w:rPr>
        <w:t>-ii)</w:t>
      </w:r>
      <w:r>
        <w:rPr>
          <w:rFonts w:asciiTheme="minorHAnsi" w:eastAsiaTheme="minorHAnsi" w:hAnsiTheme="minorHAnsi" w:cstheme="minorBidi"/>
          <w:i/>
          <w:sz w:val="22"/>
          <w:szCs w:val="22"/>
        </w:rPr>
        <w:t xml:space="preserve">, and </w:t>
      </w:r>
      <w:r w:rsidRPr="000B5DE2">
        <w:rPr>
          <w:rFonts w:asciiTheme="minorHAnsi" w:eastAsiaTheme="minorHAnsi" w:hAnsiTheme="minorHAnsi" w:cstheme="minorBidi"/>
          <w:i/>
          <w:sz w:val="22"/>
          <w:szCs w:val="22"/>
        </w:rPr>
        <w:t>399.13(a)(7)(A-B)</w:t>
      </w:r>
      <w:r>
        <w:rPr>
          <w:rFonts w:asciiTheme="minorHAnsi" w:eastAsiaTheme="minorHAnsi" w:hAnsiTheme="minorHAnsi" w:cstheme="minorBidi"/>
          <w:i/>
          <w:sz w:val="22"/>
          <w:szCs w:val="22"/>
        </w:rPr>
        <w:t>).</w:t>
      </w:r>
    </w:p>
    <w:p w:rsidR="00AF0282" w:rsidRPr="00D6564C" w:rsidRDefault="00AF0282" w:rsidP="00AF0282">
      <w:pPr>
        <w:keepNext/>
        <w:keepLines/>
        <w:numPr>
          <w:ilvl w:val="1"/>
          <w:numId w:val="1"/>
        </w:numPr>
        <w:spacing w:before="480" w:after="240" w:line="276" w:lineRule="auto"/>
        <w:ind w:left="864" w:hanging="504"/>
        <w:outlineLvl w:val="1"/>
        <w:rPr>
          <w:rFonts w:asciiTheme="majorHAnsi" w:eastAsiaTheme="majorEastAsia" w:hAnsiTheme="majorHAnsi" w:cstheme="majorBidi"/>
          <w:b/>
          <w:bCs/>
          <w:sz w:val="24"/>
          <w:szCs w:val="28"/>
        </w:rPr>
      </w:pPr>
      <w:bookmarkStart w:id="35" w:name="_Toc501375934"/>
      <w:r w:rsidRPr="00D6564C">
        <w:rPr>
          <w:rFonts w:asciiTheme="majorHAnsi" w:eastAsiaTheme="majorEastAsia" w:hAnsiTheme="majorHAnsi" w:cstheme="majorBidi"/>
          <w:b/>
          <w:bCs/>
          <w:sz w:val="24"/>
          <w:szCs w:val="28"/>
        </w:rPr>
        <w:lastRenderedPageBreak/>
        <w:t>Barrier Analysis</w:t>
      </w:r>
      <w:bookmarkEnd w:id="35"/>
    </w:p>
    <w:p w:rsidR="00AF0282" w:rsidRPr="00D6564C" w:rsidRDefault="00AF0282" w:rsidP="00AF0282">
      <w:pPr>
        <w:spacing w:after="120" w:line="276" w:lineRule="auto"/>
        <w:ind w:left="360"/>
        <w:rPr>
          <w:rFonts w:asciiTheme="minorHAnsi" w:eastAsiaTheme="minorHAnsi" w:hAnsiTheme="minorHAnsi" w:cstheme="minorBidi"/>
          <w:sz w:val="22"/>
          <w:szCs w:val="22"/>
        </w:rPr>
      </w:pPr>
      <w:r w:rsidRPr="00D6564C">
        <w:rPr>
          <w:rFonts w:asciiTheme="minorHAnsi" w:eastAsiaTheme="minorHAnsi" w:hAnsiTheme="minorHAnsi" w:cstheme="minorBidi"/>
          <w:i/>
          <w:sz w:val="22"/>
          <w:szCs w:val="22"/>
        </w:rPr>
        <w:t>Identify any market, regulatory, financial, or other barriers or risks associated with the LSE acquiring the resources identified in the Preferred Portfolio. Include an analysis of any risks associated with potential retirement of existing resources on which the LSE intends to rely in the future</w:t>
      </w:r>
      <w:r w:rsidRPr="00D6564C">
        <w:rPr>
          <w:rFonts w:asciiTheme="minorHAnsi" w:eastAsiaTheme="minorHAnsi" w:hAnsiTheme="minorHAnsi" w:cstheme="minorBidi"/>
          <w:sz w:val="22"/>
          <w:szCs w:val="22"/>
        </w:rPr>
        <w:t>.</w:t>
      </w:r>
    </w:p>
    <w:p w:rsidR="00AF0282" w:rsidRPr="00D6564C" w:rsidRDefault="00AF0282" w:rsidP="00AF0282">
      <w:pPr>
        <w:keepNext/>
        <w:keepLines/>
        <w:numPr>
          <w:ilvl w:val="1"/>
          <w:numId w:val="1"/>
        </w:numPr>
        <w:spacing w:before="480" w:after="240" w:line="276" w:lineRule="auto"/>
        <w:ind w:left="864" w:hanging="504"/>
        <w:outlineLvl w:val="1"/>
        <w:rPr>
          <w:rFonts w:asciiTheme="majorHAnsi" w:eastAsiaTheme="majorEastAsia" w:hAnsiTheme="majorHAnsi" w:cstheme="majorBidi"/>
          <w:b/>
          <w:bCs/>
          <w:sz w:val="24"/>
          <w:szCs w:val="28"/>
        </w:rPr>
      </w:pPr>
      <w:bookmarkStart w:id="36" w:name="_Toc500329369"/>
      <w:bookmarkStart w:id="37" w:name="_Toc500430365"/>
      <w:bookmarkStart w:id="38" w:name="_Toc501375935"/>
      <w:bookmarkEnd w:id="36"/>
      <w:bookmarkEnd w:id="37"/>
      <w:r w:rsidRPr="00D6564C">
        <w:rPr>
          <w:rFonts w:asciiTheme="majorHAnsi" w:eastAsiaTheme="majorEastAsia" w:hAnsiTheme="majorHAnsi" w:cstheme="majorBidi"/>
          <w:b/>
          <w:bCs/>
          <w:sz w:val="24"/>
          <w:szCs w:val="28"/>
        </w:rPr>
        <w:t>Proposed Commission Direction</w:t>
      </w:r>
      <w:bookmarkEnd w:id="38"/>
    </w:p>
    <w:p w:rsidR="00AF0282" w:rsidRPr="00D6564C"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If applicable, describe any direction that the LSE seeks from the Commission, including any new spending authorizations, changes to existing authorizations, or changes to existing programmatic goals or budgets. Clearly relate any requested direction to the study results, proposed activities, and barrier analysis presented above.</w:t>
      </w:r>
    </w:p>
    <w:p w:rsidR="00AF0282" w:rsidRPr="00D6564C" w:rsidRDefault="00AF0282" w:rsidP="00AF0282">
      <w:pPr>
        <w:keepNext/>
        <w:keepLines/>
        <w:numPr>
          <w:ilvl w:val="0"/>
          <w:numId w:val="1"/>
        </w:numPr>
        <w:spacing w:before="480" w:after="240" w:line="276" w:lineRule="auto"/>
        <w:ind w:left="360"/>
        <w:outlineLvl w:val="0"/>
        <w:rPr>
          <w:rFonts w:asciiTheme="majorHAnsi" w:eastAsiaTheme="majorEastAsia" w:hAnsiTheme="majorHAnsi" w:cstheme="majorBidi"/>
          <w:b/>
          <w:bCs/>
          <w:sz w:val="28"/>
          <w:szCs w:val="28"/>
        </w:rPr>
      </w:pPr>
      <w:bookmarkStart w:id="39" w:name="_Toc500329373"/>
      <w:bookmarkStart w:id="40" w:name="_Toc500430369"/>
      <w:bookmarkStart w:id="41" w:name="_Toc500329374"/>
      <w:bookmarkStart w:id="42" w:name="_Toc500430370"/>
      <w:bookmarkStart w:id="43" w:name="_Toc500329375"/>
      <w:bookmarkStart w:id="44" w:name="_Toc500430371"/>
      <w:bookmarkStart w:id="45" w:name="_Toc500329376"/>
      <w:bookmarkStart w:id="46" w:name="_Toc500430372"/>
      <w:bookmarkStart w:id="47" w:name="_Toc500329377"/>
      <w:bookmarkStart w:id="48" w:name="_Toc500430373"/>
      <w:bookmarkStart w:id="49" w:name="_Toc501375936"/>
      <w:bookmarkEnd w:id="39"/>
      <w:bookmarkEnd w:id="40"/>
      <w:bookmarkEnd w:id="41"/>
      <w:bookmarkEnd w:id="42"/>
      <w:bookmarkEnd w:id="43"/>
      <w:bookmarkEnd w:id="44"/>
      <w:bookmarkEnd w:id="45"/>
      <w:bookmarkEnd w:id="46"/>
      <w:bookmarkEnd w:id="47"/>
      <w:bookmarkEnd w:id="48"/>
      <w:r w:rsidRPr="00D6564C">
        <w:rPr>
          <w:rFonts w:asciiTheme="majorHAnsi" w:eastAsiaTheme="majorEastAsia" w:hAnsiTheme="majorHAnsi" w:cstheme="majorBidi"/>
          <w:b/>
          <w:bCs/>
          <w:sz w:val="28"/>
          <w:szCs w:val="28"/>
        </w:rPr>
        <w:t>Data</w:t>
      </w:r>
      <w:bookmarkEnd w:id="49"/>
    </w:p>
    <w:p w:rsidR="00AF0282"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 IRP Plans require reporting of various data types.  Baseline resource portfolio data shall be reported in the “Baseline Resource Data Template</w:t>
      </w:r>
      <w:r w:rsidR="00BB1684">
        <w:rPr>
          <w:rFonts w:asciiTheme="minorHAnsi" w:eastAsiaTheme="minorHAnsi" w:hAnsiTheme="minorHAnsi" w:cstheme="minorBidi"/>
          <w:i/>
          <w:sz w:val="22"/>
          <w:szCs w:val="22"/>
        </w:rPr>
        <w:t>,</w:t>
      </w:r>
      <w:r w:rsidRPr="00D6564C">
        <w:rPr>
          <w:rFonts w:asciiTheme="minorHAnsi" w:eastAsiaTheme="minorHAnsi" w:hAnsiTheme="minorHAnsi" w:cstheme="minorBidi"/>
          <w:i/>
          <w:sz w:val="22"/>
          <w:szCs w:val="22"/>
        </w:rPr>
        <w:t xml:space="preserve">” </w:t>
      </w:r>
      <w:r w:rsidR="00BB1684">
        <w:rPr>
          <w:rFonts w:asciiTheme="minorHAnsi" w:eastAsiaTheme="minorHAnsi" w:hAnsiTheme="minorHAnsi" w:cstheme="minorBidi"/>
          <w:i/>
          <w:sz w:val="22"/>
          <w:szCs w:val="22"/>
        </w:rPr>
        <w:t>and</w:t>
      </w:r>
      <w:r w:rsidRPr="00D6564C">
        <w:rPr>
          <w:rFonts w:asciiTheme="minorHAnsi" w:eastAsiaTheme="minorHAnsi" w:hAnsiTheme="minorHAnsi" w:cstheme="minorBidi"/>
          <w:i/>
          <w:sz w:val="22"/>
          <w:szCs w:val="22"/>
        </w:rPr>
        <w:t xml:space="preserve"> </w:t>
      </w:r>
      <w:r w:rsidR="00BB1684">
        <w:rPr>
          <w:rFonts w:asciiTheme="minorHAnsi" w:eastAsiaTheme="minorHAnsi" w:hAnsiTheme="minorHAnsi" w:cstheme="minorBidi"/>
          <w:i/>
          <w:sz w:val="22"/>
          <w:szCs w:val="22"/>
        </w:rPr>
        <w:t>new</w:t>
      </w:r>
      <w:r w:rsidR="00BB1684" w:rsidRPr="00D6564C">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resource portfolio data shall be reported in the “New Resource Data Template</w:t>
      </w:r>
      <w:r w:rsidR="00AE7986">
        <w:rPr>
          <w:rFonts w:asciiTheme="minorHAnsi" w:eastAsiaTheme="minorHAnsi" w:hAnsiTheme="minorHAnsi" w:cstheme="minorBidi"/>
          <w:i/>
          <w:sz w:val="22"/>
          <w:szCs w:val="22"/>
        </w:rPr>
        <w:t>.</w:t>
      </w:r>
      <w:r w:rsidRPr="00D6564C">
        <w:rPr>
          <w:rFonts w:asciiTheme="minorHAnsi" w:eastAsiaTheme="minorHAnsi" w:hAnsiTheme="minorHAnsi" w:cstheme="minorBidi"/>
          <w:i/>
          <w:sz w:val="22"/>
          <w:szCs w:val="22"/>
        </w:rPr>
        <w:t xml:space="preserve">” </w:t>
      </w:r>
      <w:r w:rsidR="00AE7986">
        <w:rPr>
          <w:rFonts w:asciiTheme="minorHAnsi" w:eastAsiaTheme="minorHAnsi" w:hAnsiTheme="minorHAnsi" w:cstheme="minorBidi"/>
          <w:i/>
          <w:sz w:val="22"/>
          <w:szCs w:val="22"/>
        </w:rPr>
        <w:t xml:space="preserve"> The most recent versions of </w:t>
      </w:r>
      <w:r w:rsidR="00BB1684">
        <w:rPr>
          <w:rFonts w:asciiTheme="minorHAnsi" w:eastAsiaTheme="minorHAnsi" w:hAnsiTheme="minorHAnsi" w:cstheme="minorBidi"/>
          <w:i/>
          <w:sz w:val="22"/>
          <w:szCs w:val="22"/>
        </w:rPr>
        <w:t>both</w:t>
      </w:r>
      <w:r w:rsidR="00AE7986">
        <w:rPr>
          <w:rFonts w:asciiTheme="minorHAnsi" w:eastAsiaTheme="minorHAnsi" w:hAnsiTheme="minorHAnsi" w:cstheme="minorBidi"/>
          <w:i/>
          <w:sz w:val="22"/>
          <w:szCs w:val="22"/>
        </w:rPr>
        <w:t xml:space="preserve"> </w:t>
      </w:r>
      <w:r w:rsidR="00BA32DA">
        <w:rPr>
          <w:rFonts w:asciiTheme="minorHAnsi" w:eastAsiaTheme="minorHAnsi" w:hAnsiTheme="minorHAnsi" w:cstheme="minorBidi"/>
          <w:i/>
          <w:sz w:val="22"/>
          <w:szCs w:val="22"/>
        </w:rPr>
        <w:t>d</w:t>
      </w:r>
      <w:r w:rsidR="00AE7986">
        <w:rPr>
          <w:rFonts w:asciiTheme="minorHAnsi" w:eastAsiaTheme="minorHAnsi" w:hAnsiTheme="minorHAnsi" w:cstheme="minorBidi"/>
          <w:i/>
          <w:sz w:val="22"/>
          <w:szCs w:val="22"/>
        </w:rPr>
        <w:t xml:space="preserve">ata </w:t>
      </w:r>
      <w:r w:rsidR="00BA32DA">
        <w:rPr>
          <w:rFonts w:asciiTheme="minorHAnsi" w:eastAsiaTheme="minorHAnsi" w:hAnsiTheme="minorHAnsi" w:cstheme="minorBidi"/>
          <w:i/>
          <w:sz w:val="22"/>
          <w:szCs w:val="22"/>
        </w:rPr>
        <w:t>t</w:t>
      </w:r>
      <w:r w:rsidR="00AE7986">
        <w:rPr>
          <w:rFonts w:asciiTheme="minorHAnsi" w:eastAsiaTheme="minorHAnsi" w:hAnsiTheme="minorHAnsi" w:cstheme="minorBidi"/>
          <w:i/>
          <w:sz w:val="22"/>
          <w:szCs w:val="22"/>
        </w:rPr>
        <w:t>emplates are</w:t>
      </w:r>
      <w:r w:rsidR="00BB1684">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provided by the Commission</w:t>
      </w:r>
      <w:r w:rsidR="005D7CE2">
        <w:rPr>
          <w:rFonts w:asciiTheme="minorHAnsi" w:eastAsiaTheme="minorHAnsi" w:hAnsiTheme="minorHAnsi" w:cstheme="minorBidi"/>
          <w:i/>
          <w:sz w:val="22"/>
          <w:szCs w:val="22"/>
        </w:rPr>
        <w:t xml:space="preserve"> on the IRP Filing Materials and Templates webpage</w:t>
      </w:r>
      <w:r w:rsidRPr="00D6564C">
        <w:rPr>
          <w:rFonts w:asciiTheme="minorHAnsi" w:eastAsiaTheme="minorHAnsi" w:hAnsiTheme="minorHAnsi" w:cstheme="minorBidi"/>
          <w:i/>
          <w:sz w:val="22"/>
          <w:szCs w:val="22"/>
        </w:rPr>
        <w:t>.</w:t>
      </w:r>
      <w:r w:rsidRPr="00D6564C">
        <w:rPr>
          <w:rFonts w:asciiTheme="minorHAnsi" w:eastAsiaTheme="minorHAnsi" w:hAnsiTheme="minorHAnsi" w:cstheme="minorBidi"/>
          <w:i/>
          <w:sz w:val="22"/>
          <w:szCs w:val="22"/>
          <w:vertAlign w:val="superscript"/>
        </w:rPr>
        <w:footnoteReference w:id="7"/>
      </w:r>
      <w:r w:rsidRPr="00D6564C">
        <w:rPr>
          <w:rFonts w:asciiTheme="minorHAnsi" w:eastAsiaTheme="minorHAnsi" w:hAnsiTheme="minorHAnsi" w:cstheme="minorBidi"/>
          <w:i/>
          <w:sz w:val="22"/>
          <w:szCs w:val="22"/>
        </w:rPr>
        <w:t xml:space="preserve"> Other </w:t>
      </w:r>
      <w:r w:rsidR="00BA32DA">
        <w:rPr>
          <w:rFonts w:asciiTheme="minorHAnsi" w:eastAsiaTheme="minorHAnsi" w:hAnsiTheme="minorHAnsi" w:cstheme="minorBidi"/>
          <w:i/>
          <w:sz w:val="22"/>
          <w:szCs w:val="22"/>
        </w:rPr>
        <w:t>information</w:t>
      </w:r>
      <w:r w:rsidR="00BA32DA" w:rsidRPr="00D6564C">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that is not asked for in these</w:t>
      </w:r>
      <w:r w:rsidR="00BA32DA">
        <w:rPr>
          <w:rFonts w:asciiTheme="minorHAnsi" w:eastAsiaTheme="minorHAnsi" w:hAnsiTheme="minorHAnsi" w:cstheme="minorBidi"/>
          <w:i/>
          <w:sz w:val="22"/>
          <w:szCs w:val="22"/>
        </w:rPr>
        <w:t xml:space="preserve"> data</w:t>
      </w:r>
      <w:r w:rsidRPr="00D6564C">
        <w:rPr>
          <w:rFonts w:asciiTheme="minorHAnsi" w:eastAsiaTheme="minorHAnsi" w:hAnsiTheme="minorHAnsi" w:cstheme="minorBidi"/>
          <w:i/>
          <w:sz w:val="22"/>
          <w:szCs w:val="22"/>
        </w:rPr>
        <w:t xml:space="preserve"> templates but is asked for in the reporting requirements described in the preceding sections shall follow the guidelines below in section 5</w:t>
      </w:r>
      <w:r w:rsidR="005445DB">
        <w:rPr>
          <w:rFonts w:asciiTheme="minorHAnsi" w:eastAsiaTheme="minorHAnsi" w:hAnsiTheme="minorHAnsi" w:cstheme="minorBidi"/>
          <w:i/>
          <w:sz w:val="22"/>
          <w:szCs w:val="22"/>
        </w:rPr>
        <w:t>c</w:t>
      </w:r>
      <w:r w:rsidRPr="00D6564C">
        <w:rPr>
          <w:rFonts w:asciiTheme="minorHAnsi" w:eastAsiaTheme="minorHAnsi" w:hAnsiTheme="minorHAnsi" w:cstheme="minorBidi"/>
          <w:i/>
          <w:sz w:val="22"/>
          <w:szCs w:val="22"/>
        </w:rPr>
        <w:t xml:space="preserve">. </w:t>
      </w:r>
    </w:p>
    <w:p w:rsidR="00BA32DA" w:rsidRDefault="00723A99" w:rsidP="00AF0282">
      <w:pPr>
        <w:spacing w:after="200" w:line="276"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t>Staff expects that e</w:t>
      </w:r>
      <w:r w:rsidR="00BA32DA">
        <w:rPr>
          <w:rFonts w:asciiTheme="minorHAnsi" w:eastAsiaTheme="minorHAnsi" w:hAnsiTheme="minorHAnsi" w:cstheme="minorBidi"/>
          <w:i/>
          <w:sz w:val="22"/>
          <w:szCs w:val="22"/>
        </w:rPr>
        <w:t xml:space="preserve">ach LSE </w:t>
      </w:r>
      <w:r>
        <w:rPr>
          <w:rFonts w:asciiTheme="minorHAnsi" w:eastAsiaTheme="minorHAnsi" w:hAnsiTheme="minorHAnsi" w:cstheme="minorBidi"/>
          <w:i/>
          <w:sz w:val="22"/>
          <w:szCs w:val="22"/>
        </w:rPr>
        <w:t>will</w:t>
      </w:r>
      <w:r w:rsidR="00BA32DA">
        <w:rPr>
          <w:rFonts w:asciiTheme="minorHAnsi" w:eastAsiaTheme="minorHAnsi" w:hAnsiTheme="minorHAnsi" w:cstheme="minorBidi"/>
          <w:i/>
          <w:sz w:val="22"/>
          <w:szCs w:val="22"/>
        </w:rPr>
        <w:t xml:space="preserve"> have </w:t>
      </w:r>
      <w:r>
        <w:rPr>
          <w:rFonts w:asciiTheme="minorHAnsi" w:eastAsiaTheme="minorHAnsi" w:hAnsiTheme="minorHAnsi" w:cstheme="minorBidi"/>
          <w:i/>
          <w:sz w:val="22"/>
          <w:szCs w:val="22"/>
        </w:rPr>
        <w:t xml:space="preserve">only </w:t>
      </w:r>
      <w:r w:rsidR="00BA32DA">
        <w:rPr>
          <w:rFonts w:asciiTheme="minorHAnsi" w:eastAsiaTheme="minorHAnsi" w:hAnsiTheme="minorHAnsi" w:cstheme="minorBidi"/>
          <w:i/>
          <w:sz w:val="22"/>
          <w:szCs w:val="22"/>
        </w:rPr>
        <w:t xml:space="preserve">one Baseline Resource Data Template workbook reporting baseline data, i.e. no difference in baseline between the LSE’s “Conforming Portfolio” or any “Alternative Portfolios.”  </w:t>
      </w:r>
      <w:r>
        <w:rPr>
          <w:rFonts w:asciiTheme="minorHAnsi" w:eastAsiaTheme="minorHAnsi" w:hAnsiTheme="minorHAnsi" w:cstheme="minorBidi"/>
          <w:i/>
          <w:sz w:val="22"/>
          <w:szCs w:val="22"/>
        </w:rPr>
        <w:t>In contrast, a</w:t>
      </w:r>
      <w:r w:rsidR="00BA32DA">
        <w:rPr>
          <w:rFonts w:asciiTheme="minorHAnsi" w:eastAsiaTheme="minorHAnsi" w:hAnsiTheme="minorHAnsi" w:cstheme="minorBidi"/>
          <w:i/>
          <w:sz w:val="22"/>
          <w:szCs w:val="22"/>
        </w:rPr>
        <w:t>n LSE may have multiple New Resource Data Templat</w:t>
      </w:r>
      <w:r w:rsidR="00C92D47">
        <w:rPr>
          <w:rFonts w:asciiTheme="minorHAnsi" w:eastAsiaTheme="minorHAnsi" w:hAnsiTheme="minorHAnsi" w:cstheme="minorBidi"/>
          <w:i/>
          <w:sz w:val="22"/>
          <w:szCs w:val="22"/>
        </w:rPr>
        <w:t>e workbooks reporting new resource data, i.e. one workbook for the “Conforming Portfolio” and one workbook for each “Alternative Portfolio.”</w:t>
      </w:r>
      <w:r>
        <w:rPr>
          <w:rFonts w:asciiTheme="minorHAnsi" w:eastAsiaTheme="minorHAnsi" w:hAnsiTheme="minorHAnsi" w:cstheme="minorBidi"/>
          <w:i/>
          <w:sz w:val="22"/>
          <w:szCs w:val="22"/>
        </w:rPr>
        <w:t xml:space="preserve">  However, staff anticipates some LSEs may have situations where they have differing baselines in the “Conforming Portfolio” vs. </w:t>
      </w:r>
      <w:r w:rsidR="00BF2A60">
        <w:rPr>
          <w:rFonts w:asciiTheme="minorHAnsi" w:eastAsiaTheme="minorHAnsi" w:hAnsiTheme="minorHAnsi" w:cstheme="minorBidi"/>
          <w:i/>
          <w:sz w:val="22"/>
          <w:szCs w:val="22"/>
        </w:rPr>
        <w:t>any</w:t>
      </w:r>
      <w:r>
        <w:rPr>
          <w:rFonts w:asciiTheme="minorHAnsi" w:eastAsiaTheme="minorHAnsi" w:hAnsiTheme="minorHAnsi" w:cstheme="minorBidi"/>
          <w:i/>
          <w:sz w:val="22"/>
          <w:szCs w:val="22"/>
        </w:rPr>
        <w:t xml:space="preserve"> “Alternative Portfolio</w:t>
      </w:r>
      <w:r w:rsidR="00BF2A60">
        <w:rPr>
          <w:rFonts w:asciiTheme="minorHAnsi" w:eastAsiaTheme="minorHAnsi" w:hAnsiTheme="minorHAnsi" w:cstheme="minorBidi"/>
          <w:i/>
          <w:sz w:val="22"/>
          <w:szCs w:val="22"/>
        </w:rPr>
        <w:t>s</w:t>
      </w:r>
      <w:r>
        <w:rPr>
          <w:rFonts w:asciiTheme="minorHAnsi" w:eastAsiaTheme="minorHAnsi" w:hAnsiTheme="minorHAnsi" w:cstheme="minorBidi"/>
          <w:i/>
          <w:sz w:val="22"/>
          <w:szCs w:val="22"/>
        </w:rPr>
        <w:t>.”  To allow for this possibility, the filename for the Baseline Resource Data Template shall include an identifier field to identify it as Conforming or Alternative, as described below.</w:t>
      </w:r>
    </w:p>
    <w:p w:rsidR="005D7CE2" w:rsidRPr="00D6564C" w:rsidRDefault="005D7CE2" w:rsidP="00AF0282">
      <w:pPr>
        <w:spacing w:after="200" w:line="276"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t>All cost data should be reported using 2016 dollars.  Convert nominal dollars using the IEPR dollar deflator series posted to the IRP Filing Materials and Templates webpage.</w:t>
      </w:r>
      <w:r>
        <w:rPr>
          <w:rStyle w:val="FootnoteReference"/>
          <w:rFonts w:asciiTheme="minorHAnsi" w:eastAsiaTheme="minorHAnsi" w:hAnsiTheme="minorHAnsi" w:cstheme="minorBidi"/>
          <w:i/>
          <w:szCs w:val="22"/>
        </w:rPr>
        <w:footnoteReference w:id="8"/>
      </w:r>
    </w:p>
    <w:p w:rsidR="00AF0282" w:rsidRPr="00D6564C" w:rsidRDefault="00AF0282" w:rsidP="00AF0282">
      <w:pPr>
        <w:keepNext/>
        <w:keepLines/>
        <w:numPr>
          <w:ilvl w:val="1"/>
          <w:numId w:val="1"/>
        </w:numPr>
        <w:spacing w:before="480" w:after="240" w:line="276" w:lineRule="auto"/>
        <w:ind w:left="864" w:hanging="504"/>
        <w:outlineLvl w:val="1"/>
        <w:rPr>
          <w:rFonts w:asciiTheme="majorHAnsi" w:eastAsiaTheme="majorEastAsia" w:hAnsiTheme="majorHAnsi" w:cstheme="majorBidi"/>
          <w:b/>
          <w:bCs/>
          <w:sz w:val="24"/>
          <w:szCs w:val="28"/>
        </w:rPr>
      </w:pPr>
      <w:bookmarkStart w:id="50" w:name="_Toc501375937"/>
      <w:r w:rsidRPr="00D6564C">
        <w:rPr>
          <w:rFonts w:asciiTheme="majorHAnsi" w:eastAsiaTheme="majorEastAsia" w:hAnsiTheme="majorHAnsi" w:cstheme="majorBidi"/>
          <w:b/>
          <w:bCs/>
          <w:sz w:val="24"/>
          <w:szCs w:val="28"/>
        </w:rPr>
        <w:t>Baseline Resource Data Template</w:t>
      </w:r>
      <w:bookmarkEnd w:id="50"/>
    </w:p>
    <w:p w:rsidR="00AF0282" w:rsidRPr="00D6564C"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Follow the instructions within the template to report all resources under obligation to serve LSE load whether through an existing contractual or ownership relationship.  This includes </w:t>
      </w:r>
      <w:r w:rsidR="009A3883" w:rsidRPr="009A3883">
        <w:rPr>
          <w:rFonts w:asciiTheme="minorHAnsi" w:eastAsiaTheme="minorHAnsi" w:hAnsiTheme="minorHAnsi" w:cstheme="minorBidi"/>
          <w:i/>
          <w:sz w:val="22"/>
          <w:szCs w:val="22"/>
        </w:rPr>
        <w:t xml:space="preserve">resources on the </w:t>
      </w:r>
      <w:r w:rsidR="009A3883" w:rsidRPr="009A3883">
        <w:rPr>
          <w:rFonts w:asciiTheme="minorHAnsi" w:eastAsiaTheme="minorHAnsi" w:hAnsiTheme="minorHAnsi" w:cstheme="minorBidi"/>
          <w:i/>
          <w:sz w:val="22"/>
          <w:szCs w:val="22"/>
        </w:rPr>
        <w:lastRenderedPageBreak/>
        <w:t>3/15/2018 NQC List, or projects not yet online but that have secured a contract and may therefore be identified in the Commission’s RPS Contracts Database or an Application filed at the Commission, as of January 1, 2018.</w:t>
      </w:r>
      <w:r w:rsidRPr="00D6564C">
        <w:rPr>
          <w:rFonts w:asciiTheme="minorHAnsi" w:eastAsiaTheme="minorHAnsi" w:hAnsiTheme="minorHAnsi" w:cstheme="minorBidi"/>
          <w:i/>
          <w:sz w:val="22"/>
          <w:szCs w:val="22"/>
        </w:rPr>
        <w:t xml:space="preserve">  </w:t>
      </w:r>
      <w:r w:rsidR="0075255A" w:rsidRPr="0075255A">
        <w:rPr>
          <w:rFonts w:asciiTheme="minorHAnsi" w:eastAsiaTheme="minorHAnsi" w:hAnsiTheme="minorHAnsi" w:cstheme="minorBidi"/>
          <w:i/>
          <w:sz w:val="22"/>
          <w:szCs w:val="22"/>
        </w:rPr>
        <w:t xml:space="preserve">For situations where the LSE is reporting a current or future contract with unknown existing resource(s), report this information in this workbook, NOT the New Resource Data Template.  Existing Feed </w:t>
      </w:r>
      <w:proofErr w:type="gramStart"/>
      <w:r w:rsidR="0075255A" w:rsidRPr="0075255A">
        <w:rPr>
          <w:rFonts w:asciiTheme="minorHAnsi" w:eastAsiaTheme="minorHAnsi" w:hAnsiTheme="minorHAnsi" w:cstheme="minorBidi"/>
          <w:i/>
          <w:sz w:val="22"/>
          <w:szCs w:val="22"/>
        </w:rPr>
        <w:t>In</w:t>
      </w:r>
      <w:proofErr w:type="gramEnd"/>
      <w:r w:rsidR="0075255A" w:rsidRPr="0075255A">
        <w:rPr>
          <w:rFonts w:asciiTheme="minorHAnsi" w:eastAsiaTheme="minorHAnsi" w:hAnsiTheme="minorHAnsi" w:cstheme="minorBidi"/>
          <w:i/>
          <w:sz w:val="22"/>
          <w:szCs w:val="22"/>
        </w:rPr>
        <w:t xml:space="preserve"> Tariff contracts (which do not have a CAISO Resource ID) are also reported in this workbook.</w:t>
      </w:r>
      <w:r w:rsidR="00D2349B" w:rsidRPr="00D2349B">
        <w:t xml:space="preserve"> </w:t>
      </w:r>
      <w:r w:rsidR="00D2349B" w:rsidRPr="00D2349B">
        <w:rPr>
          <w:rFonts w:asciiTheme="minorHAnsi" w:eastAsiaTheme="minorHAnsi" w:hAnsiTheme="minorHAnsi" w:cstheme="minorBidi"/>
          <w:i/>
          <w:sz w:val="22"/>
          <w:szCs w:val="22"/>
        </w:rPr>
        <w:t xml:space="preserve">Existing shares of CAM </w:t>
      </w:r>
      <w:r w:rsidR="000B498F">
        <w:rPr>
          <w:rFonts w:asciiTheme="minorHAnsi" w:eastAsiaTheme="minorHAnsi" w:hAnsiTheme="minorHAnsi" w:cstheme="minorBidi"/>
          <w:i/>
          <w:sz w:val="22"/>
          <w:szCs w:val="22"/>
        </w:rPr>
        <w:t xml:space="preserve">system </w:t>
      </w:r>
      <w:r w:rsidR="00D2349B" w:rsidRPr="00D2349B">
        <w:rPr>
          <w:rFonts w:asciiTheme="minorHAnsi" w:eastAsiaTheme="minorHAnsi" w:hAnsiTheme="minorHAnsi" w:cstheme="minorBidi"/>
          <w:i/>
          <w:sz w:val="22"/>
          <w:szCs w:val="22"/>
        </w:rPr>
        <w:t xml:space="preserve">capacity as assigned in CPUC's Resource Adequacy program and projected to future years are </w:t>
      </w:r>
      <w:r w:rsidR="00D2349B">
        <w:rPr>
          <w:rFonts w:asciiTheme="minorHAnsi" w:eastAsiaTheme="minorHAnsi" w:hAnsiTheme="minorHAnsi" w:cstheme="minorBidi"/>
          <w:i/>
          <w:sz w:val="22"/>
          <w:szCs w:val="22"/>
        </w:rPr>
        <w:t xml:space="preserve">also </w:t>
      </w:r>
      <w:r w:rsidR="00D2349B" w:rsidRPr="00D2349B">
        <w:rPr>
          <w:rFonts w:asciiTheme="minorHAnsi" w:eastAsiaTheme="minorHAnsi" w:hAnsiTheme="minorHAnsi" w:cstheme="minorBidi"/>
          <w:i/>
          <w:sz w:val="22"/>
          <w:szCs w:val="22"/>
        </w:rPr>
        <w:t>reported in this workbook.</w:t>
      </w:r>
    </w:p>
    <w:p w:rsidR="00AF0282" w:rsidRPr="00D6564C"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This template also asks for existing fixed cost and revenue requirement projections, if applicable to the reporting entity.</w:t>
      </w:r>
    </w:p>
    <w:p w:rsidR="00AF0282" w:rsidRPr="00D6564C"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Save the file in the format of “Data_LSEname_BaseRsrc_</w:t>
      </w:r>
      <w:r w:rsidR="00BF2A60">
        <w:rPr>
          <w:rFonts w:asciiTheme="minorHAnsi" w:eastAsiaTheme="minorHAnsi" w:hAnsiTheme="minorHAnsi" w:cstheme="minorBidi"/>
          <w:i/>
          <w:sz w:val="22"/>
          <w:szCs w:val="22"/>
        </w:rPr>
        <w:t>Identifier_</w:t>
      </w:r>
      <w:r w:rsidRPr="00D6564C">
        <w:rPr>
          <w:rFonts w:asciiTheme="minorHAnsi" w:eastAsiaTheme="minorHAnsi" w:hAnsiTheme="minorHAnsi" w:cstheme="minorBidi"/>
          <w:i/>
          <w:sz w:val="22"/>
          <w:szCs w:val="22"/>
        </w:rPr>
        <w:t>yyyymmdd.xlsx” where the field “</w:t>
      </w:r>
      <w:proofErr w:type="spellStart"/>
      <w:r w:rsidRPr="00D6564C">
        <w:rPr>
          <w:rFonts w:asciiTheme="minorHAnsi" w:eastAsiaTheme="minorHAnsi" w:hAnsiTheme="minorHAnsi" w:cstheme="minorBidi"/>
          <w:i/>
          <w:sz w:val="22"/>
          <w:szCs w:val="22"/>
        </w:rPr>
        <w:t>LSEname</w:t>
      </w:r>
      <w:proofErr w:type="spellEnd"/>
      <w:r w:rsidRPr="00D6564C">
        <w:rPr>
          <w:rFonts w:asciiTheme="minorHAnsi" w:eastAsiaTheme="minorHAnsi" w:hAnsiTheme="minorHAnsi" w:cstheme="minorBidi"/>
          <w:i/>
          <w:sz w:val="22"/>
          <w:szCs w:val="22"/>
        </w:rPr>
        <w:t>” is replaced with the LSE name (</w:t>
      </w:r>
      <w:r w:rsidR="00D55E27">
        <w:rPr>
          <w:rFonts w:asciiTheme="minorHAnsi" w:eastAsiaTheme="minorHAnsi" w:hAnsiTheme="minorHAnsi" w:cstheme="minorBidi"/>
          <w:i/>
          <w:sz w:val="22"/>
          <w:szCs w:val="22"/>
        </w:rPr>
        <w:t>only letters allowed, no spaces or other characters</w:t>
      </w:r>
      <w:r w:rsidRPr="00D6564C">
        <w:rPr>
          <w:rFonts w:asciiTheme="minorHAnsi" w:eastAsiaTheme="minorHAnsi" w:hAnsiTheme="minorHAnsi" w:cstheme="minorBidi"/>
          <w:i/>
          <w:sz w:val="22"/>
          <w:szCs w:val="22"/>
        </w:rPr>
        <w:t>)</w:t>
      </w:r>
      <w:r w:rsidR="00BF2A60">
        <w:rPr>
          <w:rFonts w:asciiTheme="minorHAnsi" w:eastAsiaTheme="minorHAnsi" w:hAnsiTheme="minorHAnsi" w:cstheme="minorBidi"/>
          <w:i/>
          <w:sz w:val="22"/>
          <w:szCs w:val="22"/>
        </w:rPr>
        <w:t>,</w:t>
      </w:r>
      <w:r w:rsidR="00BF2A60" w:rsidRPr="00BF2A60">
        <w:rPr>
          <w:rFonts w:asciiTheme="minorHAnsi" w:eastAsiaTheme="minorHAnsi" w:hAnsiTheme="minorHAnsi" w:cstheme="minorBidi"/>
          <w:i/>
          <w:sz w:val="22"/>
          <w:szCs w:val="22"/>
        </w:rPr>
        <w:t xml:space="preserve"> </w:t>
      </w:r>
      <w:r w:rsidR="00BF2A60" w:rsidRPr="00D6564C">
        <w:rPr>
          <w:rFonts w:asciiTheme="minorHAnsi" w:eastAsiaTheme="minorHAnsi" w:hAnsiTheme="minorHAnsi" w:cstheme="minorBidi"/>
          <w:i/>
          <w:sz w:val="22"/>
          <w:szCs w:val="22"/>
        </w:rPr>
        <w:t>the field “Identifier” is replaced with Conforming, Alternat</w:t>
      </w:r>
      <w:r w:rsidR="00D55E27">
        <w:rPr>
          <w:rFonts w:asciiTheme="minorHAnsi" w:eastAsiaTheme="minorHAnsi" w:hAnsiTheme="minorHAnsi" w:cstheme="minorBidi"/>
          <w:i/>
          <w:sz w:val="22"/>
          <w:szCs w:val="22"/>
        </w:rPr>
        <w:t>ive</w:t>
      </w:r>
      <w:r w:rsidR="00BF2A60" w:rsidRPr="00D6564C">
        <w:rPr>
          <w:rFonts w:asciiTheme="minorHAnsi" w:eastAsiaTheme="minorHAnsi" w:hAnsiTheme="minorHAnsi" w:cstheme="minorBidi"/>
          <w:i/>
          <w:sz w:val="22"/>
          <w:szCs w:val="22"/>
        </w:rPr>
        <w:t>1, Alternat</w:t>
      </w:r>
      <w:r w:rsidR="00D55E27">
        <w:rPr>
          <w:rFonts w:asciiTheme="minorHAnsi" w:eastAsiaTheme="minorHAnsi" w:hAnsiTheme="minorHAnsi" w:cstheme="minorBidi"/>
          <w:i/>
          <w:sz w:val="22"/>
          <w:szCs w:val="22"/>
        </w:rPr>
        <w:t>ive</w:t>
      </w:r>
      <w:r w:rsidR="00BF2A60" w:rsidRPr="00D6564C">
        <w:rPr>
          <w:rFonts w:asciiTheme="minorHAnsi" w:eastAsiaTheme="minorHAnsi" w:hAnsiTheme="minorHAnsi" w:cstheme="minorBidi"/>
          <w:i/>
          <w:sz w:val="22"/>
          <w:szCs w:val="22"/>
        </w:rPr>
        <w:t>2, etc</w:t>
      </w:r>
      <w:r w:rsidR="00D55E27">
        <w:rPr>
          <w:rFonts w:asciiTheme="minorHAnsi" w:eastAsiaTheme="minorHAnsi" w:hAnsiTheme="minorHAnsi" w:cstheme="minorBidi"/>
          <w:i/>
          <w:sz w:val="22"/>
          <w:szCs w:val="22"/>
        </w:rPr>
        <w:t>.</w:t>
      </w:r>
      <w:proofErr w:type="gramStart"/>
      <w:r w:rsidR="00BF2A60" w:rsidRPr="00D6564C">
        <w:rPr>
          <w:rFonts w:asciiTheme="minorHAnsi" w:eastAsiaTheme="minorHAnsi" w:hAnsiTheme="minorHAnsi" w:cstheme="minorBidi"/>
          <w:i/>
          <w:sz w:val="22"/>
          <w:szCs w:val="22"/>
        </w:rPr>
        <w:t xml:space="preserve">, </w:t>
      </w:r>
      <w:r w:rsidRPr="00D6564C">
        <w:rPr>
          <w:rFonts w:asciiTheme="minorHAnsi" w:eastAsiaTheme="minorHAnsi" w:hAnsiTheme="minorHAnsi" w:cstheme="minorBidi"/>
          <w:i/>
          <w:sz w:val="22"/>
          <w:szCs w:val="22"/>
        </w:rPr>
        <w:t xml:space="preserve"> and</w:t>
      </w:r>
      <w:proofErr w:type="gramEnd"/>
      <w:r w:rsidRPr="00D6564C">
        <w:rPr>
          <w:rFonts w:asciiTheme="minorHAnsi" w:eastAsiaTheme="minorHAnsi" w:hAnsiTheme="minorHAnsi" w:cstheme="minorBidi"/>
          <w:i/>
          <w:sz w:val="22"/>
          <w:szCs w:val="22"/>
        </w:rPr>
        <w:t xml:space="preserve"> “</w:t>
      </w:r>
      <w:proofErr w:type="spellStart"/>
      <w:r w:rsidRPr="00D6564C">
        <w:rPr>
          <w:rFonts w:asciiTheme="minorHAnsi" w:eastAsiaTheme="minorHAnsi" w:hAnsiTheme="minorHAnsi" w:cstheme="minorBidi"/>
          <w:i/>
          <w:sz w:val="22"/>
          <w:szCs w:val="22"/>
        </w:rPr>
        <w:t>yyyymmdd</w:t>
      </w:r>
      <w:proofErr w:type="spellEnd"/>
      <w:r w:rsidRPr="00D6564C">
        <w:rPr>
          <w:rFonts w:asciiTheme="minorHAnsi" w:eastAsiaTheme="minorHAnsi" w:hAnsiTheme="minorHAnsi" w:cstheme="minorBidi"/>
          <w:i/>
          <w:sz w:val="22"/>
          <w:szCs w:val="22"/>
        </w:rPr>
        <w:t>” is replaced with the date the file is submitted to the Commission.  Spaces are not allowed in the file name.  Special characters are not allowed, except for underscore (“_”) and dash (“-”).</w:t>
      </w:r>
    </w:p>
    <w:p w:rsidR="00AF0282" w:rsidRPr="00D6564C" w:rsidRDefault="00AF0282" w:rsidP="00AF0282">
      <w:pPr>
        <w:keepNext/>
        <w:keepLines/>
        <w:numPr>
          <w:ilvl w:val="1"/>
          <w:numId w:val="1"/>
        </w:numPr>
        <w:spacing w:before="480" w:after="240" w:line="276" w:lineRule="auto"/>
        <w:ind w:left="864" w:hanging="504"/>
        <w:outlineLvl w:val="1"/>
        <w:rPr>
          <w:rFonts w:asciiTheme="majorHAnsi" w:eastAsiaTheme="majorEastAsia" w:hAnsiTheme="majorHAnsi" w:cstheme="majorBidi"/>
          <w:b/>
          <w:bCs/>
          <w:sz w:val="24"/>
          <w:szCs w:val="28"/>
        </w:rPr>
      </w:pPr>
      <w:bookmarkStart w:id="51" w:name="_Toc501375938"/>
      <w:r w:rsidRPr="00D6564C">
        <w:rPr>
          <w:rFonts w:asciiTheme="majorHAnsi" w:eastAsiaTheme="majorEastAsia" w:hAnsiTheme="majorHAnsi" w:cstheme="majorBidi"/>
          <w:b/>
          <w:bCs/>
          <w:sz w:val="24"/>
          <w:szCs w:val="28"/>
        </w:rPr>
        <w:t>New Resource Data Template</w:t>
      </w:r>
      <w:bookmarkEnd w:id="51"/>
    </w:p>
    <w:p w:rsidR="00AF0282" w:rsidRPr="00D6564C"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 EACH portfolio considered by the LSE (e.g. Conforming, Alternat</w:t>
      </w:r>
      <w:r w:rsidR="00C92D47">
        <w:rPr>
          <w:rFonts w:asciiTheme="minorHAnsi" w:eastAsiaTheme="minorHAnsi" w:hAnsiTheme="minorHAnsi" w:cstheme="minorBidi"/>
          <w:i/>
          <w:sz w:val="22"/>
          <w:szCs w:val="22"/>
        </w:rPr>
        <w:t>ive</w:t>
      </w:r>
      <w:r w:rsidRPr="00D6564C">
        <w:rPr>
          <w:rFonts w:asciiTheme="minorHAnsi" w:eastAsiaTheme="minorHAnsi" w:hAnsiTheme="minorHAnsi" w:cstheme="minorBidi"/>
          <w:i/>
          <w:sz w:val="22"/>
          <w:szCs w:val="22"/>
        </w:rPr>
        <w:t>1, Alternat</w:t>
      </w:r>
      <w:r w:rsidR="00C92D47">
        <w:rPr>
          <w:rFonts w:asciiTheme="minorHAnsi" w:eastAsiaTheme="minorHAnsi" w:hAnsiTheme="minorHAnsi" w:cstheme="minorBidi"/>
          <w:i/>
          <w:sz w:val="22"/>
          <w:szCs w:val="22"/>
        </w:rPr>
        <w:t>ive</w:t>
      </w:r>
      <w:r w:rsidRPr="00D6564C">
        <w:rPr>
          <w:rFonts w:asciiTheme="minorHAnsi" w:eastAsiaTheme="minorHAnsi" w:hAnsiTheme="minorHAnsi" w:cstheme="minorBidi"/>
          <w:i/>
          <w:sz w:val="22"/>
          <w:szCs w:val="22"/>
        </w:rPr>
        <w:t>2) follow the instructions within the template to report new resources, including the projected total fixed costs of these new resources, that the LSE plans to invest in to serve its load over the IRP planning horizon. The fixed cost reporting includes any new transmission triggered by the new resources and the LSE’s share of those costs.  IOUs shall also include a projection of the incremental revenue requirement (i.e., incremental to what is reported in the Baseline Resource Data Template). New resources are analogous to “candidate” resources as defined in the RESOLVE model.  To the extent possible, each resource should be mapped to a RESOLVE candidate resource type.  If the LSE’s selected new resource does not match with any pre-defined RESOLVE candidate resource type, it may select “</w:t>
      </w:r>
      <w:proofErr w:type="spellStart"/>
      <w:r w:rsidRPr="00D6564C">
        <w:rPr>
          <w:rFonts w:asciiTheme="minorHAnsi" w:eastAsiaTheme="minorHAnsi" w:hAnsiTheme="minorHAnsi" w:cstheme="minorBidi"/>
          <w:i/>
          <w:sz w:val="22"/>
          <w:szCs w:val="22"/>
        </w:rPr>
        <w:t>Other_New</w:t>
      </w:r>
      <w:proofErr w:type="spellEnd"/>
      <w:r w:rsidRPr="00D6564C">
        <w:rPr>
          <w:rFonts w:asciiTheme="minorHAnsi" w:eastAsiaTheme="minorHAnsi" w:hAnsiTheme="minorHAnsi" w:cstheme="minorBidi"/>
          <w:i/>
          <w:sz w:val="22"/>
          <w:szCs w:val="22"/>
        </w:rPr>
        <w:t>” and provide a description.</w:t>
      </w:r>
    </w:p>
    <w:p w:rsidR="00AF0282" w:rsidRPr="00D6564C"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Note that the Conforming Portfolio will be based on the load assignments and the 2017 IEPR demand forecast as specified earlier in this template</w:t>
      </w:r>
      <w:r w:rsidR="00D55E27">
        <w:rPr>
          <w:rFonts w:asciiTheme="minorHAnsi" w:eastAsiaTheme="minorHAnsi" w:hAnsiTheme="minorHAnsi" w:cstheme="minorBidi"/>
          <w:i/>
          <w:sz w:val="22"/>
          <w:szCs w:val="22"/>
        </w:rPr>
        <w:t xml:space="preserve"> (unless superseded by ALJ ruling)</w:t>
      </w:r>
      <w:r w:rsidRPr="00D6564C">
        <w:rPr>
          <w:rFonts w:asciiTheme="minorHAnsi" w:eastAsiaTheme="minorHAnsi" w:hAnsiTheme="minorHAnsi" w:cstheme="minorBidi"/>
          <w:i/>
          <w:sz w:val="22"/>
          <w:szCs w:val="22"/>
        </w:rPr>
        <w:t>. If an LSE proposes no changes to this load and load modifier assumption as part of its LSE Plan, then no load information must be reported. If LSEs use different load and load modifier assumptions as part of any Alternat</w:t>
      </w:r>
      <w:r w:rsidR="00C92D47">
        <w:rPr>
          <w:rFonts w:asciiTheme="minorHAnsi" w:eastAsiaTheme="minorHAnsi" w:hAnsiTheme="minorHAnsi" w:cstheme="minorBidi"/>
          <w:i/>
          <w:sz w:val="22"/>
          <w:szCs w:val="22"/>
        </w:rPr>
        <w:t>ive</w:t>
      </w:r>
      <w:r w:rsidRPr="00D6564C">
        <w:rPr>
          <w:rFonts w:asciiTheme="minorHAnsi" w:eastAsiaTheme="minorHAnsi" w:hAnsiTheme="minorHAnsi" w:cstheme="minorBidi"/>
          <w:i/>
          <w:sz w:val="22"/>
          <w:szCs w:val="22"/>
        </w:rPr>
        <w:t xml:space="preserve"> Portfolios, the LSE should report that information using the standard IEPR filing form templates associated with that information, included as tabs within the New Resource Data Template. The LSE should clearly identify the data that differs from the forms it submitted to the CEC in 2017 as part of the 2017 IEPR process. The table below indicates which standard IEPR filing forms apply to which entity.</w:t>
      </w:r>
    </w:p>
    <w:tbl>
      <w:tblPr>
        <w:tblW w:w="9206" w:type="dxa"/>
        <w:jc w:val="center"/>
        <w:tblLook w:val="04A0" w:firstRow="1" w:lastRow="0" w:firstColumn="1" w:lastColumn="0" w:noHBand="0" w:noVBand="1"/>
      </w:tblPr>
      <w:tblGrid>
        <w:gridCol w:w="1284"/>
        <w:gridCol w:w="4826"/>
        <w:gridCol w:w="1035"/>
        <w:gridCol w:w="1048"/>
        <w:gridCol w:w="1013"/>
      </w:tblGrid>
      <w:tr w:rsidR="00AF0282" w:rsidRPr="00D6564C" w:rsidTr="00762A52">
        <w:trPr>
          <w:trHeight w:val="300"/>
          <w:jc w:val="center"/>
        </w:trPr>
        <w:tc>
          <w:tcPr>
            <w:tcW w:w="1284" w:type="dxa"/>
            <w:tcBorders>
              <w:top w:val="nil"/>
              <w:left w:val="nil"/>
              <w:bottom w:val="nil"/>
              <w:right w:val="nil"/>
            </w:tcBorders>
            <w:shd w:val="clear" w:color="auto" w:fill="auto"/>
            <w:noWrap/>
            <w:vAlign w:val="center"/>
            <w:hideMark/>
          </w:tcPr>
          <w:p w:rsidR="00AF0282" w:rsidRPr="00D6564C" w:rsidRDefault="00AF0282" w:rsidP="00916BEF">
            <w:pPr>
              <w:keepNext/>
              <w:ind w:left="360"/>
              <w:rPr>
                <w:rFonts w:asciiTheme="minorHAnsi" w:eastAsiaTheme="minorHAnsi" w:hAnsiTheme="minorHAnsi" w:cstheme="minorBidi"/>
                <w:b/>
                <w:i/>
                <w:sz w:val="22"/>
                <w:szCs w:val="22"/>
              </w:rPr>
            </w:pPr>
            <w:r w:rsidRPr="00D6564C">
              <w:rPr>
                <w:rFonts w:asciiTheme="minorHAnsi" w:eastAsiaTheme="minorHAnsi" w:hAnsiTheme="minorHAnsi" w:cstheme="minorBidi"/>
                <w:b/>
                <w:i/>
                <w:sz w:val="22"/>
                <w:szCs w:val="22"/>
              </w:rPr>
              <w:lastRenderedPageBreak/>
              <w:t>Form #</w:t>
            </w:r>
          </w:p>
        </w:tc>
        <w:tc>
          <w:tcPr>
            <w:tcW w:w="4826" w:type="dxa"/>
            <w:tcBorders>
              <w:top w:val="nil"/>
              <w:left w:val="nil"/>
              <w:bottom w:val="nil"/>
              <w:right w:val="nil"/>
            </w:tcBorders>
            <w:shd w:val="clear" w:color="auto" w:fill="auto"/>
            <w:noWrap/>
            <w:vAlign w:val="center"/>
            <w:hideMark/>
          </w:tcPr>
          <w:p w:rsidR="00AF0282" w:rsidRPr="00D6564C" w:rsidRDefault="00AF0282" w:rsidP="00916BEF">
            <w:pPr>
              <w:keepNext/>
              <w:ind w:left="360"/>
              <w:rPr>
                <w:rFonts w:asciiTheme="minorHAnsi" w:eastAsiaTheme="minorHAnsi" w:hAnsiTheme="minorHAnsi" w:cstheme="minorBidi"/>
                <w:b/>
                <w:i/>
                <w:sz w:val="22"/>
                <w:szCs w:val="22"/>
              </w:rPr>
            </w:pPr>
            <w:r w:rsidRPr="00D6564C">
              <w:rPr>
                <w:rFonts w:asciiTheme="minorHAnsi" w:eastAsiaTheme="minorHAnsi" w:hAnsiTheme="minorHAnsi" w:cstheme="minorBidi"/>
                <w:b/>
                <w:i/>
                <w:sz w:val="22"/>
                <w:szCs w:val="22"/>
              </w:rPr>
              <w:t>Form Description</w:t>
            </w:r>
          </w:p>
        </w:tc>
        <w:tc>
          <w:tcPr>
            <w:tcW w:w="1035" w:type="dxa"/>
            <w:tcBorders>
              <w:top w:val="nil"/>
              <w:left w:val="nil"/>
              <w:bottom w:val="nil"/>
              <w:right w:val="nil"/>
            </w:tcBorders>
            <w:shd w:val="clear" w:color="auto" w:fill="auto"/>
            <w:vAlign w:val="center"/>
            <w:hideMark/>
          </w:tcPr>
          <w:p w:rsidR="00AF0282" w:rsidRPr="00D6564C" w:rsidRDefault="00AF0282" w:rsidP="00916BEF">
            <w:pPr>
              <w:keepNext/>
              <w:spacing w:after="200"/>
              <w:ind w:left="360"/>
              <w:rPr>
                <w:rFonts w:asciiTheme="minorHAnsi" w:eastAsiaTheme="minorHAnsi" w:hAnsiTheme="minorHAnsi" w:cstheme="minorBidi"/>
                <w:b/>
                <w:bCs/>
                <w:i/>
                <w:sz w:val="22"/>
                <w:szCs w:val="22"/>
              </w:rPr>
            </w:pPr>
            <w:r w:rsidRPr="00D6564C">
              <w:rPr>
                <w:rFonts w:asciiTheme="minorHAnsi" w:eastAsiaTheme="minorHAnsi" w:hAnsiTheme="minorHAnsi" w:cstheme="minorBidi"/>
                <w:b/>
                <w:bCs/>
                <w:i/>
                <w:sz w:val="22"/>
                <w:szCs w:val="22"/>
              </w:rPr>
              <w:t>IOU</w:t>
            </w:r>
          </w:p>
        </w:tc>
        <w:tc>
          <w:tcPr>
            <w:tcW w:w="1048" w:type="dxa"/>
            <w:tcBorders>
              <w:top w:val="nil"/>
              <w:left w:val="nil"/>
              <w:bottom w:val="nil"/>
              <w:right w:val="nil"/>
            </w:tcBorders>
            <w:shd w:val="clear" w:color="auto" w:fill="auto"/>
            <w:vAlign w:val="center"/>
            <w:hideMark/>
          </w:tcPr>
          <w:p w:rsidR="00AF0282" w:rsidRPr="00D6564C" w:rsidRDefault="00AF0282" w:rsidP="00916BEF">
            <w:pPr>
              <w:keepNext/>
              <w:spacing w:after="200"/>
              <w:ind w:left="360"/>
              <w:rPr>
                <w:rFonts w:asciiTheme="minorHAnsi" w:eastAsiaTheme="minorHAnsi" w:hAnsiTheme="minorHAnsi" w:cstheme="minorBidi"/>
                <w:b/>
                <w:bCs/>
                <w:i/>
                <w:sz w:val="22"/>
                <w:szCs w:val="22"/>
              </w:rPr>
            </w:pPr>
            <w:r w:rsidRPr="00D6564C">
              <w:rPr>
                <w:rFonts w:asciiTheme="minorHAnsi" w:eastAsiaTheme="minorHAnsi" w:hAnsiTheme="minorHAnsi" w:cstheme="minorBidi"/>
                <w:b/>
                <w:bCs/>
                <w:i/>
                <w:sz w:val="22"/>
                <w:szCs w:val="22"/>
              </w:rPr>
              <w:t>CCA</w:t>
            </w:r>
          </w:p>
        </w:tc>
        <w:tc>
          <w:tcPr>
            <w:tcW w:w="1013" w:type="dxa"/>
            <w:tcBorders>
              <w:top w:val="nil"/>
              <w:left w:val="nil"/>
              <w:bottom w:val="nil"/>
              <w:right w:val="nil"/>
            </w:tcBorders>
            <w:shd w:val="clear" w:color="auto" w:fill="auto"/>
            <w:vAlign w:val="center"/>
            <w:hideMark/>
          </w:tcPr>
          <w:p w:rsidR="00AF0282" w:rsidRPr="00D6564C" w:rsidRDefault="00AF0282" w:rsidP="00916BEF">
            <w:pPr>
              <w:keepNext/>
              <w:spacing w:after="200"/>
              <w:ind w:left="360"/>
              <w:rPr>
                <w:rFonts w:asciiTheme="minorHAnsi" w:eastAsiaTheme="minorHAnsi" w:hAnsiTheme="minorHAnsi" w:cstheme="minorBidi"/>
                <w:b/>
                <w:bCs/>
                <w:i/>
                <w:sz w:val="22"/>
                <w:szCs w:val="22"/>
              </w:rPr>
            </w:pPr>
            <w:r w:rsidRPr="00D6564C">
              <w:rPr>
                <w:rFonts w:asciiTheme="minorHAnsi" w:eastAsiaTheme="minorHAnsi" w:hAnsiTheme="minorHAnsi" w:cstheme="minorBidi"/>
                <w:b/>
                <w:bCs/>
                <w:i/>
                <w:sz w:val="22"/>
                <w:szCs w:val="22"/>
              </w:rPr>
              <w:t>ESP</w:t>
            </w:r>
          </w:p>
        </w:tc>
      </w:tr>
      <w:tr w:rsidR="00AF0282" w:rsidRPr="00D6564C" w:rsidTr="00762A52">
        <w:trPr>
          <w:jc w:val="center"/>
        </w:trPr>
        <w:tc>
          <w:tcPr>
            <w:tcW w:w="1284"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1.1a</w:t>
            </w:r>
          </w:p>
        </w:tc>
        <w:tc>
          <w:tcPr>
            <w:tcW w:w="4826" w:type="dxa"/>
            <w:tcBorders>
              <w:top w:val="single" w:sz="4" w:space="0" w:color="0070C0"/>
              <w:left w:val="nil"/>
              <w:bottom w:val="single" w:sz="4" w:space="0" w:color="0070C0"/>
              <w:right w:val="single" w:sz="4" w:space="0" w:color="0070C0"/>
            </w:tcBorders>
            <w:shd w:val="clear" w:color="auto" w:fill="auto"/>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RETAIL SALES OF ELECTRICITY BY CLASS OR SECTOR (GWh) Bundled &amp; Direct Access</w:t>
            </w:r>
          </w:p>
        </w:tc>
        <w:tc>
          <w:tcPr>
            <w:tcW w:w="1035" w:type="dxa"/>
            <w:tcBorders>
              <w:top w:val="single" w:sz="4" w:space="0" w:color="0070C0"/>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single" w:sz="4" w:space="0" w:color="0070C0"/>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single" w:sz="4" w:space="0" w:color="0070C0"/>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AF0282" w:rsidRPr="00D6564C" w:rsidTr="00762A52">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1.1b</w:t>
            </w:r>
          </w:p>
        </w:tc>
        <w:tc>
          <w:tcPr>
            <w:tcW w:w="4826" w:type="dxa"/>
            <w:tcBorders>
              <w:top w:val="nil"/>
              <w:left w:val="nil"/>
              <w:bottom w:val="single" w:sz="4" w:space="0" w:color="0070C0"/>
              <w:right w:val="single" w:sz="4" w:space="0" w:color="0070C0"/>
            </w:tcBorders>
            <w:shd w:val="clear" w:color="auto" w:fill="auto"/>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RETAIL SALES OF ELECTRICITY BY CLASS OR SECTOR (GWh) Bundled Customers</w:t>
            </w:r>
          </w:p>
        </w:tc>
        <w:tc>
          <w:tcPr>
            <w:tcW w:w="1035"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AF0282" w:rsidRPr="00D6564C" w:rsidTr="00762A52">
        <w:trPr>
          <w:trHeight w:val="629"/>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1.2</w:t>
            </w:r>
          </w:p>
        </w:tc>
        <w:tc>
          <w:tcPr>
            <w:tcW w:w="4826" w:type="dxa"/>
            <w:tcBorders>
              <w:top w:val="nil"/>
              <w:left w:val="nil"/>
              <w:bottom w:val="single" w:sz="4" w:space="0" w:color="0070C0"/>
              <w:right w:val="single" w:sz="4" w:space="0" w:color="0070C0"/>
            </w:tcBorders>
            <w:shd w:val="clear" w:color="auto" w:fill="auto"/>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DISTRIBUTION AREA NET ELECTRICITY FOR GENERATION LOAD (GWh)</w:t>
            </w:r>
          </w:p>
        </w:tc>
        <w:tc>
          <w:tcPr>
            <w:tcW w:w="1035"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AF0282" w:rsidRPr="00D6564C" w:rsidTr="00762A52">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1.3</w:t>
            </w:r>
          </w:p>
        </w:tc>
        <w:tc>
          <w:tcPr>
            <w:tcW w:w="4826" w:type="dxa"/>
            <w:tcBorders>
              <w:top w:val="nil"/>
              <w:left w:val="nil"/>
              <w:bottom w:val="single" w:sz="4" w:space="0" w:color="0070C0"/>
              <w:right w:val="single" w:sz="4" w:space="0" w:color="0070C0"/>
            </w:tcBorders>
            <w:shd w:val="clear" w:color="auto" w:fill="auto"/>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LSE COINCIDENT PEAK DEMAND BY SECTOR (Bundled Customers)</w:t>
            </w:r>
          </w:p>
        </w:tc>
        <w:tc>
          <w:tcPr>
            <w:tcW w:w="1035"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AF0282" w:rsidRPr="00D6564C" w:rsidTr="00762A52">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1.4</w:t>
            </w:r>
          </w:p>
        </w:tc>
        <w:tc>
          <w:tcPr>
            <w:tcW w:w="4826" w:type="dxa"/>
            <w:tcBorders>
              <w:top w:val="nil"/>
              <w:left w:val="nil"/>
              <w:bottom w:val="single" w:sz="4" w:space="0" w:color="0070C0"/>
              <w:right w:val="single" w:sz="4" w:space="0" w:color="0070C0"/>
            </w:tcBorders>
            <w:shd w:val="clear" w:color="auto" w:fill="auto"/>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DISTRIBUTION AREA COINCIDENT PEAK DEMAND</w:t>
            </w:r>
          </w:p>
        </w:tc>
        <w:tc>
          <w:tcPr>
            <w:tcW w:w="1035"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AF0282" w:rsidRPr="00D6564C" w:rsidTr="00762A52">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3.2</w:t>
            </w:r>
          </w:p>
        </w:tc>
        <w:tc>
          <w:tcPr>
            <w:tcW w:w="4826" w:type="dxa"/>
            <w:tcBorders>
              <w:top w:val="nil"/>
              <w:left w:val="nil"/>
              <w:bottom w:val="single" w:sz="4" w:space="0" w:color="0070C0"/>
              <w:right w:val="single" w:sz="4" w:space="0" w:color="0070C0"/>
            </w:tcBorders>
            <w:shd w:val="clear" w:color="auto" w:fill="auto"/>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ENERGY EFFICIENCY - CUMULATIVE INCREMENTAL IMPACTS</w:t>
            </w:r>
          </w:p>
        </w:tc>
        <w:tc>
          <w:tcPr>
            <w:tcW w:w="1035"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AF0282" w:rsidRPr="00D6564C" w:rsidTr="00762A52">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3.3</w:t>
            </w:r>
          </w:p>
        </w:tc>
        <w:tc>
          <w:tcPr>
            <w:tcW w:w="4826" w:type="dxa"/>
            <w:tcBorders>
              <w:top w:val="nil"/>
              <w:left w:val="nil"/>
              <w:bottom w:val="single" w:sz="4" w:space="0" w:color="0070C0"/>
              <w:right w:val="single" w:sz="4" w:space="0" w:color="0070C0"/>
            </w:tcBorders>
            <w:shd w:val="clear" w:color="auto" w:fill="auto"/>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DISTRIBUTED GENERATION - CUMULATIVE INCREMENTAL IMPACTS</w:t>
            </w:r>
          </w:p>
        </w:tc>
        <w:tc>
          <w:tcPr>
            <w:tcW w:w="1035"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AF0282" w:rsidRPr="00D6564C" w:rsidTr="00762A52">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3.4</w:t>
            </w:r>
          </w:p>
        </w:tc>
        <w:tc>
          <w:tcPr>
            <w:tcW w:w="4826" w:type="dxa"/>
            <w:tcBorders>
              <w:top w:val="nil"/>
              <w:left w:val="nil"/>
              <w:bottom w:val="single" w:sz="4" w:space="0" w:color="0070C0"/>
              <w:right w:val="single" w:sz="4" w:space="0" w:color="0070C0"/>
            </w:tcBorders>
            <w:shd w:val="clear" w:color="auto" w:fill="auto"/>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DEMAND RESPONSE - CUMULATIVE INCREMENTAL IMPACTS</w:t>
            </w:r>
          </w:p>
        </w:tc>
        <w:tc>
          <w:tcPr>
            <w:tcW w:w="1035"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AF0282" w:rsidRPr="00D6564C" w:rsidTr="00762A52">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4</w:t>
            </w:r>
          </w:p>
        </w:tc>
        <w:tc>
          <w:tcPr>
            <w:tcW w:w="4826" w:type="dxa"/>
            <w:tcBorders>
              <w:top w:val="nil"/>
              <w:left w:val="nil"/>
              <w:bottom w:val="single" w:sz="4" w:space="0" w:color="0070C0"/>
              <w:right w:val="single" w:sz="4" w:space="0" w:color="0070C0"/>
            </w:tcBorders>
            <w:shd w:val="clear" w:color="auto" w:fill="auto"/>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REPORT ON FORECAST METHODS AND MODELS</w:t>
            </w:r>
          </w:p>
        </w:tc>
        <w:tc>
          <w:tcPr>
            <w:tcW w:w="1035"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13"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AF0282" w:rsidRPr="00D6564C" w:rsidTr="00762A52">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6</w:t>
            </w:r>
          </w:p>
        </w:tc>
        <w:tc>
          <w:tcPr>
            <w:tcW w:w="4826" w:type="dxa"/>
            <w:tcBorders>
              <w:top w:val="nil"/>
              <w:left w:val="nil"/>
              <w:bottom w:val="single" w:sz="4" w:space="0" w:color="0070C0"/>
              <w:right w:val="single" w:sz="4" w:space="0" w:color="0070C0"/>
            </w:tcBorders>
            <w:shd w:val="clear" w:color="auto" w:fill="auto"/>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UNCOMMITTED DEMAND-SIDE PROGRAM METHODOLOGY</w:t>
            </w:r>
          </w:p>
        </w:tc>
        <w:tc>
          <w:tcPr>
            <w:tcW w:w="1035"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48"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r w:rsidR="00AF0282" w:rsidRPr="00D6564C" w:rsidTr="00762A52">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7.1</w:t>
            </w:r>
          </w:p>
        </w:tc>
        <w:tc>
          <w:tcPr>
            <w:tcW w:w="4826" w:type="dxa"/>
            <w:tcBorders>
              <w:top w:val="nil"/>
              <w:left w:val="nil"/>
              <w:bottom w:val="single" w:sz="4" w:space="0" w:color="0070C0"/>
              <w:right w:val="single" w:sz="4" w:space="0" w:color="0070C0"/>
            </w:tcBorders>
            <w:shd w:val="clear" w:color="auto" w:fill="auto"/>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ESP DEMAND FORECAST</w:t>
            </w:r>
          </w:p>
        </w:tc>
        <w:tc>
          <w:tcPr>
            <w:tcW w:w="1035"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48"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13"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r>
      <w:tr w:rsidR="00AF0282" w:rsidRPr="00D6564C" w:rsidTr="00762A52">
        <w:trPr>
          <w:jc w:val="center"/>
        </w:trPr>
        <w:tc>
          <w:tcPr>
            <w:tcW w:w="1284" w:type="dxa"/>
            <w:tcBorders>
              <w:top w:val="nil"/>
              <w:left w:val="single" w:sz="4" w:space="0" w:color="0070C0"/>
              <w:bottom w:val="single" w:sz="4" w:space="0" w:color="0070C0"/>
              <w:right w:val="single" w:sz="4" w:space="0" w:color="0070C0"/>
            </w:tcBorders>
            <w:shd w:val="clear" w:color="auto" w:fill="auto"/>
            <w:noWrap/>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Form 7.2</w:t>
            </w:r>
          </w:p>
        </w:tc>
        <w:tc>
          <w:tcPr>
            <w:tcW w:w="4826" w:type="dxa"/>
            <w:tcBorders>
              <w:top w:val="nil"/>
              <w:left w:val="nil"/>
              <w:bottom w:val="single" w:sz="4" w:space="0" w:color="0070C0"/>
              <w:right w:val="single" w:sz="4" w:space="0" w:color="0070C0"/>
            </w:tcBorders>
            <w:shd w:val="clear" w:color="auto" w:fill="auto"/>
            <w:vAlign w:val="center"/>
            <w:hideMark/>
          </w:tcPr>
          <w:p w:rsidR="00AF0282" w:rsidRPr="00D6564C" w:rsidRDefault="00AF0282" w:rsidP="00916BEF">
            <w:pPr>
              <w:keepNext/>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CCA DEMAND FORECAST</w:t>
            </w:r>
          </w:p>
        </w:tc>
        <w:tc>
          <w:tcPr>
            <w:tcW w:w="1035"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c>
          <w:tcPr>
            <w:tcW w:w="1048"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X</w:t>
            </w:r>
          </w:p>
        </w:tc>
        <w:tc>
          <w:tcPr>
            <w:tcW w:w="1013" w:type="dxa"/>
            <w:tcBorders>
              <w:top w:val="nil"/>
              <w:left w:val="nil"/>
              <w:bottom w:val="single" w:sz="4" w:space="0" w:color="0070C0"/>
              <w:right w:val="single" w:sz="4" w:space="0" w:color="0070C0"/>
            </w:tcBorders>
            <w:shd w:val="clear" w:color="auto" w:fill="auto"/>
            <w:noWrap/>
            <w:vAlign w:val="center"/>
            <w:hideMark/>
          </w:tcPr>
          <w:p w:rsidR="00AF0282" w:rsidRPr="00D6564C" w:rsidRDefault="00AF0282" w:rsidP="00916BEF">
            <w:pPr>
              <w:keepNext/>
              <w:spacing w:after="200"/>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w:t>
            </w:r>
          </w:p>
        </w:tc>
      </w:tr>
    </w:tbl>
    <w:p w:rsidR="00AF0282" w:rsidRPr="00D6564C" w:rsidRDefault="00AF0282" w:rsidP="00AF0282">
      <w:pPr>
        <w:spacing w:after="200" w:line="276" w:lineRule="auto"/>
        <w:ind w:left="360"/>
        <w:rPr>
          <w:rFonts w:asciiTheme="minorHAnsi" w:eastAsiaTheme="minorHAnsi" w:hAnsiTheme="minorHAnsi" w:cstheme="minorBidi"/>
          <w:i/>
          <w:sz w:val="22"/>
          <w:szCs w:val="22"/>
        </w:rPr>
      </w:pPr>
    </w:p>
    <w:p w:rsidR="00AF0282" w:rsidRPr="00D6564C"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Each LSE should save a separate file for each portfolio in the format of “Data_LSEname_NewRsrc_Identifier_yyyymmdd.xlsx” where the field “</w:t>
      </w:r>
      <w:proofErr w:type="spellStart"/>
      <w:r w:rsidRPr="00D6564C">
        <w:rPr>
          <w:rFonts w:asciiTheme="minorHAnsi" w:eastAsiaTheme="minorHAnsi" w:hAnsiTheme="minorHAnsi" w:cstheme="minorBidi"/>
          <w:i/>
          <w:sz w:val="22"/>
          <w:szCs w:val="22"/>
        </w:rPr>
        <w:t>LSEname</w:t>
      </w:r>
      <w:proofErr w:type="spellEnd"/>
      <w:r w:rsidRPr="00D6564C">
        <w:rPr>
          <w:rFonts w:asciiTheme="minorHAnsi" w:eastAsiaTheme="minorHAnsi" w:hAnsiTheme="minorHAnsi" w:cstheme="minorBidi"/>
          <w:i/>
          <w:sz w:val="22"/>
          <w:szCs w:val="22"/>
        </w:rPr>
        <w:t>” is replaced with the LSE name (</w:t>
      </w:r>
      <w:r w:rsidR="00D55E27">
        <w:rPr>
          <w:rFonts w:asciiTheme="minorHAnsi" w:eastAsiaTheme="minorHAnsi" w:hAnsiTheme="minorHAnsi" w:cstheme="minorBidi"/>
          <w:i/>
          <w:sz w:val="22"/>
          <w:szCs w:val="22"/>
        </w:rPr>
        <w:t>only letters allowed, no spaces or other characters</w:t>
      </w:r>
      <w:r w:rsidRPr="00D6564C">
        <w:rPr>
          <w:rFonts w:asciiTheme="minorHAnsi" w:eastAsiaTheme="minorHAnsi" w:hAnsiTheme="minorHAnsi" w:cstheme="minorBidi"/>
          <w:i/>
          <w:sz w:val="22"/>
          <w:szCs w:val="22"/>
        </w:rPr>
        <w:t>), the field “Identifier” is replaced with Conforming, Alternate1, Alternate2, etc</w:t>
      </w:r>
      <w:r w:rsidR="00D55E27">
        <w:rPr>
          <w:rFonts w:asciiTheme="minorHAnsi" w:eastAsiaTheme="minorHAnsi" w:hAnsiTheme="minorHAnsi" w:cstheme="minorBidi"/>
          <w:i/>
          <w:sz w:val="22"/>
          <w:szCs w:val="22"/>
        </w:rPr>
        <w:t>.</w:t>
      </w:r>
      <w:r w:rsidRPr="00D6564C">
        <w:rPr>
          <w:rFonts w:asciiTheme="minorHAnsi" w:eastAsiaTheme="minorHAnsi" w:hAnsiTheme="minorHAnsi" w:cstheme="minorBidi"/>
          <w:i/>
          <w:sz w:val="22"/>
          <w:szCs w:val="22"/>
        </w:rPr>
        <w:t>, and “</w:t>
      </w:r>
      <w:proofErr w:type="spellStart"/>
      <w:r w:rsidRPr="00D6564C">
        <w:rPr>
          <w:rFonts w:asciiTheme="minorHAnsi" w:eastAsiaTheme="minorHAnsi" w:hAnsiTheme="minorHAnsi" w:cstheme="minorBidi"/>
          <w:i/>
          <w:sz w:val="22"/>
          <w:szCs w:val="22"/>
        </w:rPr>
        <w:t>yyyymmdd</w:t>
      </w:r>
      <w:proofErr w:type="spellEnd"/>
      <w:r w:rsidRPr="00D6564C">
        <w:rPr>
          <w:rFonts w:asciiTheme="minorHAnsi" w:eastAsiaTheme="minorHAnsi" w:hAnsiTheme="minorHAnsi" w:cstheme="minorBidi"/>
          <w:i/>
          <w:sz w:val="22"/>
          <w:szCs w:val="22"/>
        </w:rPr>
        <w:t>” is replaced with the date the file is submitted to the Commission.  Spaces are not allowed in the file name.  Special characters are not allowed, except for underscore (“_”) and dash (“-”).</w:t>
      </w:r>
    </w:p>
    <w:p w:rsidR="00AF0282" w:rsidRPr="00D6564C" w:rsidRDefault="00AF0282" w:rsidP="00AF0282">
      <w:pPr>
        <w:keepNext/>
        <w:keepLines/>
        <w:numPr>
          <w:ilvl w:val="1"/>
          <w:numId w:val="1"/>
        </w:numPr>
        <w:spacing w:before="480" w:after="240" w:line="276" w:lineRule="auto"/>
        <w:ind w:left="864" w:hanging="504"/>
        <w:outlineLvl w:val="1"/>
        <w:rPr>
          <w:rFonts w:asciiTheme="majorHAnsi" w:eastAsiaTheme="majorEastAsia" w:hAnsiTheme="majorHAnsi" w:cstheme="majorBidi"/>
          <w:b/>
          <w:bCs/>
          <w:sz w:val="24"/>
          <w:szCs w:val="28"/>
        </w:rPr>
      </w:pPr>
      <w:bookmarkStart w:id="52" w:name="_Toc501375939"/>
      <w:r w:rsidRPr="00D6564C">
        <w:rPr>
          <w:rFonts w:asciiTheme="majorHAnsi" w:eastAsiaTheme="majorEastAsia" w:hAnsiTheme="majorHAnsi" w:cstheme="majorBidi"/>
          <w:b/>
          <w:bCs/>
          <w:sz w:val="24"/>
          <w:szCs w:val="28"/>
        </w:rPr>
        <w:t>Other Data Reporting Guidelines</w:t>
      </w:r>
      <w:bookmarkEnd w:id="52"/>
    </w:p>
    <w:p w:rsidR="00AF0282" w:rsidRPr="00D6564C"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The LSE </w:t>
      </w:r>
      <w:r>
        <w:rPr>
          <w:rFonts w:asciiTheme="minorHAnsi" w:eastAsiaTheme="minorHAnsi" w:hAnsiTheme="minorHAnsi" w:cstheme="minorBidi"/>
          <w:i/>
          <w:sz w:val="22"/>
          <w:szCs w:val="22"/>
        </w:rPr>
        <w:t>will</w:t>
      </w:r>
      <w:r w:rsidRPr="00D6564C">
        <w:rPr>
          <w:rFonts w:asciiTheme="minorHAnsi" w:eastAsiaTheme="minorHAnsi" w:hAnsiTheme="minorHAnsi" w:cstheme="minorBidi"/>
          <w:i/>
          <w:sz w:val="22"/>
          <w:szCs w:val="22"/>
        </w:rPr>
        <w:t xml:space="preserve"> need to report supplemental or supporting data </w:t>
      </w:r>
      <w:r>
        <w:rPr>
          <w:rFonts w:asciiTheme="minorHAnsi" w:eastAsiaTheme="minorHAnsi" w:hAnsiTheme="minorHAnsi" w:cstheme="minorBidi"/>
          <w:i/>
          <w:sz w:val="22"/>
          <w:szCs w:val="22"/>
        </w:rPr>
        <w:t xml:space="preserve">such as annual emissions estimates </w:t>
      </w:r>
      <w:r w:rsidRPr="00D6564C">
        <w:rPr>
          <w:rFonts w:asciiTheme="minorHAnsi" w:eastAsiaTheme="minorHAnsi" w:hAnsiTheme="minorHAnsi" w:cstheme="minorBidi"/>
          <w:i/>
          <w:sz w:val="22"/>
          <w:szCs w:val="22"/>
        </w:rPr>
        <w:t xml:space="preserve">that is </w:t>
      </w:r>
      <w:r>
        <w:rPr>
          <w:rFonts w:asciiTheme="minorHAnsi" w:eastAsiaTheme="minorHAnsi" w:hAnsiTheme="minorHAnsi" w:cstheme="minorBidi"/>
          <w:i/>
          <w:sz w:val="22"/>
          <w:szCs w:val="22"/>
        </w:rPr>
        <w:t xml:space="preserve">requested </w:t>
      </w:r>
      <w:r w:rsidRPr="00D6564C">
        <w:rPr>
          <w:rFonts w:asciiTheme="minorHAnsi" w:eastAsiaTheme="minorHAnsi" w:hAnsiTheme="minorHAnsi" w:cstheme="minorBidi"/>
          <w:i/>
          <w:sz w:val="22"/>
          <w:szCs w:val="22"/>
        </w:rPr>
        <w:t>within the Standard LSE Plan Template instruction above</w:t>
      </w:r>
      <w:r>
        <w:rPr>
          <w:rFonts w:asciiTheme="minorHAnsi" w:eastAsiaTheme="minorHAnsi" w:hAnsiTheme="minorHAnsi" w:cstheme="minorBidi"/>
          <w:i/>
          <w:sz w:val="22"/>
          <w:szCs w:val="22"/>
        </w:rPr>
        <w:t xml:space="preserve"> but is not part of the Excel Workbook Baseline Resource or New Resource Data Templates</w:t>
      </w:r>
      <w:r w:rsidRPr="00D6564C">
        <w:rPr>
          <w:rFonts w:asciiTheme="minorHAnsi" w:eastAsiaTheme="minorHAnsi" w:hAnsiTheme="minorHAnsi" w:cstheme="minorBidi"/>
          <w:i/>
          <w:sz w:val="22"/>
          <w:szCs w:val="22"/>
        </w:rPr>
        <w:t xml:space="preserve">.  LSEs should report </w:t>
      </w:r>
      <w:r>
        <w:rPr>
          <w:rFonts w:asciiTheme="minorHAnsi" w:eastAsiaTheme="minorHAnsi" w:hAnsiTheme="minorHAnsi" w:cstheme="minorBidi"/>
          <w:i/>
          <w:sz w:val="22"/>
          <w:szCs w:val="22"/>
        </w:rPr>
        <w:t>such</w:t>
      </w:r>
      <w:r w:rsidRPr="00D6564C">
        <w:rPr>
          <w:rFonts w:asciiTheme="minorHAnsi" w:eastAsiaTheme="minorHAnsi" w:hAnsiTheme="minorHAnsi" w:cstheme="minorBidi"/>
          <w:i/>
          <w:sz w:val="22"/>
          <w:szCs w:val="22"/>
        </w:rPr>
        <w:t xml:space="preserve"> data </w:t>
      </w:r>
      <w:r>
        <w:rPr>
          <w:rFonts w:asciiTheme="minorHAnsi" w:eastAsiaTheme="minorHAnsi" w:hAnsiTheme="minorHAnsi" w:cstheme="minorBidi"/>
          <w:i/>
          <w:sz w:val="22"/>
          <w:szCs w:val="22"/>
        </w:rPr>
        <w:t xml:space="preserve">or any other supporting data </w:t>
      </w:r>
      <w:r w:rsidRPr="00D6564C">
        <w:rPr>
          <w:rFonts w:asciiTheme="minorHAnsi" w:eastAsiaTheme="minorHAnsi" w:hAnsiTheme="minorHAnsi" w:cstheme="minorBidi"/>
          <w:i/>
          <w:sz w:val="22"/>
          <w:szCs w:val="22"/>
        </w:rPr>
        <w:t>in one or more Excel-compatible workbooks.</w:t>
      </w:r>
    </w:p>
    <w:p w:rsidR="00AF0282" w:rsidRPr="00D6564C" w:rsidRDefault="00AF0282" w:rsidP="00AF0282">
      <w:pPr>
        <w:spacing w:after="200" w:line="276" w:lineRule="auto"/>
        <w:ind w:left="360"/>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Save a separate file for each portfolio in the format of “Supporting_LSEname_Identifier_yyyymmdd.xlsx” where the field “</w:t>
      </w:r>
      <w:proofErr w:type="spellStart"/>
      <w:r w:rsidRPr="00D6564C">
        <w:rPr>
          <w:rFonts w:asciiTheme="minorHAnsi" w:eastAsiaTheme="minorHAnsi" w:hAnsiTheme="minorHAnsi" w:cstheme="minorBidi"/>
          <w:i/>
          <w:sz w:val="22"/>
          <w:szCs w:val="22"/>
        </w:rPr>
        <w:t>LSEname</w:t>
      </w:r>
      <w:proofErr w:type="spellEnd"/>
      <w:r w:rsidRPr="00D6564C">
        <w:rPr>
          <w:rFonts w:asciiTheme="minorHAnsi" w:eastAsiaTheme="minorHAnsi" w:hAnsiTheme="minorHAnsi" w:cstheme="minorBidi"/>
          <w:i/>
          <w:sz w:val="22"/>
          <w:szCs w:val="22"/>
        </w:rPr>
        <w:t>” is replaced with the LSE name (</w:t>
      </w:r>
      <w:r w:rsidR="003173B9">
        <w:rPr>
          <w:rFonts w:asciiTheme="minorHAnsi" w:eastAsiaTheme="minorHAnsi" w:hAnsiTheme="minorHAnsi" w:cstheme="minorBidi"/>
          <w:i/>
          <w:sz w:val="22"/>
          <w:szCs w:val="22"/>
        </w:rPr>
        <w:t>only letters allowed, no spaces or other characters</w:t>
      </w:r>
      <w:r w:rsidRPr="00D6564C">
        <w:rPr>
          <w:rFonts w:asciiTheme="minorHAnsi" w:eastAsiaTheme="minorHAnsi" w:hAnsiTheme="minorHAnsi" w:cstheme="minorBidi"/>
          <w:i/>
          <w:sz w:val="22"/>
          <w:szCs w:val="22"/>
        </w:rPr>
        <w:t>), the field “Identifier” is replaced with Conforming, Alternat</w:t>
      </w:r>
      <w:r w:rsidR="003173B9">
        <w:rPr>
          <w:rFonts w:asciiTheme="minorHAnsi" w:eastAsiaTheme="minorHAnsi" w:hAnsiTheme="minorHAnsi" w:cstheme="minorBidi"/>
          <w:i/>
          <w:sz w:val="22"/>
          <w:szCs w:val="22"/>
        </w:rPr>
        <w:t>iv</w:t>
      </w:r>
      <w:r w:rsidRPr="00D6564C">
        <w:rPr>
          <w:rFonts w:asciiTheme="minorHAnsi" w:eastAsiaTheme="minorHAnsi" w:hAnsiTheme="minorHAnsi" w:cstheme="minorBidi"/>
          <w:i/>
          <w:sz w:val="22"/>
          <w:szCs w:val="22"/>
        </w:rPr>
        <w:t>e1, Alternat</w:t>
      </w:r>
      <w:r w:rsidR="003173B9">
        <w:rPr>
          <w:rFonts w:asciiTheme="minorHAnsi" w:eastAsiaTheme="minorHAnsi" w:hAnsiTheme="minorHAnsi" w:cstheme="minorBidi"/>
          <w:i/>
          <w:sz w:val="22"/>
          <w:szCs w:val="22"/>
        </w:rPr>
        <w:t>iv</w:t>
      </w:r>
      <w:r w:rsidRPr="00D6564C">
        <w:rPr>
          <w:rFonts w:asciiTheme="minorHAnsi" w:eastAsiaTheme="minorHAnsi" w:hAnsiTheme="minorHAnsi" w:cstheme="minorBidi"/>
          <w:i/>
          <w:sz w:val="22"/>
          <w:szCs w:val="22"/>
        </w:rPr>
        <w:t>e2, etc</w:t>
      </w:r>
      <w:r w:rsidR="003173B9">
        <w:rPr>
          <w:rFonts w:asciiTheme="minorHAnsi" w:eastAsiaTheme="minorHAnsi" w:hAnsiTheme="minorHAnsi" w:cstheme="minorBidi"/>
          <w:i/>
          <w:sz w:val="22"/>
          <w:szCs w:val="22"/>
        </w:rPr>
        <w:t>.</w:t>
      </w:r>
      <w:r w:rsidRPr="00D6564C">
        <w:rPr>
          <w:rFonts w:asciiTheme="minorHAnsi" w:eastAsiaTheme="minorHAnsi" w:hAnsiTheme="minorHAnsi" w:cstheme="minorBidi"/>
          <w:i/>
          <w:sz w:val="22"/>
          <w:szCs w:val="22"/>
        </w:rPr>
        <w:t>, and “</w:t>
      </w:r>
      <w:proofErr w:type="spellStart"/>
      <w:r w:rsidRPr="00D6564C">
        <w:rPr>
          <w:rFonts w:asciiTheme="minorHAnsi" w:eastAsiaTheme="minorHAnsi" w:hAnsiTheme="minorHAnsi" w:cstheme="minorBidi"/>
          <w:i/>
          <w:sz w:val="22"/>
          <w:szCs w:val="22"/>
        </w:rPr>
        <w:t>yyyymmdd</w:t>
      </w:r>
      <w:proofErr w:type="spellEnd"/>
      <w:r w:rsidRPr="00D6564C">
        <w:rPr>
          <w:rFonts w:asciiTheme="minorHAnsi" w:eastAsiaTheme="minorHAnsi" w:hAnsiTheme="minorHAnsi" w:cstheme="minorBidi"/>
          <w:i/>
          <w:sz w:val="22"/>
          <w:szCs w:val="22"/>
        </w:rPr>
        <w:t xml:space="preserve">” is replaced with the date the file is </w:t>
      </w:r>
      <w:r w:rsidRPr="00D6564C">
        <w:rPr>
          <w:rFonts w:asciiTheme="minorHAnsi" w:eastAsiaTheme="minorHAnsi" w:hAnsiTheme="minorHAnsi" w:cstheme="minorBidi"/>
          <w:i/>
          <w:sz w:val="22"/>
          <w:szCs w:val="22"/>
        </w:rPr>
        <w:lastRenderedPageBreak/>
        <w:t>submitted to the Commission.  Spaces are not allowed in the file name.  Special characters are not allowed, except for underscore (“_”) and dash (“-”).</w:t>
      </w:r>
    </w:p>
    <w:p w:rsidR="00AF0282" w:rsidRPr="00D6564C" w:rsidRDefault="00AF0282" w:rsidP="00AF0282">
      <w:pPr>
        <w:keepNext/>
        <w:keepLines/>
        <w:numPr>
          <w:ilvl w:val="0"/>
          <w:numId w:val="1"/>
        </w:numPr>
        <w:spacing w:before="480" w:after="240" w:line="276" w:lineRule="auto"/>
        <w:ind w:left="360"/>
        <w:outlineLvl w:val="0"/>
        <w:rPr>
          <w:rFonts w:asciiTheme="majorHAnsi" w:eastAsiaTheme="majorEastAsia" w:hAnsiTheme="majorHAnsi" w:cstheme="majorBidi"/>
          <w:b/>
          <w:bCs/>
          <w:sz w:val="28"/>
          <w:szCs w:val="28"/>
        </w:rPr>
      </w:pPr>
      <w:bookmarkStart w:id="53" w:name="_Toc501375940"/>
      <w:r w:rsidRPr="00D6564C">
        <w:rPr>
          <w:rFonts w:asciiTheme="majorHAnsi" w:eastAsiaTheme="majorEastAsia" w:hAnsiTheme="majorHAnsi" w:cstheme="majorBidi"/>
          <w:b/>
          <w:bCs/>
          <w:sz w:val="28"/>
          <w:szCs w:val="28"/>
        </w:rPr>
        <w:t>Lessons Learned</w:t>
      </w:r>
      <w:bookmarkEnd w:id="53"/>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i/>
          <w:sz w:val="22"/>
          <w:szCs w:val="22"/>
        </w:rPr>
        <w:t xml:space="preserve">Document any suggested changes to the IRP process for consideration by the Commission. Explain how the change would facilitate the ability of the Commission and LSEs to achieve state policy goals. </w:t>
      </w:r>
    </w:p>
    <w:p w:rsidR="00AF0282" w:rsidRPr="00D6564C" w:rsidRDefault="00AF0282" w:rsidP="00AF0282">
      <w:pPr>
        <w:spacing w:after="200" w:line="276" w:lineRule="auto"/>
        <w:rPr>
          <w:rFonts w:asciiTheme="minorHAnsi" w:eastAsiaTheme="minorHAnsi" w:hAnsiTheme="minorHAnsi" w:cstheme="minorBidi"/>
          <w:sz w:val="22"/>
          <w:szCs w:val="22"/>
        </w:rPr>
      </w:pPr>
    </w:p>
    <w:p w:rsidR="00AF0282" w:rsidRPr="00D6564C" w:rsidRDefault="00AF0282" w:rsidP="00AF0282">
      <w:pPr>
        <w:spacing w:after="200" w:line="276" w:lineRule="auto"/>
        <w:rPr>
          <w:rFonts w:asciiTheme="majorHAnsi" w:eastAsiaTheme="majorEastAsia" w:hAnsiTheme="majorHAnsi" w:cstheme="majorBidi"/>
          <w:b/>
          <w:bCs/>
          <w:i/>
          <w:sz w:val="28"/>
          <w:szCs w:val="28"/>
        </w:rPr>
      </w:pPr>
      <w:r w:rsidRPr="00D6564C">
        <w:rPr>
          <w:rFonts w:asciiTheme="minorHAnsi" w:eastAsiaTheme="minorHAnsi" w:hAnsiTheme="minorHAnsi" w:cstheme="minorBidi"/>
          <w:i/>
          <w:sz w:val="22"/>
          <w:szCs w:val="22"/>
        </w:rPr>
        <w:br w:type="page"/>
      </w:r>
    </w:p>
    <w:p w:rsidR="00AF0282" w:rsidRPr="00D6564C" w:rsidRDefault="00AF0282" w:rsidP="00AF0282">
      <w:pPr>
        <w:keepNext/>
        <w:keepLines/>
        <w:spacing w:before="480" w:after="240" w:line="276" w:lineRule="auto"/>
        <w:ind w:left="360" w:hanging="360"/>
        <w:outlineLvl w:val="0"/>
        <w:rPr>
          <w:rFonts w:asciiTheme="majorHAnsi" w:eastAsiaTheme="majorEastAsia" w:hAnsiTheme="majorHAnsi" w:cstheme="majorBidi"/>
          <w:b/>
          <w:bCs/>
          <w:i/>
          <w:sz w:val="28"/>
          <w:szCs w:val="28"/>
        </w:rPr>
      </w:pPr>
      <w:bookmarkStart w:id="54" w:name="_Toc501375941"/>
      <w:r w:rsidRPr="00D6564C">
        <w:rPr>
          <w:rFonts w:asciiTheme="majorHAnsi" w:eastAsiaTheme="majorEastAsia" w:hAnsiTheme="majorHAnsi" w:cstheme="majorBidi"/>
          <w:b/>
          <w:bCs/>
          <w:i/>
          <w:sz w:val="28"/>
          <w:szCs w:val="28"/>
        </w:rPr>
        <w:lastRenderedPageBreak/>
        <w:t>Glossary of Terms</w:t>
      </w:r>
      <w:bookmarkEnd w:id="54"/>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Alternative Portfolio</w:t>
      </w:r>
      <w:r w:rsidRPr="00D6564C">
        <w:rPr>
          <w:rFonts w:asciiTheme="minorHAnsi" w:eastAsiaTheme="minorHAnsi" w:hAnsiTheme="minorHAnsi" w:cstheme="minorBidi"/>
          <w:i/>
          <w:sz w:val="22"/>
          <w:szCs w:val="22"/>
        </w:rPr>
        <w:t xml:space="preserve"> – LSEs are permitted to submit “Alternative Portfolios” developed from scenarios using different assumptions from those used in the Reference System Plan. Any deviations from the Conforming Portfolio must be explained and justified.</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Conforming Portfolio</w:t>
      </w:r>
      <w:r w:rsidRPr="00D6564C">
        <w:rPr>
          <w:rFonts w:asciiTheme="minorHAnsi" w:eastAsiaTheme="minorHAnsi" w:hAnsiTheme="minorHAnsi" w:cstheme="minorBidi"/>
          <w:i/>
          <w:sz w:val="22"/>
          <w:szCs w:val="22"/>
        </w:rPr>
        <w:t xml:space="preserve"> – Each LSE must produce a “Conforming Portfolio” that is demonstrated to be consistent with the Reference System Portfolio according to the following criteria: (1) use of either the GHG Planning Prices or the LSE-Specific 2030 GHG Emissions Benchmark, (2) use of input assumptions matching those used in developing the Reference System Portfolio</w:t>
      </w:r>
      <w:r w:rsidR="000F58F4">
        <w:rPr>
          <w:rFonts w:asciiTheme="minorHAnsi" w:eastAsiaTheme="minorHAnsi" w:hAnsiTheme="minorHAnsi" w:cstheme="minorBidi"/>
          <w:i/>
          <w:sz w:val="22"/>
          <w:szCs w:val="22"/>
        </w:rPr>
        <w:t>, and (3) consistent with the 2017 IEPR</w:t>
      </w:r>
      <w:r w:rsidR="000F58F4" w:rsidRPr="000F58F4">
        <w:rPr>
          <w:rFonts w:ascii="Calibri" w:eastAsia="Calibri" w:hAnsi="Calibri" w:cs="Calibri"/>
          <w:i/>
          <w:position w:val="1"/>
          <w:sz w:val="22"/>
          <w:szCs w:val="22"/>
        </w:rPr>
        <w:t xml:space="preserve"> </w:t>
      </w:r>
      <w:r w:rsidR="000F58F4">
        <w:rPr>
          <w:rFonts w:ascii="Calibri" w:eastAsia="Calibri" w:hAnsi="Calibri" w:cs="Calibri"/>
          <w:i/>
          <w:position w:val="1"/>
          <w:sz w:val="22"/>
          <w:szCs w:val="22"/>
        </w:rPr>
        <w:t>“mid B</w:t>
      </w:r>
      <w:r w:rsidR="000F58F4">
        <w:rPr>
          <w:rFonts w:ascii="Calibri" w:eastAsia="Calibri" w:hAnsi="Calibri" w:cs="Calibri"/>
          <w:i/>
          <w:spacing w:val="-1"/>
          <w:position w:val="1"/>
          <w:sz w:val="22"/>
          <w:szCs w:val="22"/>
        </w:rPr>
        <w:t>a</w:t>
      </w:r>
      <w:r w:rsidR="000F58F4">
        <w:rPr>
          <w:rFonts w:ascii="Calibri" w:eastAsia="Calibri" w:hAnsi="Calibri" w:cs="Calibri"/>
          <w:i/>
          <w:position w:val="1"/>
          <w:sz w:val="22"/>
          <w:szCs w:val="22"/>
        </w:rPr>
        <w:t>seli</w:t>
      </w:r>
      <w:r w:rsidR="000F58F4">
        <w:rPr>
          <w:rFonts w:ascii="Calibri" w:eastAsia="Calibri" w:hAnsi="Calibri" w:cs="Calibri"/>
          <w:i/>
          <w:spacing w:val="-1"/>
          <w:position w:val="1"/>
          <w:sz w:val="22"/>
          <w:szCs w:val="22"/>
        </w:rPr>
        <w:t>n</w:t>
      </w:r>
      <w:r w:rsidR="000F58F4">
        <w:rPr>
          <w:rFonts w:ascii="Calibri" w:eastAsia="Calibri" w:hAnsi="Calibri" w:cs="Calibri"/>
          <w:i/>
          <w:position w:val="1"/>
          <w:sz w:val="22"/>
          <w:szCs w:val="22"/>
        </w:rPr>
        <w:t>e</w:t>
      </w:r>
      <w:r w:rsidR="000F58F4">
        <w:rPr>
          <w:rFonts w:ascii="Calibri" w:eastAsia="Calibri" w:hAnsi="Calibri" w:cs="Calibri"/>
          <w:i/>
          <w:spacing w:val="-1"/>
          <w:position w:val="1"/>
          <w:sz w:val="22"/>
          <w:szCs w:val="22"/>
        </w:rPr>
        <w:t xml:space="preserve"> </w:t>
      </w:r>
      <w:r w:rsidR="000F58F4">
        <w:rPr>
          <w:rFonts w:ascii="Calibri" w:eastAsia="Calibri" w:hAnsi="Calibri" w:cs="Calibri"/>
          <w:i/>
          <w:position w:val="1"/>
          <w:sz w:val="22"/>
          <w:szCs w:val="22"/>
        </w:rPr>
        <w:t>m</w:t>
      </w:r>
      <w:r w:rsidR="000F58F4">
        <w:rPr>
          <w:rFonts w:ascii="Calibri" w:eastAsia="Calibri" w:hAnsi="Calibri" w:cs="Calibri"/>
          <w:i/>
          <w:spacing w:val="-2"/>
          <w:position w:val="1"/>
          <w:sz w:val="22"/>
          <w:szCs w:val="22"/>
        </w:rPr>
        <w:t>i</w:t>
      </w:r>
      <w:r w:rsidR="000F58F4">
        <w:rPr>
          <w:rFonts w:ascii="Calibri" w:eastAsia="Calibri" w:hAnsi="Calibri" w:cs="Calibri"/>
          <w:i/>
          <w:position w:val="1"/>
          <w:sz w:val="22"/>
          <w:szCs w:val="22"/>
        </w:rPr>
        <w:t>d</w:t>
      </w:r>
      <w:r w:rsidR="000F58F4">
        <w:rPr>
          <w:rFonts w:ascii="Calibri" w:eastAsia="Calibri" w:hAnsi="Calibri" w:cs="Calibri"/>
          <w:i/>
          <w:spacing w:val="-1"/>
          <w:position w:val="1"/>
          <w:sz w:val="22"/>
          <w:szCs w:val="22"/>
        </w:rPr>
        <w:t xml:space="preserve"> </w:t>
      </w:r>
      <w:r w:rsidR="000F58F4">
        <w:rPr>
          <w:rFonts w:ascii="Calibri" w:eastAsia="Calibri" w:hAnsi="Calibri" w:cs="Calibri"/>
          <w:i/>
          <w:position w:val="1"/>
          <w:sz w:val="22"/>
          <w:szCs w:val="22"/>
        </w:rPr>
        <w:t>A</w:t>
      </w:r>
      <w:r w:rsidR="000F58F4">
        <w:rPr>
          <w:rFonts w:ascii="Calibri" w:eastAsia="Calibri" w:hAnsi="Calibri" w:cs="Calibri"/>
          <w:i/>
          <w:spacing w:val="-1"/>
          <w:position w:val="1"/>
          <w:sz w:val="22"/>
          <w:szCs w:val="22"/>
        </w:rPr>
        <w:t>A</w:t>
      </w:r>
      <w:r w:rsidR="000F58F4">
        <w:rPr>
          <w:rFonts w:ascii="Calibri" w:eastAsia="Calibri" w:hAnsi="Calibri" w:cs="Calibri"/>
          <w:i/>
          <w:position w:val="1"/>
          <w:sz w:val="22"/>
          <w:szCs w:val="22"/>
        </w:rPr>
        <w:t xml:space="preserve">EE </w:t>
      </w:r>
      <w:r w:rsidR="000F58F4">
        <w:rPr>
          <w:rFonts w:ascii="Calibri" w:eastAsia="Calibri" w:hAnsi="Calibri" w:cs="Calibri"/>
          <w:i/>
          <w:sz w:val="22"/>
          <w:szCs w:val="22"/>
        </w:rPr>
        <w:t xml:space="preserve">mid </w:t>
      </w:r>
      <w:r w:rsidR="000F58F4">
        <w:rPr>
          <w:rFonts w:ascii="Calibri" w:eastAsia="Calibri" w:hAnsi="Calibri" w:cs="Calibri"/>
          <w:i/>
          <w:spacing w:val="-1"/>
          <w:sz w:val="22"/>
          <w:szCs w:val="22"/>
        </w:rPr>
        <w:t>A</w:t>
      </w:r>
      <w:r w:rsidR="000F58F4">
        <w:rPr>
          <w:rFonts w:ascii="Calibri" w:eastAsia="Calibri" w:hAnsi="Calibri" w:cs="Calibri"/>
          <w:i/>
          <w:sz w:val="22"/>
          <w:szCs w:val="22"/>
        </w:rPr>
        <w:t>AP</w:t>
      </w:r>
      <w:r w:rsidR="000F58F4">
        <w:rPr>
          <w:rFonts w:ascii="Calibri" w:eastAsia="Calibri" w:hAnsi="Calibri" w:cs="Calibri"/>
          <w:i/>
          <w:spacing w:val="-2"/>
          <w:sz w:val="22"/>
          <w:szCs w:val="22"/>
        </w:rPr>
        <w:t>V” forecast</w:t>
      </w:r>
      <w:r w:rsidR="00887C82">
        <w:rPr>
          <w:rFonts w:ascii="Calibri" w:eastAsia="Calibri" w:hAnsi="Calibri" w:cs="Calibri"/>
          <w:i/>
          <w:spacing w:val="-2"/>
          <w:sz w:val="22"/>
          <w:szCs w:val="22"/>
        </w:rPr>
        <w:t>,</w:t>
      </w:r>
      <w:r w:rsidR="00887C82" w:rsidRPr="00887C82">
        <w:rPr>
          <w:rFonts w:ascii="Calibri" w:eastAsia="Calibri" w:hAnsi="Calibri" w:cs="Calibri"/>
          <w:i/>
          <w:spacing w:val="2"/>
          <w:sz w:val="22"/>
          <w:szCs w:val="22"/>
        </w:rPr>
        <w:t xml:space="preserve"> </w:t>
      </w:r>
      <w:r w:rsidR="00887C82">
        <w:rPr>
          <w:rFonts w:ascii="Calibri" w:eastAsia="Calibri" w:hAnsi="Calibri" w:cs="Calibri"/>
          <w:i/>
          <w:spacing w:val="2"/>
          <w:sz w:val="22"/>
          <w:szCs w:val="22"/>
        </w:rPr>
        <w:t>unless superseded by Administrative Law Judge ruling.</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Data Template</w:t>
      </w:r>
      <w:r w:rsidRPr="00D6564C">
        <w:rPr>
          <w:rFonts w:asciiTheme="minorHAnsi" w:eastAsiaTheme="minorHAnsi" w:hAnsiTheme="minorHAnsi" w:cstheme="minorBidi"/>
          <w:i/>
          <w:sz w:val="22"/>
          <w:szCs w:val="22"/>
        </w:rPr>
        <w:t xml:space="preserve"> – Data provided by the LSE should be reported in the “Baseline Resource Data Template” and the “New Resource Data Template” provided by the Commission. “Baseline” means existing resources and costs</w:t>
      </w:r>
      <w:r w:rsidR="001E0DB5">
        <w:rPr>
          <w:rFonts w:asciiTheme="minorHAnsi" w:eastAsiaTheme="minorHAnsi" w:hAnsiTheme="minorHAnsi" w:cstheme="minorBidi"/>
          <w:i/>
          <w:sz w:val="22"/>
          <w:szCs w:val="22"/>
        </w:rPr>
        <w:t xml:space="preserve">. </w:t>
      </w:r>
      <w:r w:rsidR="001C110E">
        <w:rPr>
          <w:rFonts w:asciiTheme="minorHAnsi" w:eastAsiaTheme="minorHAnsi" w:hAnsiTheme="minorHAnsi" w:cstheme="minorBidi"/>
          <w:i/>
          <w:sz w:val="22"/>
          <w:szCs w:val="22"/>
        </w:rPr>
        <w:t>“</w:t>
      </w:r>
      <w:r w:rsidR="001E0DB5">
        <w:rPr>
          <w:rFonts w:asciiTheme="minorHAnsi" w:eastAsiaTheme="minorHAnsi" w:hAnsiTheme="minorHAnsi" w:cstheme="minorBidi"/>
          <w:i/>
          <w:sz w:val="22"/>
          <w:szCs w:val="22"/>
        </w:rPr>
        <w:t>Existing</w:t>
      </w:r>
      <w:r w:rsidR="001C110E">
        <w:rPr>
          <w:rFonts w:asciiTheme="minorHAnsi" w:eastAsiaTheme="minorHAnsi" w:hAnsiTheme="minorHAnsi" w:cstheme="minorBidi"/>
          <w:i/>
          <w:sz w:val="22"/>
          <w:szCs w:val="22"/>
        </w:rPr>
        <w:t>”</w:t>
      </w:r>
      <w:r w:rsidR="001E0DB5">
        <w:rPr>
          <w:rFonts w:asciiTheme="minorHAnsi" w:eastAsiaTheme="minorHAnsi" w:hAnsiTheme="minorHAnsi" w:cstheme="minorBidi"/>
          <w:i/>
          <w:sz w:val="22"/>
          <w:szCs w:val="22"/>
        </w:rPr>
        <w:t xml:space="preserve"> includes</w:t>
      </w:r>
      <w:r w:rsidR="001E0DB5" w:rsidRPr="001E0DB5">
        <w:t xml:space="preserve"> </w:t>
      </w:r>
      <w:r w:rsidR="001E0DB5" w:rsidRPr="001E0DB5">
        <w:rPr>
          <w:rFonts w:asciiTheme="minorHAnsi" w:eastAsiaTheme="minorHAnsi" w:hAnsiTheme="minorHAnsi" w:cstheme="minorBidi"/>
          <w:i/>
          <w:sz w:val="22"/>
          <w:szCs w:val="22"/>
        </w:rPr>
        <w:t>resources on the 3/15/2018 NQC List, or projects not yet online but that have secured a contract and may therefore be identified in the Commission’s RPS Contracts Database or an Application filed at the Commission, as of January 1, 2018</w:t>
      </w:r>
      <w:r w:rsidRPr="00D6564C">
        <w:rPr>
          <w:rFonts w:asciiTheme="minorHAnsi" w:eastAsiaTheme="minorHAnsi" w:hAnsiTheme="minorHAnsi" w:cstheme="minorBidi"/>
          <w:i/>
          <w:sz w:val="22"/>
          <w:szCs w:val="22"/>
        </w:rPr>
        <w:t>. “New” means any new (incremental to the baseline) resources and costs associated with a particular LSE portfolio.</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Disadvantaged Communities</w:t>
      </w:r>
      <w:r w:rsidRPr="00D6564C">
        <w:rPr>
          <w:rFonts w:asciiTheme="minorHAnsi" w:eastAsiaTheme="minorHAnsi" w:hAnsiTheme="minorHAnsi" w:cstheme="minorBidi"/>
          <w:i/>
          <w:sz w:val="22"/>
          <w:szCs w:val="22"/>
        </w:rPr>
        <w:t xml:space="preserve"> – For the purposes of IRP, </w:t>
      </w:r>
      <w:r>
        <w:rPr>
          <w:rFonts w:asciiTheme="minorHAnsi" w:eastAsiaTheme="minorHAnsi" w:hAnsiTheme="minorHAnsi" w:cstheme="minorBidi"/>
          <w:i/>
          <w:sz w:val="22"/>
          <w:szCs w:val="22"/>
        </w:rPr>
        <w:t xml:space="preserve">and consistent with the </w:t>
      </w:r>
      <w:r w:rsidRPr="00D6564C">
        <w:rPr>
          <w:rFonts w:asciiTheme="minorHAnsi" w:eastAsiaTheme="minorHAnsi" w:hAnsiTheme="minorHAnsi" w:cstheme="minorBidi"/>
          <w:i/>
          <w:sz w:val="22"/>
          <w:szCs w:val="22"/>
        </w:rPr>
        <w:t>results of the California Communities Envir</w:t>
      </w:r>
      <w:r>
        <w:rPr>
          <w:rFonts w:asciiTheme="minorHAnsi" w:eastAsiaTheme="minorHAnsi" w:hAnsiTheme="minorHAnsi" w:cstheme="minorBidi"/>
          <w:i/>
          <w:sz w:val="22"/>
          <w:szCs w:val="22"/>
        </w:rPr>
        <w:t xml:space="preserve">onmental Health Screening Tool </w:t>
      </w:r>
      <w:r w:rsidRPr="00D6564C">
        <w:rPr>
          <w:rFonts w:asciiTheme="minorHAnsi" w:eastAsiaTheme="minorHAnsi" w:hAnsiTheme="minorHAnsi" w:cstheme="minorBidi"/>
          <w:i/>
          <w:sz w:val="22"/>
          <w:szCs w:val="22"/>
        </w:rPr>
        <w:t>Version 3 (CalEnviroScreen 3.0)</w:t>
      </w:r>
      <w:r>
        <w:rPr>
          <w:rFonts w:asciiTheme="minorHAnsi" w:eastAsiaTheme="minorHAnsi" w:hAnsiTheme="minorHAnsi" w:cstheme="minorBidi"/>
          <w:i/>
          <w:sz w:val="22"/>
          <w:szCs w:val="22"/>
        </w:rPr>
        <w:t>,</w:t>
      </w:r>
      <w:r w:rsidRPr="00D6564C">
        <w:rPr>
          <w:rFonts w:asciiTheme="minorHAnsi" w:eastAsiaTheme="minorHAnsi" w:hAnsiTheme="minorHAnsi" w:cstheme="minorBidi"/>
          <w:i/>
          <w:sz w:val="22"/>
          <w:szCs w:val="22"/>
        </w:rPr>
        <w:t xml:space="preserve"> “disadvantaged communities” refer to the 25% highest scoring census tracts in the state </w:t>
      </w:r>
      <w:r>
        <w:rPr>
          <w:rFonts w:asciiTheme="minorHAnsi" w:eastAsiaTheme="minorHAnsi" w:hAnsiTheme="minorHAnsi" w:cstheme="minorBidi"/>
          <w:i/>
          <w:sz w:val="22"/>
          <w:szCs w:val="22"/>
        </w:rPr>
        <w:t xml:space="preserve">along with </w:t>
      </w:r>
      <w:r w:rsidRPr="005B0177">
        <w:rPr>
          <w:rFonts w:asciiTheme="minorHAnsi" w:eastAsiaTheme="minorHAnsi" w:hAnsiTheme="minorHAnsi" w:cstheme="minorBidi"/>
          <w:i/>
          <w:sz w:val="22"/>
          <w:szCs w:val="22"/>
        </w:rPr>
        <w:t xml:space="preserve">the 22 census tracts that score in the highest </w:t>
      </w:r>
      <w:r>
        <w:rPr>
          <w:rFonts w:asciiTheme="minorHAnsi" w:eastAsiaTheme="minorHAnsi" w:hAnsiTheme="minorHAnsi" w:cstheme="minorBidi"/>
          <w:i/>
          <w:sz w:val="22"/>
          <w:szCs w:val="22"/>
        </w:rPr>
        <w:t>5%</w:t>
      </w:r>
      <w:r w:rsidRPr="005B0177">
        <w:rPr>
          <w:rFonts w:asciiTheme="minorHAnsi" w:eastAsiaTheme="minorHAnsi" w:hAnsiTheme="minorHAnsi" w:cstheme="minorBidi"/>
          <w:i/>
          <w:sz w:val="22"/>
          <w:szCs w:val="22"/>
        </w:rPr>
        <w:t xml:space="preserve"> of </w:t>
      </w:r>
      <w:proofErr w:type="spellStart"/>
      <w:r w:rsidRPr="005B0177">
        <w:rPr>
          <w:rFonts w:asciiTheme="minorHAnsi" w:eastAsiaTheme="minorHAnsi" w:hAnsiTheme="minorHAnsi" w:cstheme="minorBidi"/>
          <w:i/>
          <w:sz w:val="22"/>
          <w:szCs w:val="22"/>
        </w:rPr>
        <w:t>CalEnviroScreen’s</w:t>
      </w:r>
      <w:proofErr w:type="spellEnd"/>
      <w:r w:rsidRPr="005B0177">
        <w:rPr>
          <w:rFonts w:asciiTheme="minorHAnsi" w:eastAsiaTheme="minorHAnsi" w:hAnsiTheme="minorHAnsi" w:cstheme="minorBidi"/>
          <w:i/>
          <w:sz w:val="22"/>
          <w:szCs w:val="22"/>
        </w:rPr>
        <w:t xml:space="preserve"> pollution burden, but</w:t>
      </w:r>
      <w:r>
        <w:rPr>
          <w:rFonts w:asciiTheme="minorHAnsi" w:eastAsiaTheme="minorHAnsi" w:hAnsiTheme="minorHAnsi" w:cstheme="minorBidi"/>
          <w:i/>
          <w:sz w:val="22"/>
          <w:szCs w:val="22"/>
        </w:rPr>
        <w:t xml:space="preserve"> which</w:t>
      </w:r>
      <w:r w:rsidRPr="005B0177">
        <w:rPr>
          <w:rFonts w:asciiTheme="minorHAnsi" w:eastAsiaTheme="minorHAnsi" w:hAnsiTheme="minorHAnsi" w:cstheme="minorBidi"/>
          <w:i/>
          <w:sz w:val="22"/>
          <w:szCs w:val="22"/>
        </w:rPr>
        <w:t xml:space="preserve"> do not have an overall CalEnviroScreen score because of unreliabl</w:t>
      </w:r>
      <w:r>
        <w:rPr>
          <w:rFonts w:asciiTheme="minorHAnsi" w:eastAsiaTheme="minorHAnsi" w:hAnsiTheme="minorHAnsi" w:cstheme="minorBidi"/>
          <w:i/>
          <w:sz w:val="22"/>
          <w:szCs w:val="22"/>
        </w:rPr>
        <w:t>e socioeconomic or health data.</w:t>
      </w:r>
    </w:p>
    <w:p w:rsidR="00AF0282" w:rsidRPr="00D6564C" w:rsidRDefault="00D334A3" w:rsidP="00AF0282">
      <w:pPr>
        <w:spacing w:after="200" w:line="276" w:lineRule="auto"/>
        <w:rPr>
          <w:rFonts w:asciiTheme="minorHAnsi" w:eastAsiaTheme="minorHAnsi" w:hAnsiTheme="minorHAnsi" w:cstheme="minorBidi"/>
          <w:i/>
          <w:sz w:val="22"/>
          <w:szCs w:val="22"/>
        </w:rPr>
      </w:pPr>
      <w:r>
        <w:rPr>
          <w:rFonts w:ascii="Calibri" w:eastAsia="Calibri" w:hAnsi="Calibri" w:cs="Calibri"/>
          <w:b/>
          <w:i/>
          <w:spacing w:val="1"/>
          <w:sz w:val="22"/>
          <w:szCs w:val="22"/>
        </w:rPr>
        <w:t>G</w:t>
      </w:r>
      <w:r>
        <w:rPr>
          <w:rFonts w:ascii="Calibri" w:eastAsia="Calibri" w:hAnsi="Calibri" w:cs="Calibri"/>
          <w:b/>
          <w:i/>
          <w:sz w:val="22"/>
          <w:szCs w:val="22"/>
        </w:rPr>
        <w:t>HG</w:t>
      </w:r>
      <w:r>
        <w:rPr>
          <w:rFonts w:ascii="Calibri" w:eastAsia="Calibri" w:hAnsi="Calibri" w:cs="Calibri"/>
          <w:b/>
          <w:i/>
          <w:spacing w:val="-1"/>
          <w:sz w:val="22"/>
          <w:szCs w:val="22"/>
        </w:rPr>
        <w:t xml:space="preserve"> </w:t>
      </w:r>
      <w:r>
        <w:rPr>
          <w:rFonts w:ascii="Calibri" w:eastAsia="Calibri" w:hAnsi="Calibri" w:cs="Calibri"/>
          <w:b/>
          <w:i/>
          <w:sz w:val="22"/>
          <w:szCs w:val="22"/>
        </w:rPr>
        <w:t>E</w:t>
      </w:r>
      <w:r>
        <w:rPr>
          <w:rFonts w:ascii="Calibri" w:eastAsia="Calibri" w:hAnsi="Calibri" w:cs="Calibri"/>
          <w:b/>
          <w:i/>
          <w:spacing w:val="-2"/>
          <w:sz w:val="22"/>
          <w:szCs w:val="22"/>
        </w:rPr>
        <w:t>m</w:t>
      </w:r>
      <w:r>
        <w:rPr>
          <w:rFonts w:ascii="Calibri" w:eastAsia="Calibri" w:hAnsi="Calibri" w:cs="Calibri"/>
          <w:b/>
          <w:i/>
          <w:spacing w:val="1"/>
          <w:sz w:val="22"/>
          <w:szCs w:val="22"/>
        </w:rPr>
        <w:t>i</w:t>
      </w:r>
      <w:r>
        <w:rPr>
          <w:rFonts w:ascii="Calibri" w:eastAsia="Calibri" w:hAnsi="Calibri" w:cs="Calibri"/>
          <w:b/>
          <w:i/>
          <w:sz w:val="22"/>
          <w:szCs w:val="22"/>
        </w:rPr>
        <w:t>s</w:t>
      </w:r>
      <w:r>
        <w:rPr>
          <w:rFonts w:ascii="Calibri" w:eastAsia="Calibri" w:hAnsi="Calibri" w:cs="Calibri"/>
          <w:b/>
          <w:i/>
          <w:spacing w:val="-1"/>
          <w:sz w:val="22"/>
          <w:szCs w:val="22"/>
        </w:rPr>
        <w:t>si</w:t>
      </w:r>
      <w:r>
        <w:rPr>
          <w:rFonts w:ascii="Calibri" w:eastAsia="Calibri" w:hAnsi="Calibri" w:cs="Calibri"/>
          <w:b/>
          <w:i/>
          <w:spacing w:val="1"/>
          <w:sz w:val="22"/>
          <w:szCs w:val="22"/>
        </w:rPr>
        <w:t>on</w:t>
      </w:r>
      <w:r>
        <w:rPr>
          <w:rFonts w:ascii="Calibri" w:eastAsia="Calibri" w:hAnsi="Calibri" w:cs="Calibri"/>
          <w:b/>
          <w:i/>
          <w:sz w:val="22"/>
          <w:szCs w:val="22"/>
        </w:rPr>
        <w:t>s</w:t>
      </w:r>
      <w:r>
        <w:rPr>
          <w:rFonts w:ascii="Calibri" w:eastAsia="Calibri" w:hAnsi="Calibri" w:cs="Calibri"/>
          <w:b/>
          <w:i/>
          <w:spacing w:val="-2"/>
          <w:sz w:val="22"/>
          <w:szCs w:val="22"/>
        </w:rPr>
        <w:t xml:space="preserve"> </w:t>
      </w:r>
      <w:r>
        <w:rPr>
          <w:rFonts w:ascii="Calibri" w:eastAsia="Calibri" w:hAnsi="Calibri" w:cs="Calibri"/>
          <w:b/>
          <w:i/>
          <w:spacing w:val="1"/>
          <w:sz w:val="22"/>
          <w:szCs w:val="22"/>
        </w:rPr>
        <w:t>B</w:t>
      </w:r>
      <w:r>
        <w:rPr>
          <w:rFonts w:ascii="Calibri" w:eastAsia="Calibri" w:hAnsi="Calibri" w:cs="Calibri"/>
          <w:b/>
          <w:i/>
          <w:spacing w:val="-3"/>
          <w:sz w:val="22"/>
          <w:szCs w:val="22"/>
        </w:rPr>
        <w:t>e</w:t>
      </w:r>
      <w:r>
        <w:rPr>
          <w:rFonts w:ascii="Calibri" w:eastAsia="Calibri" w:hAnsi="Calibri" w:cs="Calibri"/>
          <w:b/>
          <w:i/>
          <w:spacing w:val="1"/>
          <w:sz w:val="22"/>
          <w:szCs w:val="22"/>
        </w:rPr>
        <w:t>n</w:t>
      </w:r>
      <w:r>
        <w:rPr>
          <w:rFonts w:ascii="Calibri" w:eastAsia="Calibri" w:hAnsi="Calibri" w:cs="Calibri"/>
          <w:b/>
          <w:i/>
          <w:spacing w:val="-2"/>
          <w:sz w:val="22"/>
          <w:szCs w:val="22"/>
        </w:rPr>
        <w:t>c</w:t>
      </w:r>
      <w:r>
        <w:rPr>
          <w:rFonts w:ascii="Calibri" w:eastAsia="Calibri" w:hAnsi="Calibri" w:cs="Calibri"/>
          <w:b/>
          <w:i/>
          <w:spacing w:val="1"/>
          <w:sz w:val="22"/>
          <w:szCs w:val="22"/>
        </w:rPr>
        <w:t>h</w:t>
      </w:r>
      <w:r>
        <w:rPr>
          <w:rFonts w:ascii="Calibri" w:eastAsia="Calibri" w:hAnsi="Calibri" w:cs="Calibri"/>
          <w:b/>
          <w:i/>
          <w:sz w:val="22"/>
          <w:szCs w:val="22"/>
        </w:rPr>
        <w:t>m</w:t>
      </w:r>
      <w:r>
        <w:rPr>
          <w:rFonts w:ascii="Calibri" w:eastAsia="Calibri" w:hAnsi="Calibri" w:cs="Calibri"/>
          <w:b/>
          <w:i/>
          <w:spacing w:val="1"/>
          <w:sz w:val="22"/>
          <w:szCs w:val="22"/>
        </w:rPr>
        <w:t>a</w:t>
      </w:r>
      <w:r>
        <w:rPr>
          <w:rFonts w:ascii="Calibri" w:eastAsia="Calibri" w:hAnsi="Calibri" w:cs="Calibri"/>
          <w:b/>
          <w:i/>
          <w:spacing w:val="-1"/>
          <w:sz w:val="22"/>
          <w:szCs w:val="22"/>
        </w:rPr>
        <w:t>r</w:t>
      </w:r>
      <w:r>
        <w:rPr>
          <w:rFonts w:ascii="Calibri" w:eastAsia="Calibri" w:hAnsi="Calibri" w:cs="Calibri"/>
          <w:b/>
          <w:i/>
          <w:sz w:val="22"/>
          <w:szCs w:val="22"/>
        </w:rPr>
        <w:t xml:space="preserve">k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Ea</w:t>
      </w:r>
      <w:r>
        <w:rPr>
          <w:rFonts w:ascii="Calibri" w:eastAsia="Calibri" w:hAnsi="Calibri" w:cs="Calibri"/>
          <w:i/>
          <w:spacing w:val="-1"/>
          <w:sz w:val="22"/>
          <w:szCs w:val="22"/>
        </w:rPr>
        <w:t>c</w:t>
      </w:r>
      <w:r>
        <w:rPr>
          <w:rFonts w:ascii="Calibri" w:eastAsia="Calibri" w:hAnsi="Calibri" w:cs="Calibri"/>
          <w:i/>
          <w:sz w:val="22"/>
          <w:szCs w:val="22"/>
        </w:rPr>
        <w:t>h</w:t>
      </w:r>
      <w:r>
        <w:rPr>
          <w:rFonts w:ascii="Calibri" w:eastAsia="Calibri" w:hAnsi="Calibri" w:cs="Calibri"/>
          <w:i/>
          <w:spacing w:val="-1"/>
          <w:sz w:val="22"/>
          <w:szCs w:val="22"/>
        </w:rPr>
        <w:t xml:space="preserve"> L</w:t>
      </w:r>
      <w:r>
        <w:rPr>
          <w:rFonts w:ascii="Calibri" w:eastAsia="Calibri" w:hAnsi="Calibri" w:cs="Calibri"/>
          <w:i/>
          <w:spacing w:val="1"/>
          <w:sz w:val="22"/>
          <w:szCs w:val="22"/>
        </w:rPr>
        <w:t>S</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fil</w:t>
      </w:r>
      <w:r>
        <w:rPr>
          <w:rFonts w:ascii="Calibri" w:eastAsia="Calibri" w:hAnsi="Calibri" w:cs="Calibri"/>
          <w:i/>
          <w:spacing w:val="-1"/>
          <w:sz w:val="22"/>
          <w:szCs w:val="22"/>
        </w:rPr>
        <w:t>in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 xml:space="preserve">a </w:t>
      </w:r>
      <w:r>
        <w:rPr>
          <w:rFonts w:ascii="Calibri" w:eastAsia="Calibri" w:hAnsi="Calibri" w:cs="Calibri"/>
          <w:i/>
          <w:spacing w:val="1"/>
          <w:sz w:val="22"/>
          <w:szCs w:val="22"/>
        </w:rPr>
        <w:t>S</w:t>
      </w:r>
      <w:r>
        <w:rPr>
          <w:rFonts w:ascii="Calibri" w:eastAsia="Calibri" w:hAnsi="Calibri" w:cs="Calibri"/>
          <w:i/>
          <w:sz w:val="22"/>
          <w:szCs w:val="22"/>
        </w:rPr>
        <w:t>ta</w:t>
      </w:r>
      <w:r>
        <w:rPr>
          <w:rFonts w:ascii="Calibri" w:eastAsia="Calibri" w:hAnsi="Calibri" w:cs="Calibri"/>
          <w:i/>
          <w:spacing w:val="-1"/>
          <w:sz w:val="22"/>
          <w:szCs w:val="22"/>
        </w:rPr>
        <w:t>ndar</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pacing w:val="1"/>
          <w:sz w:val="22"/>
          <w:szCs w:val="22"/>
        </w:rPr>
        <w:t>LS</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w:t>
      </w:r>
      <w:r>
        <w:rPr>
          <w:rFonts w:ascii="Calibri" w:eastAsia="Calibri" w:hAnsi="Calibri" w:cs="Calibri"/>
          <w:i/>
          <w:sz w:val="22"/>
          <w:szCs w:val="22"/>
        </w:rPr>
        <w:t>n</w:t>
      </w:r>
      <w:r>
        <w:rPr>
          <w:rFonts w:ascii="Calibri" w:eastAsia="Calibri" w:hAnsi="Calibri" w:cs="Calibri"/>
          <w:i/>
          <w:spacing w:val="-3"/>
          <w:sz w:val="22"/>
          <w:szCs w:val="22"/>
        </w:rPr>
        <w:t xml:space="preserve"> </w:t>
      </w:r>
      <w:r>
        <w:rPr>
          <w:rFonts w:ascii="Calibri" w:eastAsia="Calibri" w:hAnsi="Calibri" w:cs="Calibri"/>
          <w:i/>
          <w:sz w:val="22"/>
          <w:szCs w:val="22"/>
        </w:rPr>
        <w:t>must</w:t>
      </w:r>
      <w:r>
        <w:rPr>
          <w:rFonts w:ascii="Calibri" w:eastAsia="Calibri" w:hAnsi="Calibri" w:cs="Calibri"/>
          <w:i/>
          <w:spacing w:val="-1"/>
          <w:sz w:val="22"/>
          <w:szCs w:val="22"/>
        </w:rPr>
        <w:t xml:space="preserve"> </w:t>
      </w:r>
      <w:r>
        <w:rPr>
          <w:rFonts w:ascii="Calibri" w:eastAsia="Calibri" w:hAnsi="Calibri" w:cs="Calibri"/>
          <w:i/>
          <w:sz w:val="22"/>
          <w:szCs w:val="22"/>
        </w:rPr>
        <w:t>use</w:t>
      </w:r>
      <w:r>
        <w:rPr>
          <w:rFonts w:ascii="Calibri" w:eastAsia="Calibri" w:hAnsi="Calibri" w:cs="Calibri"/>
          <w:i/>
          <w:spacing w:val="1"/>
          <w:sz w:val="22"/>
          <w:szCs w:val="22"/>
        </w:rPr>
        <w:t xml:space="preserve"> </w:t>
      </w:r>
      <w:r>
        <w:rPr>
          <w:rFonts w:ascii="Calibri" w:eastAsia="Calibri" w:hAnsi="Calibri" w:cs="Calibri"/>
          <w:i/>
          <w:sz w:val="22"/>
          <w:szCs w:val="22"/>
        </w:rPr>
        <w:t>e</w:t>
      </w:r>
      <w:r>
        <w:rPr>
          <w:rFonts w:ascii="Calibri" w:eastAsia="Calibri" w:hAnsi="Calibri" w:cs="Calibri"/>
          <w:i/>
          <w:spacing w:val="-2"/>
          <w:sz w:val="22"/>
          <w:szCs w:val="22"/>
        </w:rPr>
        <w:t>i</w:t>
      </w:r>
      <w:r>
        <w:rPr>
          <w:rFonts w:ascii="Calibri" w:eastAsia="Calibri" w:hAnsi="Calibri" w:cs="Calibri"/>
          <w:i/>
          <w:sz w:val="22"/>
          <w:szCs w:val="22"/>
        </w:rPr>
        <w:t>ther</w:t>
      </w:r>
      <w:r>
        <w:rPr>
          <w:rFonts w:ascii="Calibri" w:eastAsia="Calibri" w:hAnsi="Calibri" w:cs="Calibri"/>
          <w:i/>
          <w:spacing w:val="-1"/>
          <w:sz w:val="22"/>
          <w:szCs w:val="22"/>
        </w:rPr>
        <w:t xml:space="preserve"> </w:t>
      </w:r>
      <w:r>
        <w:rPr>
          <w:rFonts w:ascii="Calibri" w:eastAsia="Calibri" w:hAnsi="Calibri" w:cs="Calibri"/>
          <w:i/>
          <w:spacing w:val="-2"/>
          <w:sz w:val="22"/>
          <w:szCs w:val="22"/>
        </w:rPr>
        <w:t>t</w:t>
      </w:r>
      <w:r>
        <w:rPr>
          <w:rFonts w:ascii="Calibri" w:eastAsia="Calibri" w:hAnsi="Calibri" w:cs="Calibri"/>
          <w:i/>
          <w:spacing w:val="-1"/>
          <w:sz w:val="22"/>
          <w:szCs w:val="22"/>
        </w:rPr>
        <w:t>h</w:t>
      </w:r>
      <w:r>
        <w:rPr>
          <w:rFonts w:ascii="Calibri" w:eastAsia="Calibri" w:hAnsi="Calibri" w:cs="Calibri"/>
          <w:i/>
          <w:sz w:val="22"/>
          <w:szCs w:val="22"/>
        </w:rPr>
        <w:t xml:space="preserve">e GHG </w:t>
      </w:r>
      <w:r>
        <w:rPr>
          <w:rFonts w:ascii="Calibri" w:eastAsia="Calibri" w:hAnsi="Calibri" w:cs="Calibri"/>
          <w:i/>
          <w:spacing w:val="-2"/>
          <w:sz w:val="22"/>
          <w:szCs w:val="22"/>
        </w:rPr>
        <w:t>E</w:t>
      </w:r>
      <w:r>
        <w:rPr>
          <w:rFonts w:ascii="Calibri" w:eastAsia="Calibri" w:hAnsi="Calibri" w:cs="Calibri"/>
          <w:i/>
          <w:sz w:val="22"/>
          <w:szCs w:val="22"/>
        </w:rPr>
        <w:t>mi</w:t>
      </w:r>
      <w:r>
        <w:rPr>
          <w:rFonts w:ascii="Calibri" w:eastAsia="Calibri" w:hAnsi="Calibri" w:cs="Calibri"/>
          <w:i/>
          <w:spacing w:val="1"/>
          <w:sz w:val="22"/>
          <w:szCs w:val="22"/>
        </w:rPr>
        <w:t>s</w:t>
      </w:r>
      <w:r>
        <w:rPr>
          <w:rFonts w:ascii="Calibri" w:eastAsia="Calibri" w:hAnsi="Calibri" w:cs="Calibri"/>
          <w:i/>
          <w:sz w:val="22"/>
          <w:szCs w:val="22"/>
        </w:rPr>
        <w:t>sio</w:t>
      </w:r>
      <w:r>
        <w:rPr>
          <w:rFonts w:ascii="Calibri" w:eastAsia="Calibri" w:hAnsi="Calibri" w:cs="Calibri"/>
          <w:i/>
          <w:spacing w:val="-1"/>
          <w:sz w:val="22"/>
          <w:szCs w:val="22"/>
        </w:rPr>
        <w:t>n</w:t>
      </w:r>
      <w:r>
        <w:rPr>
          <w:rFonts w:ascii="Calibri" w:eastAsia="Calibri" w:hAnsi="Calibri" w:cs="Calibri"/>
          <w:i/>
          <w:sz w:val="22"/>
          <w:szCs w:val="22"/>
        </w:rPr>
        <w:t>s Be</w:t>
      </w:r>
      <w:r>
        <w:rPr>
          <w:rFonts w:ascii="Calibri" w:eastAsia="Calibri" w:hAnsi="Calibri" w:cs="Calibri"/>
          <w:i/>
          <w:spacing w:val="-1"/>
          <w:sz w:val="22"/>
          <w:szCs w:val="22"/>
        </w:rPr>
        <w:t>n</w:t>
      </w:r>
      <w:r>
        <w:rPr>
          <w:rFonts w:ascii="Calibri" w:eastAsia="Calibri" w:hAnsi="Calibri" w:cs="Calibri"/>
          <w:i/>
          <w:sz w:val="22"/>
          <w:szCs w:val="22"/>
        </w:rPr>
        <w:t>c</w:t>
      </w:r>
      <w:r>
        <w:rPr>
          <w:rFonts w:ascii="Calibri" w:eastAsia="Calibri" w:hAnsi="Calibri" w:cs="Calibri"/>
          <w:i/>
          <w:spacing w:val="-1"/>
          <w:sz w:val="22"/>
          <w:szCs w:val="22"/>
        </w:rPr>
        <w:t>h</w:t>
      </w:r>
      <w:r>
        <w:rPr>
          <w:rFonts w:ascii="Calibri" w:eastAsia="Calibri" w:hAnsi="Calibri" w:cs="Calibri"/>
          <w:i/>
          <w:sz w:val="22"/>
          <w:szCs w:val="22"/>
        </w:rPr>
        <w:t>ma</w:t>
      </w:r>
      <w:r>
        <w:rPr>
          <w:rFonts w:ascii="Calibri" w:eastAsia="Calibri" w:hAnsi="Calibri" w:cs="Calibri"/>
          <w:i/>
          <w:spacing w:val="1"/>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pacing w:val="-3"/>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GHG</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l</w:t>
      </w:r>
      <w:r>
        <w:rPr>
          <w:rFonts w:ascii="Calibri" w:eastAsia="Calibri" w:hAnsi="Calibri" w:cs="Calibri"/>
          <w:i/>
          <w:spacing w:val="-1"/>
          <w:sz w:val="22"/>
          <w:szCs w:val="22"/>
        </w:rPr>
        <w:t>ann</w:t>
      </w:r>
      <w:r>
        <w:rPr>
          <w:rFonts w:ascii="Calibri" w:eastAsia="Calibri" w:hAnsi="Calibri" w:cs="Calibri"/>
          <w:i/>
          <w:sz w:val="22"/>
          <w:szCs w:val="22"/>
        </w:rPr>
        <w:t>i</w:t>
      </w:r>
      <w:r>
        <w:rPr>
          <w:rFonts w:ascii="Calibri" w:eastAsia="Calibri" w:hAnsi="Calibri" w:cs="Calibri"/>
          <w:i/>
          <w:spacing w:val="-3"/>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Pr</w:t>
      </w:r>
      <w:r>
        <w:rPr>
          <w:rFonts w:ascii="Calibri" w:eastAsia="Calibri" w:hAnsi="Calibri" w:cs="Calibri"/>
          <w:i/>
          <w:sz w:val="22"/>
          <w:szCs w:val="22"/>
        </w:rPr>
        <w:t>i</w:t>
      </w:r>
      <w:r>
        <w:rPr>
          <w:rFonts w:ascii="Calibri" w:eastAsia="Calibri" w:hAnsi="Calibri" w:cs="Calibri"/>
          <w:i/>
          <w:spacing w:val="-1"/>
          <w:sz w:val="22"/>
          <w:szCs w:val="22"/>
        </w:rPr>
        <w:t>c</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 xml:space="preserve">in </w:t>
      </w:r>
      <w:r>
        <w:rPr>
          <w:rFonts w:ascii="Calibri" w:eastAsia="Calibri" w:hAnsi="Calibri" w:cs="Calibri"/>
          <w:i/>
          <w:spacing w:val="-1"/>
          <w:sz w:val="22"/>
          <w:szCs w:val="22"/>
        </w:rPr>
        <w:t>d</w:t>
      </w:r>
      <w:r>
        <w:rPr>
          <w:rFonts w:ascii="Calibri" w:eastAsia="Calibri" w:hAnsi="Calibri" w:cs="Calibri"/>
          <w:i/>
          <w:sz w:val="22"/>
          <w:szCs w:val="22"/>
        </w:rPr>
        <w:t>evel</w:t>
      </w:r>
      <w:r>
        <w:rPr>
          <w:rFonts w:ascii="Calibri" w:eastAsia="Calibri" w:hAnsi="Calibri" w:cs="Calibri"/>
          <w:i/>
          <w:spacing w:val="-1"/>
          <w:sz w:val="22"/>
          <w:szCs w:val="22"/>
        </w:rPr>
        <w:t>op</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i</w:t>
      </w:r>
      <w:r>
        <w:rPr>
          <w:rFonts w:ascii="Calibri" w:eastAsia="Calibri" w:hAnsi="Calibri" w:cs="Calibri"/>
          <w:i/>
          <w:spacing w:val="-2"/>
          <w:sz w:val="22"/>
          <w:szCs w:val="22"/>
        </w:rPr>
        <w:t>t</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C</w:t>
      </w:r>
      <w:r>
        <w:rPr>
          <w:rFonts w:ascii="Calibri" w:eastAsia="Calibri" w:hAnsi="Calibri" w:cs="Calibri"/>
          <w:i/>
          <w:spacing w:val="-3"/>
          <w:sz w:val="22"/>
          <w:szCs w:val="22"/>
        </w:rPr>
        <w:t>o</w:t>
      </w:r>
      <w:r>
        <w:rPr>
          <w:rFonts w:ascii="Calibri" w:eastAsia="Calibri" w:hAnsi="Calibri" w:cs="Calibri"/>
          <w:i/>
          <w:spacing w:val="-1"/>
          <w:sz w:val="22"/>
          <w:szCs w:val="22"/>
        </w:rPr>
        <w:t>n</w:t>
      </w:r>
      <w:r>
        <w:rPr>
          <w:rFonts w:ascii="Calibri" w:eastAsia="Calibri" w:hAnsi="Calibri" w:cs="Calibri"/>
          <w:i/>
          <w:sz w:val="22"/>
          <w:szCs w:val="22"/>
        </w:rPr>
        <w:t>for</w:t>
      </w:r>
      <w:r>
        <w:rPr>
          <w:rFonts w:ascii="Calibri" w:eastAsia="Calibri" w:hAnsi="Calibri" w:cs="Calibri"/>
          <w:i/>
          <w:spacing w:val="1"/>
          <w:sz w:val="22"/>
          <w:szCs w:val="22"/>
        </w:rPr>
        <w:t>m</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3"/>
          <w:sz w:val="22"/>
          <w:szCs w:val="22"/>
        </w:rPr>
        <w:t xml:space="preserve"> </w:t>
      </w:r>
      <w:r>
        <w:rPr>
          <w:rFonts w:ascii="Calibri" w:eastAsia="Calibri" w:hAnsi="Calibri" w:cs="Calibri"/>
          <w:i/>
          <w:spacing w:val="1"/>
          <w:sz w:val="22"/>
          <w:szCs w:val="22"/>
        </w:rPr>
        <w:t>P</w:t>
      </w:r>
      <w:r>
        <w:rPr>
          <w:rFonts w:ascii="Calibri" w:eastAsia="Calibri" w:hAnsi="Calibri" w:cs="Calibri"/>
          <w:i/>
          <w:sz w:val="22"/>
          <w:szCs w:val="22"/>
        </w:rPr>
        <w:t>or</w:t>
      </w:r>
      <w:r>
        <w:rPr>
          <w:rFonts w:ascii="Calibri" w:eastAsia="Calibri" w:hAnsi="Calibri" w:cs="Calibri"/>
          <w:i/>
          <w:spacing w:val="1"/>
          <w:sz w:val="22"/>
          <w:szCs w:val="22"/>
        </w:rPr>
        <w:t>t</w:t>
      </w:r>
      <w:r>
        <w:rPr>
          <w:rFonts w:ascii="Calibri" w:eastAsia="Calibri" w:hAnsi="Calibri" w:cs="Calibri"/>
          <w:i/>
          <w:sz w:val="22"/>
          <w:szCs w:val="22"/>
        </w:rPr>
        <w:t>fo</w:t>
      </w:r>
      <w:r>
        <w:rPr>
          <w:rFonts w:ascii="Calibri" w:eastAsia="Calibri" w:hAnsi="Calibri" w:cs="Calibri"/>
          <w:i/>
          <w:spacing w:val="-1"/>
          <w:sz w:val="22"/>
          <w:szCs w:val="22"/>
        </w:rPr>
        <w:t>l</w:t>
      </w:r>
      <w:r>
        <w:rPr>
          <w:rFonts w:ascii="Calibri" w:eastAsia="Calibri" w:hAnsi="Calibri" w:cs="Calibri"/>
          <w:i/>
          <w:sz w:val="22"/>
          <w:szCs w:val="22"/>
        </w:rPr>
        <w:t>i</w:t>
      </w:r>
      <w:r>
        <w:rPr>
          <w:rFonts w:ascii="Calibri" w:eastAsia="Calibri" w:hAnsi="Calibri" w:cs="Calibri"/>
          <w:i/>
          <w:spacing w:val="-1"/>
          <w:sz w:val="22"/>
          <w:szCs w:val="22"/>
        </w:rPr>
        <w:t>o</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z w:val="22"/>
          <w:szCs w:val="22"/>
        </w:rPr>
        <w:t xml:space="preserve">The </w:t>
      </w:r>
      <w:r>
        <w:rPr>
          <w:rFonts w:ascii="Calibri" w:eastAsia="Calibri" w:hAnsi="Calibri" w:cs="Calibri"/>
          <w:i/>
          <w:spacing w:val="-1"/>
          <w:sz w:val="22"/>
          <w:szCs w:val="22"/>
        </w:rPr>
        <w:t>L</w:t>
      </w:r>
      <w:r>
        <w:rPr>
          <w:rFonts w:ascii="Calibri" w:eastAsia="Calibri" w:hAnsi="Calibri" w:cs="Calibri"/>
          <w:i/>
          <w:spacing w:val="1"/>
          <w:sz w:val="22"/>
          <w:szCs w:val="22"/>
        </w:rPr>
        <w:t>SE</w:t>
      </w:r>
      <w:r>
        <w:rPr>
          <w:rFonts w:ascii="Calibri" w:eastAsia="Calibri" w:hAnsi="Calibri" w:cs="Calibri"/>
          <w:i/>
          <w:sz w:val="22"/>
          <w:szCs w:val="22"/>
        </w:rPr>
        <w:t>-spe</w:t>
      </w:r>
      <w:r>
        <w:rPr>
          <w:rFonts w:ascii="Calibri" w:eastAsia="Calibri" w:hAnsi="Calibri" w:cs="Calibri"/>
          <w:i/>
          <w:spacing w:val="-1"/>
          <w:sz w:val="22"/>
          <w:szCs w:val="22"/>
        </w:rPr>
        <w:t>c</w:t>
      </w:r>
      <w:r>
        <w:rPr>
          <w:rFonts w:ascii="Calibri" w:eastAsia="Calibri" w:hAnsi="Calibri" w:cs="Calibri"/>
          <w:i/>
          <w:sz w:val="22"/>
          <w:szCs w:val="22"/>
        </w:rPr>
        <w:t>if</w:t>
      </w:r>
      <w:r>
        <w:rPr>
          <w:rFonts w:ascii="Calibri" w:eastAsia="Calibri" w:hAnsi="Calibri" w:cs="Calibri"/>
          <w:i/>
          <w:spacing w:val="-1"/>
          <w:sz w:val="22"/>
          <w:szCs w:val="22"/>
        </w:rPr>
        <w:t>i</w:t>
      </w:r>
      <w:r>
        <w:rPr>
          <w:rFonts w:ascii="Calibri" w:eastAsia="Calibri" w:hAnsi="Calibri" w:cs="Calibri"/>
          <w:i/>
          <w:sz w:val="22"/>
          <w:szCs w:val="22"/>
        </w:rPr>
        <w:t xml:space="preserve">c </w:t>
      </w:r>
      <w:r>
        <w:rPr>
          <w:rFonts w:ascii="Calibri" w:eastAsia="Calibri" w:hAnsi="Calibri" w:cs="Calibri"/>
          <w:i/>
          <w:spacing w:val="-1"/>
          <w:sz w:val="22"/>
          <w:szCs w:val="22"/>
        </w:rPr>
        <w:t>b</w:t>
      </w:r>
      <w:r>
        <w:rPr>
          <w:rFonts w:ascii="Calibri" w:eastAsia="Calibri" w:hAnsi="Calibri" w:cs="Calibri"/>
          <w:i/>
          <w:sz w:val="22"/>
          <w:szCs w:val="22"/>
        </w:rPr>
        <w:t>en</w:t>
      </w:r>
      <w:r>
        <w:rPr>
          <w:rFonts w:ascii="Calibri" w:eastAsia="Calibri" w:hAnsi="Calibri" w:cs="Calibri"/>
          <w:i/>
          <w:spacing w:val="-1"/>
          <w:sz w:val="22"/>
          <w:szCs w:val="22"/>
        </w:rPr>
        <w:t>ch</w:t>
      </w:r>
      <w:r>
        <w:rPr>
          <w:rFonts w:ascii="Calibri" w:eastAsia="Calibri" w:hAnsi="Calibri" w:cs="Calibri"/>
          <w:i/>
          <w:sz w:val="22"/>
          <w:szCs w:val="22"/>
        </w:rPr>
        <w:t>ma</w:t>
      </w:r>
      <w:r>
        <w:rPr>
          <w:rFonts w:ascii="Calibri" w:eastAsia="Calibri" w:hAnsi="Calibri" w:cs="Calibri"/>
          <w:i/>
          <w:spacing w:val="1"/>
          <w:sz w:val="22"/>
          <w:szCs w:val="22"/>
        </w:rPr>
        <w:t>r</w:t>
      </w:r>
      <w:r>
        <w:rPr>
          <w:rFonts w:ascii="Calibri" w:eastAsia="Calibri" w:hAnsi="Calibri" w:cs="Calibri"/>
          <w:i/>
          <w:spacing w:val="-2"/>
          <w:sz w:val="22"/>
          <w:szCs w:val="22"/>
        </w:rPr>
        <w:t>k</w:t>
      </w:r>
      <w:r>
        <w:rPr>
          <w:rFonts w:ascii="Calibri" w:eastAsia="Calibri" w:hAnsi="Calibri" w:cs="Calibri"/>
          <w:i/>
          <w:sz w:val="22"/>
          <w:szCs w:val="22"/>
        </w:rPr>
        <w:t xml:space="preserve">s </w:t>
      </w:r>
      <w:r w:rsidR="001F71BA">
        <w:rPr>
          <w:rFonts w:ascii="Calibri" w:eastAsia="Calibri" w:hAnsi="Calibri" w:cs="Calibri"/>
          <w:i/>
          <w:spacing w:val="-1"/>
          <w:sz w:val="22"/>
          <w:szCs w:val="22"/>
        </w:rPr>
        <w:t>have been</w:t>
      </w:r>
      <w:r>
        <w:rPr>
          <w:rFonts w:ascii="Calibri" w:eastAsia="Calibri" w:hAnsi="Calibri" w:cs="Calibri"/>
          <w:i/>
          <w:spacing w:val="-2"/>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r</w:t>
      </w:r>
      <w:r>
        <w:rPr>
          <w:rFonts w:ascii="Calibri" w:eastAsia="Calibri" w:hAnsi="Calibri" w:cs="Calibri"/>
          <w:i/>
          <w:sz w:val="22"/>
          <w:szCs w:val="22"/>
        </w:rPr>
        <w:t>ov</w:t>
      </w:r>
      <w:r>
        <w:rPr>
          <w:rFonts w:ascii="Calibri" w:eastAsia="Calibri" w:hAnsi="Calibri" w:cs="Calibri"/>
          <w:i/>
          <w:spacing w:val="-1"/>
          <w:sz w:val="22"/>
          <w:szCs w:val="22"/>
        </w:rPr>
        <w:t>id</w:t>
      </w:r>
      <w:r>
        <w:rPr>
          <w:rFonts w:ascii="Calibri" w:eastAsia="Calibri" w:hAnsi="Calibri" w:cs="Calibri"/>
          <w:i/>
          <w:sz w:val="22"/>
          <w:szCs w:val="22"/>
        </w:rPr>
        <w:t>ed in</w:t>
      </w:r>
      <w:r>
        <w:rPr>
          <w:rFonts w:ascii="Calibri" w:eastAsia="Calibri" w:hAnsi="Calibri" w:cs="Calibri"/>
          <w:i/>
          <w:spacing w:val="-1"/>
          <w:sz w:val="22"/>
          <w:szCs w:val="22"/>
        </w:rPr>
        <w:t xml:space="preserve"> </w:t>
      </w:r>
      <w:r>
        <w:rPr>
          <w:rFonts w:ascii="Calibri" w:eastAsia="Calibri" w:hAnsi="Calibri" w:cs="Calibri"/>
          <w:i/>
          <w:sz w:val="22"/>
          <w:szCs w:val="22"/>
        </w:rPr>
        <w:t>a</w:t>
      </w:r>
      <w:r w:rsidR="001F71BA">
        <w:rPr>
          <w:rFonts w:ascii="Calibri" w:eastAsia="Calibri" w:hAnsi="Calibri" w:cs="Calibri"/>
          <w:i/>
          <w:sz w:val="22"/>
          <w:szCs w:val="22"/>
        </w:rPr>
        <w:t>n</w:t>
      </w:r>
      <w:r>
        <w:rPr>
          <w:rFonts w:ascii="Calibri" w:eastAsia="Calibri" w:hAnsi="Calibri" w:cs="Calibri"/>
          <w:i/>
          <w:sz w:val="22"/>
          <w:szCs w:val="22"/>
        </w:rPr>
        <w:t xml:space="preserve"> ALJ ruling. If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2"/>
          <w:sz w:val="22"/>
          <w:szCs w:val="22"/>
        </w:rPr>
        <w:t xml:space="preserve"> t</w:t>
      </w:r>
      <w:r>
        <w:rPr>
          <w:rFonts w:ascii="Calibri" w:eastAsia="Calibri" w:hAnsi="Calibri" w:cs="Calibri"/>
          <w:i/>
          <w:sz w:val="22"/>
          <w:szCs w:val="22"/>
        </w:rPr>
        <w:t>ot</w:t>
      </w:r>
      <w:r>
        <w:rPr>
          <w:rFonts w:ascii="Calibri" w:eastAsia="Calibri" w:hAnsi="Calibri" w:cs="Calibri"/>
          <w:i/>
          <w:spacing w:val="-1"/>
          <w:sz w:val="22"/>
          <w:szCs w:val="22"/>
        </w:rPr>
        <w:t>a</w:t>
      </w:r>
      <w:r>
        <w:rPr>
          <w:rFonts w:ascii="Calibri" w:eastAsia="Calibri" w:hAnsi="Calibri" w:cs="Calibri"/>
          <w:i/>
          <w:sz w:val="22"/>
          <w:szCs w:val="22"/>
        </w:rPr>
        <w:t>l emi</w:t>
      </w:r>
      <w:r>
        <w:rPr>
          <w:rFonts w:ascii="Calibri" w:eastAsia="Calibri" w:hAnsi="Calibri" w:cs="Calibri"/>
          <w:i/>
          <w:spacing w:val="-2"/>
          <w:sz w:val="22"/>
          <w:szCs w:val="22"/>
        </w:rPr>
        <w:t>s</w:t>
      </w:r>
      <w:r>
        <w:rPr>
          <w:rFonts w:ascii="Calibri" w:eastAsia="Calibri" w:hAnsi="Calibri" w:cs="Calibri"/>
          <w:i/>
          <w:sz w:val="22"/>
          <w:szCs w:val="22"/>
        </w:rPr>
        <w:t>sio</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t</w:t>
      </w:r>
      <w:r>
        <w:rPr>
          <w:rFonts w:ascii="Calibri" w:eastAsia="Calibri" w:hAnsi="Calibri" w:cs="Calibri"/>
          <w:i/>
          <w:spacing w:val="-2"/>
          <w:sz w:val="22"/>
          <w:szCs w:val="22"/>
        </w:rPr>
        <w:t>t</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bu</w:t>
      </w:r>
      <w:r>
        <w:rPr>
          <w:rFonts w:ascii="Calibri" w:eastAsia="Calibri" w:hAnsi="Calibri" w:cs="Calibri"/>
          <w:i/>
          <w:sz w:val="22"/>
          <w:szCs w:val="22"/>
        </w:rPr>
        <w:t>ta</w:t>
      </w:r>
      <w:r>
        <w:rPr>
          <w:rFonts w:ascii="Calibri" w:eastAsia="Calibri" w:hAnsi="Calibri" w:cs="Calibri"/>
          <w:i/>
          <w:spacing w:val="-1"/>
          <w:sz w:val="22"/>
          <w:szCs w:val="22"/>
        </w:rPr>
        <w:t>b</w:t>
      </w:r>
      <w:r>
        <w:rPr>
          <w:rFonts w:ascii="Calibri" w:eastAsia="Calibri" w:hAnsi="Calibri" w:cs="Calibri"/>
          <w:i/>
          <w:sz w:val="22"/>
          <w:szCs w:val="22"/>
        </w:rPr>
        <w:t>le</w:t>
      </w:r>
      <w:r>
        <w:rPr>
          <w:rFonts w:ascii="Calibri" w:eastAsia="Calibri" w:hAnsi="Calibri" w:cs="Calibri"/>
          <w:i/>
          <w:spacing w:val="-2"/>
          <w:sz w:val="22"/>
          <w:szCs w:val="22"/>
        </w:rPr>
        <w:t xml:space="preserve"> </w:t>
      </w:r>
      <w:r>
        <w:rPr>
          <w:rFonts w:ascii="Calibri" w:eastAsia="Calibri" w:hAnsi="Calibri" w:cs="Calibri"/>
          <w:i/>
          <w:sz w:val="22"/>
          <w:szCs w:val="22"/>
        </w:rPr>
        <w:t xml:space="preserve">to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pacing w:val="1"/>
          <w:sz w:val="22"/>
          <w:szCs w:val="22"/>
        </w:rPr>
        <w:t>LS</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pacing w:val="-3"/>
          <w:sz w:val="22"/>
          <w:szCs w:val="22"/>
        </w:rPr>
        <w:t>p</w:t>
      </w:r>
      <w:r>
        <w:rPr>
          <w:rFonts w:ascii="Calibri" w:eastAsia="Calibri" w:hAnsi="Calibri" w:cs="Calibri"/>
          <w:i/>
          <w:spacing w:val="1"/>
          <w:sz w:val="22"/>
          <w:szCs w:val="22"/>
        </w:rPr>
        <w:t>r</w:t>
      </w:r>
      <w:r>
        <w:rPr>
          <w:rFonts w:ascii="Calibri" w:eastAsia="Calibri" w:hAnsi="Calibri" w:cs="Calibri"/>
          <w:i/>
          <w:sz w:val="22"/>
          <w:szCs w:val="22"/>
        </w:rPr>
        <w:t>ef</w:t>
      </w:r>
      <w:r>
        <w:rPr>
          <w:rFonts w:ascii="Calibri" w:eastAsia="Calibri" w:hAnsi="Calibri" w:cs="Calibri"/>
          <w:i/>
          <w:spacing w:val="-2"/>
          <w:sz w:val="22"/>
          <w:szCs w:val="22"/>
        </w:rPr>
        <w:t>e</w:t>
      </w:r>
      <w:r>
        <w:rPr>
          <w:rFonts w:ascii="Calibri" w:eastAsia="Calibri" w:hAnsi="Calibri" w:cs="Calibri"/>
          <w:i/>
          <w:spacing w:val="1"/>
          <w:sz w:val="22"/>
          <w:szCs w:val="22"/>
        </w:rPr>
        <w:t>rr</w:t>
      </w:r>
      <w:r>
        <w:rPr>
          <w:rFonts w:ascii="Calibri" w:eastAsia="Calibri" w:hAnsi="Calibri" w:cs="Calibri"/>
          <w:i/>
          <w:sz w:val="22"/>
          <w:szCs w:val="22"/>
        </w:rPr>
        <w:t xml:space="preserve">ed </w:t>
      </w:r>
      <w:r>
        <w:rPr>
          <w:rFonts w:ascii="Calibri" w:eastAsia="Calibri" w:hAnsi="Calibri" w:cs="Calibri"/>
          <w:i/>
          <w:spacing w:val="-1"/>
          <w:sz w:val="22"/>
          <w:szCs w:val="22"/>
        </w:rPr>
        <w:t>p</w:t>
      </w:r>
      <w:r>
        <w:rPr>
          <w:rFonts w:ascii="Calibri" w:eastAsia="Calibri" w:hAnsi="Calibri" w:cs="Calibri"/>
          <w:i/>
          <w:sz w:val="22"/>
          <w:szCs w:val="22"/>
        </w:rPr>
        <w:t>or</w:t>
      </w:r>
      <w:r>
        <w:rPr>
          <w:rFonts w:ascii="Calibri" w:eastAsia="Calibri" w:hAnsi="Calibri" w:cs="Calibri"/>
          <w:i/>
          <w:spacing w:val="1"/>
          <w:sz w:val="22"/>
          <w:szCs w:val="22"/>
        </w:rPr>
        <w:t>t</w:t>
      </w:r>
      <w:r>
        <w:rPr>
          <w:rFonts w:ascii="Calibri" w:eastAsia="Calibri" w:hAnsi="Calibri" w:cs="Calibri"/>
          <w:i/>
          <w:sz w:val="22"/>
          <w:szCs w:val="22"/>
        </w:rPr>
        <w:t>fo</w:t>
      </w:r>
      <w:r>
        <w:rPr>
          <w:rFonts w:ascii="Calibri" w:eastAsia="Calibri" w:hAnsi="Calibri" w:cs="Calibri"/>
          <w:i/>
          <w:spacing w:val="-1"/>
          <w:sz w:val="22"/>
          <w:szCs w:val="22"/>
        </w:rPr>
        <w:t>l</w:t>
      </w:r>
      <w:r>
        <w:rPr>
          <w:rFonts w:ascii="Calibri" w:eastAsia="Calibri" w:hAnsi="Calibri" w:cs="Calibri"/>
          <w:i/>
          <w:sz w:val="22"/>
          <w:szCs w:val="22"/>
        </w:rPr>
        <w:t>io</w:t>
      </w:r>
      <w:r>
        <w:rPr>
          <w:rFonts w:ascii="Calibri" w:eastAsia="Calibri" w:hAnsi="Calibri" w:cs="Calibri"/>
          <w:i/>
          <w:spacing w:val="-1"/>
          <w:sz w:val="22"/>
          <w:szCs w:val="22"/>
        </w:rPr>
        <w:t xml:space="preserve"> </w:t>
      </w:r>
      <w:r>
        <w:rPr>
          <w:rFonts w:ascii="Calibri" w:eastAsia="Calibri" w:hAnsi="Calibri" w:cs="Calibri"/>
          <w:i/>
          <w:sz w:val="22"/>
          <w:szCs w:val="22"/>
        </w:rPr>
        <w:t>e</w:t>
      </w:r>
      <w:r>
        <w:rPr>
          <w:rFonts w:ascii="Calibri" w:eastAsia="Calibri" w:hAnsi="Calibri" w:cs="Calibri"/>
          <w:i/>
          <w:spacing w:val="1"/>
          <w:sz w:val="22"/>
          <w:szCs w:val="22"/>
        </w:rPr>
        <w:t>x</w:t>
      </w:r>
      <w:r>
        <w:rPr>
          <w:rFonts w:ascii="Calibri" w:eastAsia="Calibri" w:hAnsi="Calibri" w:cs="Calibri"/>
          <w:i/>
          <w:sz w:val="22"/>
          <w:szCs w:val="22"/>
        </w:rPr>
        <w:t>c</w:t>
      </w:r>
      <w:r>
        <w:rPr>
          <w:rFonts w:ascii="Calibri" w:eastAsia="Calibri" w:hAnsi="Calibri" w:cs="Calibri"/>
          <w:i/>
          <w:spacing w:val="-3"/>
          <w:sz w:val="22"/>
          <w:szCs w:val="22"/>
        </w:rPr>
        <w:t>e</w:t>
      </w:r>
      <w:r>
        <w:rPr>
          <w:rFonts w:ascii="Calibri" w:eastAsia="Calibri" w:hAnsi="Calibri" w:cs="Calibri"/>
          <w:i/>
          <w:sz w:val="22"/>
          <w:szCs w:val="22"/>
        </w:rPr>
        <w:t>ed its</w:t>
      </w:r>
      <w:r>
        <w:rPr>
          <w:rFonts w:ascii="Calibri" w:eastAsia="Calibri" w:hAnsi="Calibri" w:cs="Calibri"/>
          <w:i/>
          <w:spacing w:val="-2"/>
          <w:sz w:val="22"/>
          <w:szCs w:val="22"/>
        </w:rPr>
        <w:t xml:space="preserve"> </w:t>
      </w:r>
      <w:r>
        <w:rPr>
          <w:rFonts w:ascii="Calibri" w:eastAsia="Calibri" w:hAnsi="Calibri" w:cs="Calibri"/>
          <w:i/>
          <w:sz w:val="22"/>
          <w:szCs w:val="22"/>
        </w:rPr>
        <w:t xml:space="preserve">GHG </w:t>
      </w:r>
      <w:r>
        <w:rPr>
          <w:rFonts w:ascii="Calibri" w:eastAsia="Calibri" w:hAnsi="Calibri" w:cs="Calibri"/>
          <w:i/>
          <w:spacing w:val="-2"/>
          <w:sz w:val="22"/>
          <w:szCs w:val="22"/>
        </w:rPr>
        <w:t>E</w:t>
      </w:r>
      <w:r>
        <w:rPr>
          <w:rFonts w:ascii="Calibri" w:eastAsia="Calibri" w:hAnsi="Calibri" w:cs="Calibri"/>
          <w:i/>
          <w:sz w:val="22"/>
          <w:szCs w:val="22"/>
        </w:rPr>
        <w:t>mi</w:t>
      </w:r>
      <w:r>
        <w:rPr>
          <w:rFonts w:ascii="Calibri" w:eastAsia="Calibri" w:hAnsi="Calibri" w:cs="Calibri"/>
          <w:i/>
          <w:spacing w:val="1"/>
          <w:sz w:val="22"/>
          <w:szCs w:val="22"/>
        </w:rPr>
        <w:t>s</w:t>
      </w:r>
      <w:r>
        <w:rPr>
          <w:rFonts w:ascii="Calibri" w:eastAsia="Calibri" w:hAnsi="Calibri" w:cs="Calibri"/>
          <w:i/>
          <w:sz w:val="22"/>
          <w:szCs w:val="22"/>
        </w:rPr>
        <w:t>sio</w:t>
      </w:r>
      <w:r>
        <w:rPr>
          <w:rFonts w:ascii="Calibri" w:eastAsia="Calibri" w:hAnsi="Calibri" w:cs="Calibri"/>
          <w:i/>
          <w:spacing w:val="-1"/>
          <w:sz w:val="22"/>
          <w:szCs w:val="22"/>
        </w:rPr>
        <w:t>n</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Be</w:t>
      </w:r>
      <w:r>
        <w:rPr>
          <w:rFonts w:ascii="Calibri" w:eastAsia="Calibri" w:hAnsi="Calibri" w:cs="Calibri"/>
          <w:i/>
          <w:spacing w:val="-1"/>
          <w:sz w:val="22"/>
          <w:szCs w:val="22"/>
        </w:rPr>
        <w:t>n</w:t>
      </w:r>
      <w:r>
        <w:rPr>
          <w:rFonts w:ascii="Calibri" w:eastAsia="Calibri" w:hAnsi="Calibri" w:cs="Calibri"/>
          <w:i/>
          <w:sz w:val="22"/>
          <w:szCs w:val="22"/>
        </w:rPr>
        <w:t>c</w:t>
      </w:r>
      <w:r>
        <w:rPr>
          <w:rFonts w:ascii="Calibri" w:eastAsia="Calibri" w:hAnsi="Calibri" w:cs="Calibri"/>
          <w:i/>
          <w:spacing w:val="-1"/>
          <w:sz w:val="22"/>
          <w:szCs w:val="22"/>
        </w:rPr>
        <w:t>h</w:t>
      </w:r>
      <w:r>
        <w:rPr>
          <w:rFonts w:ascii="Calibri" w:eastAsia="Calibri" w:hAnsi="Calibri" w:cs="Calibri"/>
          <w:i/>
          <w:sz w:val="22"/>
          <w:szCs w:val="22"/>
        </w:rPr>
        <w:t>ma</w:t>
      </w:r>
      <w:r>
        <w:rPr>
          <w:rFonts w:ascii="Calibri" w:eastAsia="Calibri" w:hAnsi="Calibri" w:cs="Calibri"/>
          <w:i/>
          <w:spacing w:val="-2"/>
          <w:sz w:val="22"/>
          <w:szCs w:val="22"/>
        </w:rPr>
        <w:t>r</w:t>
      </w:r>
      <w:r>
        <w:rPr>
          <w:rFonts w:ascii="Calibri" w:eastAsia="Calibri" w:hAnsi="Calibri" w:cs="Calibri"/>
          <w:i/>
          <w:sz w:val="22"/>
          <w:szCs w:val="22"/>
        </w:rPr>
        <w:t>k</w:t>
      </w:r>
      <w:r>
        <w:rPr>
          <w:rFonts w:ascii="Calibri" w:eastAsia="Calibri" w:hAnsi="Calibri" w:cs="Calibri"/>
          <w:i/>
          <w:spacing w:val="1"/>
          <w:sz w:val="22"/>
          <w:szCs w:val="22"/>
        </w:rPr>
        <w:t xml:space="preserve"> </w:t>
      </w:r>
      <w:r>
        <w:rPr>
          <w:rFonts w:ascii="Calibri" w:eastAsia="Calibri" w:hAnsi="Calibri" w:cs="Calibri"/>
          <w:i/>
          <w:sz w:val="22"/>
          <w:szCs w:val="22"/>
        </w:rPr>
        <w:t>f</w:t>
      </w:r>
      <w:r>
        <w:rPr>
          <w:rFonts w:ascii="Calibri" w:eastAsia="Calibri" w:hAnsi="Calibri" w:cs="Calibri"/>
          <w:i/>
          <w:spacing w:val="-3"/>
          <w:sz w:val="22"/>
          <w:szCs w:val="22"/>
        </w:rPr>
        <w:t>o</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1"/>
          <w:sz w:val="22"/>
          <w:szCs w:val="22"/>
        </w:rPr>
        <w:t>2</w:t>
      </w:r>
      <w:r>
        <w:rPr>
          <w:rFonts w:ascii="Calibri" w:eastAsia="Calibri" w:hAnsi="Calibri" w:cs="Calibri"/>
          <w:i/>
          <w:spacing w:val="-2"/>
          <w:sz w:val="22"/>
          <w:szCs w:val="22"/>
        </w:rPr>
        <w:t>0</w:t>
      </w:r>
      <w:r>
        <w:rPr>
          <w:rFonts w:ascii="Calibri" w:eastAsia="Calibri" w:hAnsi="Calibri" w:cs="Calibri"/>
          <w:i/>
          <w:spacing w:val="1"/>
          <w:sz w:val="22"/>
          <w:szCs w:val="22"/>
        </w:rPr>
        <w:t>30</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z w:val="22"/>
          <w:szCs w:val="22"/>
        </w:rPr>
        <w:t>the</w:t>
      </w:r>
      <w:r>
        <w:rPr>
          <w:rFonts w:ascii="Calibri" w:eastAsia="Calibri" w:hAnsi="Calibri" w:cs="Calibri"/>
          <w:i/>
          <w:spacing w:val="-2"/>
          <w:sz w:val="22"/>
          <w:szCs w:val="22"/>
        </w:rPr>
        <w:t xml:space="preserve"> </w:t>
      </w:r>
      <w:r>
        <w:rPr>
          <w:rFonts w:ascii="Calibri" w:eastAsia="Calibri" w:hAnsi="Calibri" w:cs="Calibri"/>
          <w:i/>
          <w:spacing w:val="1"/>
          <w:sz w:val="22"/>
          <w:szCs w:val="22"/>
        </w:rPr>
        <w:t>LS</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pacing w:val="1"/>
          <w:sz w:val="22"/>
          <w:szCs w:val="22"/>
        </w:rPr>
        <w:t>m</w:t>
      </w:r>
      <w:r>
        <w:rPr>
          <w:rFonts w:ascii="Calibri" w:eastAsia="Calibri" w:hAnsi="Calibri" w:cs="Calibri"/>
          <w:i/>
          <w:spacing w:val="-1"/>
          <w:sz w:val="22"/>
          <w:szCs w:val="22"/>
        </w:rPr>
        <w:t>u</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expl</w:t>
      </w:r>
      <w:r>
        <w:rPr>
          <w:rFonts w:ascii="Calibri" w:eastAsia="Calibri" w:hAnsi="Calibri" w:cs="Calibri"/>
          <w:i/>
          <w:spacing w:val="-1"/>
          <w:sz w:val="22"/>
          <w:szCs w:val="22"/>
        </w:rPr>
        <w:t>a</w:t>
      </w:r>
      <w:r>
        <w:rPr>
          <w:rFonts w:ascii="Calibri" w:eastAsia="Calibri" w:hAnsi="Calibri" w:cs="Calibri"/>
          <w:i/>
          <w:sz w:val="22"/>
          <w:szCs w:val="22"/>
        </w:rPr>
        <w:t>in</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3"/>
          <w:sz w:val="22"/>
          <w:szCs w:val="22"/>
        </w:rPr>
        <w:t>h</w:t>
      </w:r>
      <w:r>
        <w:rPr>
          <w:rFonts w:ascii="Calibri" w:eastAsia="Calibri" w:hAnsi="Calibri" w:cs="Calibri"/>
          <w:i/>
          <w:sz w:val="22"/>
          <w:szCs w:val="22"/>
        </w:rPr>
        <w:t>e di</w:t>
      </w:r>
      <w:r>
        <w:rPr>
          <w:rFonts w:ascii="Calibri" w:eastAsia="Calibri" w:hAnsi="Calibri" w:cs="Calibri"/>
          <w:i/>
          <w:spacing w:val="-1"/>
          <w:sz w:val="22"/>
          <w:szCs w:val="22"/>
        </w:rPr>
        <w:t>f</w:t>
      </w:r>
      <w:r>
        <w:rPr>
          <w:rFonts w:ascii="Calibri" w:eastAsia="Calibri" w:hAnsi="Calibri" w:cs="Calibri"/>
          <w:i/>
          <w:sz w:val="22"/>
          <w:szCs w:val="22"/>
        </w:rPr>
        <w:t>fe</w:t>
      </w:r>
      <w:r>
        <w:rPr>
          <w:rFonts w:ascii="Calibri" w:eastAsia="Calibri" w:hAnsi="Calibri" w:cs="Calibri"/>
          <w:i/>
          <w:spacing w:val="1"/>
          <w:sz w:val="22"/>
          <w:szCs w:val="22"/>
        </w:rPr>
        <w:t>r</w:t>
      </w:r>
      <w:r>
        <w:rPr>
          <w:rFonts w:ascii="Calibri" w:eastAsia="Calibri" w:hAnsi="Calibri" w:cs="Calibri"/>
          <w:i/>
          <w:sz w:val="22"/>
          <w:szCs w:val="22"/>
        </w:rPr>
        <w:t>en</w:t>
      </w:r>
      <w:r>
        <w:rPr>
          <w:rFonts w:ascii="Calibri" w:eastAsia="Calibri" w:hAnsi="Calibri" w:cs="Calibri"/>
          <w:i/>
          <w:spacing w:val="-1"/>
          <w:sz w:val="22"/>
          <w:szCs w:val="22"/>
        </w:rPr>
        <w:t>c</w:t>
      </w:r>
      <w:r>
        <w:rPr>
          <w:rFonts w:ascii="Calibri" w:eastAsia="Calibri" w:hAnsi="Calibri" w:cs="Calibri"/>
          <w:i/>
          <w:sz w:val="22"/>
          <w:szCs w:val="22"/>
        </w:rPr>
        <w:t>e</w:t>
      </w:r>
      <w:r>
        <w:rPr>
          <w:rFonts w:ascii="Calibri" w:eastAsia="Calibri" w:hAnsi="Calibri" w:cs="Calibri"/>
          <w:i/>
          <w:spacing w:val="-2"/>
          <w:sz w:val="22"/>
          <w:szCs w:val="22"/>
        </w:rPr>
        <w:t xml:space="preserve"> </w:t>
      </w:r>
      <w:r>
        <w:rPr>
          <w:rFonts w:ascii="Calibri" w:eastAsia="Calibri" w:hAnsi="Calibri" w:cs="Calibri"/>
          <w:i/>
          <w:sz w:val="22"/>
          <w:szCs w:val="22"/>
        </w:rPr>
        <w:t>a</w:t>
      </w:r>
      <w:r>
        <w:rPr>
          <w:rFonts w:ascii="Calibri" w:eastAsia="Calibri" w:hAnsi="Calibri" w:cs="Calibri"/>
          <w:i/>
          <w:spacing w:val="-1"/>
          <w:sz w:val="22"/>
          <w:szCs w:val="22"/>
        </w:rPr>
        <w:t>n</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desc</w:t>
      </w:r>
      <w:r>
        <w:rPr>
          <w:rFonts w:ascii="Calibri" w:eastAsia="Calibri" w:hAnsi="Calibri" w:cs="Calibri"/>
          <w:i/>
          <w:spacing w:val="1"/>
          <w:sz w:val="22"/>
          <w:szCs w:val="22"/>
        </w:rPr>
        <w:t>r</w:t>
      </w:r>
      <w:r>
        <w:rPr>
          <w:rFonts w:ascii="Calibri" w:eastAsia="Calibri" w:hAnsi="Calibri" w:cs="Calibri"/>
          <w:i/>
          <w:sz w:val="22"/>
          <w:szCs w:val="22"/>
        </w:rPr>
        <w:t>i</w:t>
      </w:r>
      <w:r>
        <w:rPr>
          <w:rFonts w:ascii="Calibri" w:eastAsia="Calibri" w:hAnsi="Calibri" w:cs="Calibri"/>
          <w:i/>
          <w:spacing w:val="-1"/>
          <w:sz w:val="22"/>
          <w:szCs w:val="22"/>
        </w:rPr>
        <w:t>b</w:t>
      </w:r>
      <w:r>
        <w:rPr>
          <w:rFonts w:ascii="Calibri" w:eastAsia="Calibri" w:hAnsi="Calibri" w:cs="Calibri"/>
          <w:i/>
          <w:sz w:val="22"/>
          <w:szCs w:val="22"/>
        </w:rPr>
        <w:t xml:space="preserve">e </w:t>
      </w:r>
      <w:r>
        <w:rPr>
          <w:rFonts w:ascii="Calibri" w:eastAsia="Calibri" w:hAnsi="Calibri" w:cs="Calibri"/>
          <w:i/>
          <w:spacing w:val="-1"/>
          <w:sz w:val="22"/>
          <w:szCs w:val="22"/>
        </w:rPr>
        <w:t>add</w:t>
      </w:r>
      <w:r>
        <w:rPr>
          <w:rFonts w:ascii="Calibri" w:eastAsia="Calibri" w:hAnsi="Calibri" w:cs="Calibri"/>
          <w:i/>
          <w:sz w:val="22"/>
          <w:szCs w:val="22"/>
        </w:rPr>
        <w:t>iti</w:t>
      </w:r>
      <w:r>
        <w:rPr>
          <w:rFonts w:ascii="Calibri" w:eastAsia="Calibri" w:hAnsi="Calibri" w:cs="Calibri"/>
          <w:i/>
          <w:spacing w:val="-1"/>
          <w:sz w:val="22"/>
          <w:szCs w:val="22"/>
        </w:rPr>
        <w:t>ona</w:t>
      </w:r>
      <w:r>
        <w:rPr>
          <w:rFonts w:ascii="Calibri" w:eastAsia="Calibri" w:hAnsi="Calibri" w:cs="Calibri"/>
          <w:i/>
          <w:sz w:val="22"/>
          <w:szCs w:val="22"/>
        </w:rPr>
        <w:t>l meas</w:t>
      </w:r>
      <w:r>
        <w:rPr>
          <w:rFonts w:ascii="Calibri" w:eastAsia="Calibri" w:hAnsi="Calibri" w:cs="Calibri"/>
          <w:i/>
          <w:spacing w:val="-1"/>
          <w:sz w:val="22"/>
          <w:szCs w:val="22"/>
        </w:rPr>
        <w:t>u</w:t>
      </w:r>
      <w:r>
        <w:rPr>
          <w:rFonts w:ascii="Calibri" w:eastAsia="Calibri" w:hAnsi="Calibri" w:cs="Calibri"/>
          <w:i/>
          <w:spacing w:val="1"/>
          <w:sz w:val="22"/>
          <w:szCs w:val="22"/>
        </w:rPr>
        <w:t>r</w:t>
      </w:r>
      <w:r>
        <w:rPr>
          <w:rFonts w:ascii="Calibri" w:eastAsia="Calibri" w:hAnsi="Calibri" w:cs="Calibri"/>
          <w:i/>
          <w:spacing w:val="-2"/>
          <w:sz w:val="22"/>
          <w:szCs w:val="22"/>
        </w:rPr>
        <w:t>e</w:t>
      </w:r>
      <w:r>
        <w:rPr>
          <w:rFonts w:ascii="Calibri" w:eastAsia="Calibri" w:hAnsi="Calibri" w:cs="Calibri"/>
          <w:i/>
          <w:sz w:val="22"/>
          <w:szCs w:val="22"/>
        </w:rPr>
        <w:t>s</w:t>
      </w:r>
      <w:r>
        <w:rPr>
          <w:rFonts w:ascii="Calibri" w:eastAsia="Calibri" w:hAnsi="Calibri" w:cs="Calibri"/>
          <w:i/>
          <w:spacing w:val="1"/>
          <w:sz w:val="22"/>
          <w:szCs w:val="22"/>
        </w:rPr>
        <w:t xml:space="preserve"> </w:t>
      </w:r>
      <w:r>
        <w:rPr>
          <w:rFonts w:ascii="Calibri" w:eastAsia="Calibri" w:hAnsi="Calibri" w:cs="Calibri"/>
          <w:i/>
          <w:sz w:val="22"/>
          <w:szCs w:val="22"/>
        </w:rPr>
        <w:t>it</w:t>
      </w:r>
      <w:r>
        <w:rPr>
          <w:rFonts w:ascii="Calibri" w:eastAsia="Calibri" w:hAnsi="Calibri" w:cs="Calibri"/>
          <w:i/>
          <w:spacing w:val="-1"/>
          <w:sz w:val="22"/>
          <w:szCs w:val="22"/>
        </w:rPr>
        <w:t xml:space="preserve"> </w:t>
      </w:r>
      <w:r>
        <w:rPr>
          <w:rFonts w:ascii="Calibri" w:eastAsia="Calibri" w:hAnsi="Calibri" w:cs="Calibri"/>
          <w:i/>
          <w:sz w:val="22"/>
          <w:szCs w:val="22"/>
        </w:rPr>
        <w:t>wo</w:t>
      </w:r>
      <w:r>
        <w:rPr>
          <w:rFonts w:ascii="Calibri" w:eastAsia="Calibri" w:hAnsi="Calibri" w:cs="Calibri"/>
          <w:i/>
          <w:spacing w:val="-3"/>
          <w:sz w:val="22"/>
          <w:szCs w:val="22"/>
        </w:rPr>
        <w:t>u</w:t>
      </w:r>
      <w:r>
        <w:rPr>
          <w:rFonts w:ascii="Calibri" w:eastAsia="Calibri" w:hAnsi="Calibri" w:cs="Calibri"/>
          <w:i/>
          <w:sz w:val="22"/>
          <w:szCs w:val="22"/>
        </w:rPr>
        <w:t>ld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a</w:t>
      </w:r>
      <w:r>
        <w:rPr>
          <w:rFonts w:ascii="Calibri" w:eastAsia="Calibri" w:hAnsi="Calibri" w:cs="Calibri"/>
          <w:i/>
          <w:sz w:val="22"/>
          <w:szCs w:val="22"/>
        </w:rPr>
        <w:t>ke</w:t>
      </w:r>
      <w:r>
        <w:rPr>
          <w:rFonts w:ascii="Calibri" w:eastAsia="Calibri" w:hAnsi="Calibri" w:cs="Calibri"/>
          <w:i/>
          <w:spacing w:val="1"/>
          <w:sz w:val="22"/>
          <w:szCs w:val="22"/>
        </w:rPr>
        <w:t xml:space="preserve"> </w:t>
      </w:r>
      <w:r>
        <w:rPr>
          <w:rFonts w:ascii="Calibri" w:eastAsia="Calibri" w:hAnsi="Calibri" w:cs="Calibri"/>
          <w:i/>
          <w:sz w:val="22"/>
          <w:szCs w:val="22"/>
        </w:rPr>
        <w:t>ov</w:t>
      </w:r>
      <w:r>
        <w:rPr>
          <w:rFonts w:ascii="Calibri" w:eastAsia="Calibri" w:hAnsi="Calibri" w:cs="Calibri"/>
          <w:i/>
          <w:spacing w:val="-3"/>
          <w:sz w:val="22"/>
          <w:szCs w:val="22"/>
        </w:rPr>
        <w:t>e</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the fo</w:t>
      </w:r>
      <w:r>
        <w:rPr>
          <w:rFonts w:ascii="Calibri" w:eastAsia="Calibri" w:hAnsi="Calibri" w:cs="Calibri"/>
          <w:i/>
          <w:spacing w:val="-1"/>
          <w:sz w:val="22"/>
          <w:szCs w:val="22"/>
        </w:rPr>
        <w:t>l</w:t>
      </w:r>
      <w:r>
        <w:rPr>
          <w:rFonts w:ascii="Calibri" w:eastAsia="Calibri" w:hAnsi="Calibri" w:cs="Calibri"/>
          <w:i/>
          <w:sz w:val="22"/>
          <w:szCs w:val="22"/>
        </w:rPr>
        <w:t>l</w:t>
      </w:r>
      <w:r>
        <w:rPr>
          <w:rFonts w:ascii="Calibri" w:eastAsia="Calibri" w:hAnsi="Calibri" w:cs="Calibri"/>
          <w:i/>
          <w:spacing w:val="-1"/>
          <w:sz w:val="22"/>
          <w:szCs w:val="22"/>
        </w:rPr>
        <w:t>o</w:t>
      </w:r>
      <w:r>
        <w:rPr>
          <w:rFonts w:ascii="Calibri" w:eastAsia="Calibri" w:hAnsi="Calibri" w:cs="Calibri"/>
          <w:i/>
          <w:sz w:val="22"/>
          <w:szCs w:val="22"/>
        </w:rPr>
        <w:t>wing</w:t>
      </w:r>
      <w:r>
        <w:rPr>
          <w:rFonts w:ascii="Calibri" w:eastAsia="Calibri" w:hAnsi="Calibri" w:cs="Calibri"/>
          <w:i/>
          <w:spacing w:val="-3"/>
          <w:sz w:val="22"/>
          <w:szCs w:val="22"/>
        </w:rPr>
        <w:t xml:space="preserve"> </w:t>
      </w:r>
      <w:r>
        <w:rPr>
          <w:rFonts w:ascii="Calibri" w:eastAsia="Calibri" w:hAnsi="Calibri" w:cs="Calibri"/>
          <w:i/>
          <w:sz w:val="22"/>
          <w:szCs w:val="22"/>
        </w:rPr>
        <w:t>1</w:t>
      </w:r>
      <w:r>
        <w:rPr>
          <w:rFonts w:ascii="Calibri" w:eastAsia="Calibri" w:hAnsi="Calibri" w:cs="Calibri"/>
          <w:i/>
          <w:spacing w:val="1"/>
          <w:sz w:val="22"/>
          <w:szCs w:val="22"/>
        </w:rPr>
        <w:t xml:space="preserve"> </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3</w:t>
      </w:r>
      <w:r>
        <w:rPr>
          <w:rFonts w:ascii="Calibri" w:eastAsia="Calibri" w:hAnsi="Calibri" w:cs="Calibri"/>
          <w:i/>
          <w:spacing w:val="1"/>
          <w:sz w:val="22"/>
          <w:szCs w:val="22"/>
        </w:rPr>
        <w:t xml:space="preserve"> </w:t>
      </w:r>
      <w:r>
        <w:rPr>
          <w:rFonts w:ascii="Calibri" w:eastAsia="Calibri" w:hAnsi="Calibri" w:cs="Calibri"/>
          <w:i/>
          <w:spacing w:val="-2"/>
          <w:sz w:val="22"/>
          <w:szCs w:val="22"/>
        </w:rPr>
        <w:t>y</w:t>
      </w:r>
      <w:r>
        <w:rPr>
          <w:rFonts w:ascii="Calibri" w:eastAsia="Calibri" w:hAnsi="Calibri" w:cs="Calibri"/>
          <w:i/>
          <w:sz w:val="22"/>
          <w:szCs w:val="22"/>
        </w:rPr>
        <w:t>ears</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z w:val="22"/>
          <w:szCs w:val="22"/>
        </w:rPr>
        <w:t>o c</w:t>
      </w:r>
      <w:r>
        <w:rPr>
          <w:rFonts w:ascii="Calibri" w:eastAsia="Calibri" w:hAnsi="Calibri" w:cs="Calibri"/>
          <w:i/>
          <w:spacing w:val="-1"/>
          <w:sz w:val="22"/>
          <w:szCs w:val="22"/>
        </w:rPr>
        <w:t>l</w:t>
      </w:r>
      <w:r>
        <w:rPr>
          <w:rFonts w:ascii="Calibri" w:eastAsia="Calibri" w:hAnsi="Calibri" w:cs="Calibri"/>
          <w:i/>
          <w:sz w:val="22"/>
          <w:szCs w:val="22"/>
        </w:rPr>
        <w:t>ose</w:t>
      </w:r>
      <w:r>
        <w:rPr>
          <w:rFonts w:ascii="Calibri" w:eastAsia="Calibri" w:hAnsi="Calibri" w:cs="Calibri"/>
          <w:i/>
          <w:spacing w:val="-2"/>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 g</w:t>
      </w:r>
      <w:r>
        <w:rPr>
          <w:rFonts w:ascii="Calibri" w:eastAsia="Calibri" w:hAnsi="Calibri" w:cs="Calibri"/>
          <w:i/>
          <w:spacing w:val="-1"/>
          <w:sz w:val="22"/>
          <w:szCs w:val="22"/>
        </w:rPr>
        <w:t>ap</w:t>
      </w:r>
      <w:r>
        <w:rPr>
          <w:rFonts w:ascii="Calibri" w:eastAsia="Calibri" w:hAnsi="Calibri" w:cs="Calibri"/>
          <w:i/>
          <w:sz w:val="22"/>
          <w:szCs w:val="22"/>
        </w:rPr>
        <w:t>,</w:t>
      </w:r>
      <w:r>
        <w:rPr>
          <w:rFonts w:ascii="Calibri" w:eastAsia="Calibri" w:hAnsi="Calibri" w:cs="Calibri"/>
          <w:i/>
          <w:spacing w:val="-2"/>
          <w:sz w:val="22"/>
          <w:szCs w:val="22"/>
        </w:rPr>
        <w:t xml:space="preserve"> </w:t>
      </w:r>
      <w:r>
        <w:rPr>
          <w:rFonts w:ascii="Calibri" w:eastAsia="Calibri" w:hAnsi="Calibri" w:cs="Calibri"/>
          <w:i/>
          <w:spacing w:val="-1"/>
          <w:sz w:val="22"/>
          <w:szCs w:val="22"/>
        </w:rPr>
        <w:t>a</w:t>
      </w:r>
      <w:r>
        <w:rPr>
          <w:rFonts w:ascii="Calibri" w:eastAsia="Calibri" w:hAnsi="Calibri" w:cs="Calibri"/>
          <w:i/>
          <w:sz w:val="22"/>
          <w:szCs w:val="22"/>
        </w:rPr>
        <w:t>l</w:t>
      </w:r>
      <w:r>
        <w:rPr>
          <w:rFonts w:ascii="Calibri" w:eastAsia="Calibri" w:hAnsi="Calibri" w:cs="Calibri"/>
          <w:i/>
          <w:spacing w:val="-1"/>
          <w:sz w:val="22"/>
          <w:szCs w:val="22"/>
        </w:rPr>
        <w:t>on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pacing w:val="1"/>
          <w:sz w:val="22"/>
          <w:szCs w:val="22"/>
        </w:rPr>
        <w:t>w</w:t>
      </w:r>
      <w:r>
        <w:rPr>
          <w:rFonts w:ascii="Calibri" w:eastAsia="Calibri" w:hAnsi="Calibri" w:cs="Calibri"/>
          <w:i/>
          <w:sz w:val="22"/>
          <w:szCs w:val="22"/>
        </w:rPr>
        <w:t>ith the c</w:t>
      </w:r>
      <w:r>
        <w:rPr>
          <w:rFonts w:ascii="Calibri" w:eastAsia="Calibri" w:hAnsi="Calibri" w:cs="Calibri"/>
          <w:i/>
          <w:spacing w:val="-1"/>
          <w:sz w:val="22"/>
          <w:szCs w:val="22"/>
        </w:rPr>
        <w:t>o</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1"/>
          <w:sz w:val="22"/>
          <w:szCs w:val="22"/>
        </w:rPr>
        <w:t xml:space="preserve"> </w:t>
      </w:r>
      <w:r>
        <w:rPr>
          <w:rFonts w:ascii="Calibri" w:eastAsia="Calibri" w:hAnsi="Calibri" w:cs="Calibri"/>
          <w:i/>
          <w:sz w:val="22"/>
          <w:szCs w:val="22"/>
        </w:rPr>
        <w:t>of th</w:t>
      </w:r>
      <w:r>
        <w:rPr>
          <w:rFonts w:ascii="Calibri" w:eastAsia="Calibri" w:hAnsi="Calibri" w:cs="Calibri"/>
          <w:i/>
          <w:spacing w:val="-1"/>
          <w:sz w:val="22"/>
          <w:szCs w:val="22"/>
        </w:rPr>
        <w:t>o</w:t>
      </w:r>
      <w:r>
        <w:rPr>
          <w:rFonts w:ascii="Calibri" w:eastAsia="Calibri" w:hAnsi="Calibri" w:cs="Calibri"/>
          <w:i/>
          <w:sz w:val="22"/>
          <w:szCs w:val="22"/>
        </w:rPr>
        <w:t>se</w:t>
      </w:r>
      <w:r>
        <w:rPr>
          <w:rFonts w:ascii="Calibri" w:eastAsia="Calibri" w:hAnsi="Calibri" w:cs="Calibri"/>
          <w:i/>
          <w:spacing w:val="1"/>
          <w:sz w:val="22"/>
          <w:szCs w:val="22"/>
        </w:rPr>
        <w:t xml:space="preserve"> </w:t>
      </w:r>
      <w:r>
        <w:rPr>
          <w:rFonts w:ascii="Calibri" w:eastAsia="Calibri" w:hAnsi="Calibri" w:cs="Calibri"/>
          <w:i/>
          <w:spacing w:val="-2"/>
          <w:sz w:val="22"/>
          <w:szCs w:val="22"/>
        </w:rPr>
        <w:t>m</w:t>
      </w:r>
      <w:r>
        <w:rPr>
          <w:rFonts w:ascii="Calibri" w:eastAsia="Calibri" w:hAnsi="Calibri" w:cs="Calibri"/>
          <w:i/>
          <w:sz w:val="22"/>
          <w:szCs w:val="22"/>
        </w:rPr>
        <w:t>eas</w:t>
      </w:r>
      <w:r>
        <w:rPr>
          <w:rFonts w:ascii="Calibri" w:eastAsia="Calibri" w:hAnsi="Calibri" w:cs="Calibri"/>
          <w:i/>
          <w:spacing w:val="-1"/>
          <w:sz w:val="22"/>
          <w:szCs w:val="22"/>
        </w:rPr>
        <w:t>u</w:t>
      </w:r>
      <w:r>
        <w:rPr>
          <w:rFonts w:ascii="Calibri" w:eastAsia="Calibri" w:hAnsi="Calibri" w:cs="Calibri"/>
          <w:i/>
          <w:spacing w:val="1"/>
          <w:sz w:val="22"/>
          <w:szCs w:val="22"/>
        </w:rPr>
        <w:t>r</w:t>
      </w:r>
      <w:r>
        <w:rPr>
          <w:rFonts w:ascii="Calibri" w:eastAsia="Calibri" w:hAnsi="Calibri" w:cs="Calibri"/>
          <w:i/>
          <w:spacing w:val="-2"/>
          <w:sz w:val="22"/>
          <w:szCs w:val="22"/>
        </w:rPr>
        <w:t>e</w:t>
      </w:r>
      <w:r>
        <w:rPr>
          <w:rFonts w:ascii="Calibri" w:eastAsia="Calibri" w:hAnsi="Calibri" w:cs="Calibri"/>
          <w:i/>
          <w:sz w:val="22"/>
          <w:szCs w:val="22"/>
        </w:rPr>
        <w:t>s.</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GHG Planning Price</w:t>
      </w:r>
      <w:r w:rsidRPr="00D6564C">
        <w:rPr>
          <w:rFonts w:asciiTheme="minorHAnsi" w:eastAsiaTheme="minorHAnsi" w:hAnsiTheme="minorHAnsi" w:cstheme="minorBidi"/>
          <w:i/>
          <w:sz w:val="22"/>
          <w:szCs w:val="22"/>
        </w:rPr>
        <w:t xml:space="preserve"> –The GHG Planning Price is equivalent to the marginal cost of GHG abatement associated with the 42 MMT Scenario for the years 2018 to 2026 (i.e., a curve that slopes upward from ~$15/ton to ~$23/ton), followed by a straight-line increase from ~$23/ton in 2026 to $150/ton in 2030, as shown in Table A. Each LSE must use either the GHG Planning Price or GHG Emissions Benchmark in developing its Conforming Portfolio.</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IRP Planning Horizon</w:t>
      </w:r>
      <w:r w:rsidRPr="00D6564C">
        <w:rPr>
          <w:rFonts w:asciiTheme="minorHAnsi" w:eastAsiaTheme="minorHAnsi" w:hAnsiTheme="minorHAnsi" w:cstheme="minorBidi"/>
          <w:i/>
          <w:sz w:val="22"/>
          <w:szCs w:val="22"/>
        </w:rPr>
        <w:t xml:space="preserve"> – The IRP Planning Horizon will typically cover 20 years. However, for the purposes of this IRP 2017-18 </w:t>
      </w:r>
      <w:proofErr w:type="gramStart"/>
      <w:r w:rsidRPr="00D6564C">
        <w:rPr>
          <w:rFonts w:asciiTheme="minorHAnsi" w:eastAsiaTheme="minorHAnsi" w:hAnsiTheme="minorHAnsi" w:cstheme="minorBidi"/>
          <w:i/>
          <w:sz w:val="22"/>
          <w:szCs w:val="22"/>
        </w:rPr>
        <w:t>cycle</w:t>
      </w:r>
      <w:proofErr w:type="gramEnd"/>
      <w:r w:rsidRPr="00D6564C">
        <w:rPr>
          <w:rFonts w:asciiTheme="minorHAnsi" w:eastAsiaTheme="minorHAnsi" w:hAnsiTheme="minorHAnsi" w:cstheme="minorBidi"/>
          <w:i/>
          <w:sz w:val="22"/>
          <w:szCs w:val="22"/>
        </w:rPr>
        <w:t>, the IRP Planning Horizon will cover only up to the year 2030.</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Long term</w:t>
      </w:r>
      <w:r w:rsidRPr="00D6564C">
        <w:rPr>
          <w:rFonts w:asciiTheme="minorHAnsi" w:eastAsiaTheme="minorHAnsi" w:hAnsiTheme="minorHAnsi" w:cstheme="minorBidi"/>
          <w:i/>
          <w:sz w:val="22"/>
          <w:szCs w:val="22"/>
        </w:rPr>
        <w:t xml:space="preserve"> – 10 or more years (unless otherwise specified)</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lastRenderedPageBreak/>
        <w:t>Portfolio</w:t>
      </w:r>
      <w:r w:rsidRPr="00D6564C">
        <w:rPr>
          <w:rFonts w:asciiTheme="minorHAnsi" w:eastAsiaTheme="minorHAnsi" w:hAnsiTheme="minorHAnsi" w:cstheme="minorBidi"/>
          <w:i/>
          <w:sz w:val="22"/>
          <w:szCs w:val="22"/>
        </w:rPr>
        <w:t xml:space="preserve"> – A portfolio is a set of supply and/or demand resources with certain attributes that together serve a particular level of load.</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Preferred Portfolio</w:t>
      </w:r>
      <w:r w:rsidRPr="00D6564C">
        <w:rPr>
          <w:rFonts w:asciiTheme="minorHAnsi" w:eastAsiaTheme="minorHAnsi" w:hAnsiTheme="minorHAnsi" w:cstheme="minorBidi"/>
          <w:i/>
          <w:sz w:val="22"/>
          <w:szCs w:val="22"/>
        </w:rPr>
        <w:t xml:space="preserve"> – Among all the portfolios developed by the LSE, the LSE will identify one as the most suitable to its own needs, deemed its “Preferred Portfolio.” Any deviations from the Conforming Portfolio must be justified and explained.</w:t>
      </w:r>
    </w:p>
    <w:p w:rsidR="00AF0282" w:rsidRPr="00D6564C" w:rsidRDefault="00AF0282" w:rsidP="00AF0282">
      <w:pPr>
        <w:spacing w:after="200" w:line="276" w:lineRule="auto"/>
        <w:rPr>
          <w:rFonts w:asciiTheme="minorHAnsi" w:eastAsiaTheme="minorHAnsi" w:hAnsiTheme="minorHAnsi" w:cstheme="minorBidi"/>
          <w:bCs/>
          <w:i/>
          <w:sz w:val="22"/>
          <w:szCs w:val="22"/>
        </w:rPr>
      </w:pPr>
      <w:r w:rsidRPr="00D6564C">
        <w:rPr>
          <w:rFonts w:asciiTheme="minorHAnsi" w:eastAsiaTheme="minorHAnsi" w:hAnsiTheme="minorHAnsi" w:cstheme="minorBidi"/>
          <w:b/>
          <w:i/>
          <w:sz w:val="22"/>
          <w:szCs w:val="22"/>
        </w:rPr>
        <w:t xml:space="preserve">Reference System Plan </w:t>
      </w:r>
      <w:r w:rsidRPr="00D6564C">
        <w:rPr>
          <w:rFonts w:asciiTheme="minorHAnsi" w:eastAsiaTheme="minorHAnsi" w:hAnsiTheme="minorHAnsi" w:cstheme="minorBidi"/>
          <w:i/>
          <w:sz w:val="22"/>
          <w:szCs w:val="22"/>
        </w:rPr>
        <w:t>– The Reference System Plan refers to the Commission-approved</w:t>
      </w:r>
      <w:r w:rsidRPr="00D6564C">
        <w:rPr>
          <w:rFonts w:asciiTheme="minorHAnsi" w:eastAsiaTheme="minorHAnsi" w:hAnsiTheme="minorHAnsi" w:cstheme="minorBidi"/>
          <w:bCs/>
          <w:i/>
          <w:sz w:val="22"/>
          <w:szCs w:val="22"/>
        </w:rPr>
        <w:t xml:space="preserve"> integrated resource plan that includes an optimal portfolio (Reference System Portfolio) of future resources for serving load in the CAISO balancing authority area and meeting multiple state goals, including meeting GHG reduction and reliability targets at least cost.</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Reference System Portfolio</w:t>
      </w:r>
      <w:r w:rsidRPr="00D6564C">
        <w:rPr>
          <w:rFonts w:asciiTheme="minorHAnsi" w:eastAsiaTheme="minorHAnsi" w:hAnsiTheme="minorHAnsi" w:cstheme="minorBidi"/>
          <w:i/>
          <w:sz w:val="22"/>
          <w:szCs w:val="22"/>
        </w:rPr>
        <w:t xml:space="preserve"> – The Reference System Plan refers to the Commission-approved</w:t>
      </w:r>
      <w:r w:rsidRPr="00D6564C">
        <w:rPr>
          <w:rFonts w:asciiTheme="minorHAnsi" w:eastAsiaTheme="minorHAnsi" w:hAnsiTheme="minorHAnsi" w:cstheme="minorBidi"/>
          <w:bCs/>
          <w:i/>
          <w:sz w:val="22"/>
          <w:szCs w:val="22"/>
        </w:rPr>
        <w:t xml:space="preserve"> </w:t>
      </w:r>
      <w:r w:rsidRPr="00D6564C">
        <w:rPr>
          <w:rFonts w:asciiTheme="minorHAnsi" w:eastAsiaTheme="minorHAnsi" w:hAnsiTheme="minorHAnsi" w:cstheme="minorBidi"/>
          <w:i/>
          <w:sz w:val="22"/>
          <w:szCs w:val="22"/>
        </w:rPr>
        <w:t>portfolio that is responsive to statutory requirements per Pub. Util. Code 454.51; it is part of the Reference System Plan.</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Scenario</w:t>
      </w:r>
      <w:r w:rsidRPr="00D6564C">
        <w:rPr>
          <w:rFonts w:asciiTheme="minorHAnsi" w:eastAsiaTheme="minorHAnsi" w:hAnsiTheme="minorHAnsi" w:cstheme="minorBidi"/>
          <w:i/>
          <w:sz w:val="22"/>
          <w:szCs w:val="22"/>
        </w:rPr>
        <w:t xml:space="preserve"> – A scenario is a portfolio together with a set of assumptions about future conditions.</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Short term</w:t>
      </w:r>
      <w:r w:rsidRPr="00D6564C">
        <w:rPr>
          <w:rFonts w:asciiTheme="minorHAnsi" w:eastAsiaTheme="minorHAnsi" w:hAnsiTheme="minorHAnsi" w:cstheme="minorBidi"/>
          <w:i/>
          <w:sz w:val="22"/>
          <w:szCs w:val="22"/>
        </w:rPr>
        <w:t xml:space="preserve"> – 1 to 3 years (unless otherwise specified)</w:t>
      </w:r>
    </w:p>
    <w:p w:rsidR="00AF0282" w:rsidRPr="00D6564C"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Standard LSE Plan</w:t>
      </w:r>
      <w:r w:rsidRPr="00D6564C">
        <w:rPr>
          <w:rFonts w:asciiTheme="minorHAnsi" w:eastAsiaTheme="minorHAnsi" w:hAnsiTheme="minorHAnsi" w:cstheme="minorBidi"/>
          <w:i/>
          <w:sz w:val="22"/>
          <w:szCs w:val="22"/>
        </w:rPr>
        <w:t xml:space="preserve"> – A Standard LSE Plan is the type of integrated resource plan that an LSE is required to file if its assigned load forecast is </w:t>
      </w:r>
      <w:r w:rsidRPr="00D6564C">
        <w:rPr>
          <w:rFonts w:ascii="Calibri" w:eastAsiaTheme="minorHAnsi" w:hAnsi="Calibri" w:cstheme="minorBidi"/>
          <w:i/>
          <w:sz w:val="22"/>
          <w:szCs w:val="22"/>
        </w:rPr>
        <w:t>≥</w:t>
      </w:r>
      <w:r w:rsidRPr="00D6564C">
        <w:rPr>
          <w:rFonts w:asciiTheme="minorHAnsi" w:eastAsiaTheme="minorHAnsi" w:hAnsiTheme="minorHAnsi" w:cstheme="minorBidi"/>
          <w:i/>
          <w:sz w:val="22"/>
          <w:szCs w:val="22"/>
        </w:rPr>
        <w:t xml:space="preserve"> 700 GWh in any of the first five years of the IRP planning horizon.</w:t>
      </w:r>
    </w:p>
    <w:p w:rsidR="00AF0282" w:rsidRDefault="00AF0282" w:rsidP="00AF0282">
      <w:pPr>
        <w:spacing w:after="200" w:line="276" w:lineRule="auto"/>
        <w:rPr>
          <w:rFonts w:asciiTheme="minorHAnsi" w:eastAsiaTheme="minorHAnsi" w:hAnsiTheme="minorHAnsi" w:cstheme="minorBidi"/>
          <w:i/>
          <w:sz w:val="22"/>
          <w:szCs w:val="22"/>
        </w:rPr>
      </w:pPr>
      <w:r w:rsidRPr="00D6564C">
        <w:rPr>
          <w:rFonts w:asciiTheme="minorHAnsi" w:eastAsiaTheme="minorHAnsi" w:hAnsiTheme="minorHAnsi" w:cstheme="minorBidi"/>
          <w:b/>
          <w:i/>
          <w:sz w:val="22"/>
          <w:szCs w:val="22"/>
        </w:rPr>
        <w:t>Standard LSE Plan Template</w:t>
      </w:r>
      <w:r w:rsidRPr="00D6564C">
        <w:rPr>
          <w:rFonts w:asciiTheme="minorHAnsi" w:eastAsiaTheme="minorHAnsi" w:hAnsiTheme="minorHAnsi" w:cstheme="minorBidi"/>
          <w:i/>
          <w:sz w:val="22"/>
          <w:szCs w:val="22"/>
        </w:rPr>
        <w:t xml:space="preserve"> – Each LSE required to file a Standard LSE Plan must use the Standard LSE Plan Template according to the instructions provided herein.</w:t>
      </w:r>
    </w:p>
    <w:p w:rsidR="00AF0282" w:rsidRDefault="00AF0282" w:rsidP="00AF0282">
      <w:pPr>
        <w:spacing w:after="200" w:line="276" w:lineRule="auto"/>
        <w:rPr>
          <w:rFonts w:asciiTheme="minorHAnsi" w:eastAsiaTheme="minorHAnsi" w:hAnsiTheme="minorHAnsi" w:cstheme="minorBidi"/>
          <w:i/>
          <w:sz w:val="22"/>
          <w:szCs w:val="22"/>
        </w:rPr>
      </w:pPr>
    </w:p>
    <w:p w:rsidR="00AF0282" w:rsidRDefault="00AF0282" w:rsidP="00AF0282">
      <w:pPr>
        <w:spacing w:after="200" w:line="276" w:lineRule="auto"/>
        <w:rPr>
          <w:rFonts w:asciiTheme="minorHAnsi" w:eastAsiaTheme="minorHAnsi" w:hAnsiTheme="minorHAnsi" w:cstheme="minorBidi"/>
          <w:i/>
          <w:sz w:val="22"/>
          <w:szCs w:val="22"/>
        </w:rPr>
      </w:pPr>
    </w:p>
    <w:p w:rsidR="006841C8" w:rsidRPr="00AF0282" w:rsidRDefault="00AF0282" w:rsidP="00AF0282">
      <w:pPr>
        <w:spacing w:after="200" w:line="276" w:lineRule="auto"/>
        <w:jc w:val="center"/>
        <w:rPr>
          <w:rFonts w:asciiTheme="minorHAnsi" w:eastAsiaTheme="minorHAnsi" w:hAnsiTheme="minorHAnsi" w:cstheme="minorBidi"/>
          <w:szCs w:val="26"/>
        </w:rPr>
      </w:pPr>
      <w:r w:rsidRPr="003D5ED2">
        <w:rPr>
          <w:rFonts w:asciiTheme="minorHAnsi" w:eastAsiaTheme="minorHAnsi" w:hAnsiTheme="minorHAnsi" w:cstheme="minorBidi"/>
          <w:szCs w:val="26"/>
        </w:rPr>
        <w:t>(End of Attachment A)</w:t>
      </w:r>
    </w:p>
    <w:sectPr w:rsidR="006841C8" w:rsidRPr="00AF02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49B" w:rsidRDefault="00D2349B" w:rsidP="00AF0282">
      <w:r>
        <w:separator/>
      </w:r>
    </w:p>
  </w:endnote>
  <w:endnote w:type="continuationSeparator" w:id="0">
    <w:p w:rsidR="00D2349B" w:rsidRDefault="00D2349B" w:rsidP="00AF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2020500000000000000"/>
    <w:charset w:val="00"/>
    <w:family w:val="roman"/>
    <w:pitch w:val="variable"/>
    <w:sig w:usb0="20000A87" w:usb1="08000000" w:usb2="00000008" w:usb3="00000000" w:csb0="000001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05573277"/>
      <w:docPartObj>
        <w:docPartGallery w:val="Page Numbers (Bottom of Page)"/>
        <w:docPartUnique/>
      </w:docPartObj>
    </w:sdtPr>
    <w:sdtEndPr>
      <w:rPr>
        <w:noProof/>
      </w:rPr>
    </w:sdtEndPr>
    <w:sdtContent>
      <w:p w:rsidR="00D2349B" w:rsidRPr="007C0056" w:rsidRDefault="00D2349B" w:rsidP="007C0056">
        <w:pPr>
          <w:pStyle w:val="Footer"/>
          <w:jc w:val="center"/>
          <w:rPr>
            <w:rFonts w:asciiTheme="minorHAnsi" w:hAnsiTheme="minorHAnsi"/>
            <w:sz w:val="22"/>
            <w:szCs w:val="22"/>
          </w:rPr>
        </w:pPr>
        <w:r w:rsidRPr="007C0056">
          <w:rPr>
            <w:rFonts w:asciiTheme="minorHAnsi" w:hAnsiTheme="minorHAnsi"/>
            <w:sz w:val="22"/>
            <w:szCs w:val="22"/>
          </w:rPr>
          <w:fldChar w:fldCharType="begin"/>
        </w:r>
        <w:r w:rsidRPr="007C0056">
          <w:rPr>
            <w:rFonts w:asciiTheme="minorHAnsi" w:hAnsiTheme="minorHAnsi"/>
            <w:sz w:val="22"/>
            <w:szCs w:val="22"/>
          </w:rPr>
          <w:instrText xml:space="preserve"> PAGE   \* MERGEFORMAT </w:instrText>
        </w:r>
        <w:r w:rsidRPr="007C0056">
          <w:rPr>
            <w:rFonts w:asciiTheme="minorHAnsi" w:hAnsiTheme="minorHAnsi"/>
            <w:sz w:val="22"/>
            <w:szCs w:val="22"/>
          </w:rPr>
          <w:fldChar w:fldCharType="separate"/>
        </w:r>
        <w:r w:rsidR="001F4769">
          <w:rPr>
            <w:rFonts w:asciiTheme="minorHAnsi" w:hAnsiTheme="minorHAnsi"/>
            <w:noProof/>
            <w:sz w:val="22"/>
            <w:szCs w:val="22"/>
          </w:rPr>
          <w:t>1</w:t>
        </w:r>
        <w:r w:rsidRPr="007C0056">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49B" w:rsidRDefault="00D2349B" w:rsidP="00AF0282">
      <w:r>
        <w:separator/>
      </w:r>
    </w:p>
  </w:footnote>
  <w:footnote w:type="continuationSeparator" w:id="0">
    <w:p w:rsidR="00D2349B" w:rsidRDefault="00D2349B" w:rsidP="00AF0282">
      <w:r>
        <w:continuationSeparator/>
      </w:r>
    </w:p>
  </w:footnote>
  <w:footnote w:id="1">
    <w:p w:rsidR="00D2349B" w:rsidRPr="001C110E" w:rsidRDefault="00D2349B">
      <w:pPr>
        <w:pStyle w:val="FootnoteText"/>
        <w:rPr>
          <w:rFonts w:asciiTheme="minorHAnsi" w:hAnsiTheme="minorHAnsi"/>
          <w:sz w:val="20"/>
        </w:rPr>
      </w:pPr>
      <w:r w:rsidRPr="001C110E">
        <w:rPr>
          <w:rStyle w:val="FootnoteReference"/>
          <w:rFonts w:asciiTheme="minorHAnsi" w:hAnsiTheme="minorHAnsi"/>
          <w:sz w:val="20"/>
        </w:rPr>
        <w:footnoteRef/>
      </w:r>
      <w:r w:rsidRPr="001C110E">
        <w:rPr>
          <w:rFonts w:asciiTheme="minorHAnsi" w:hAnsiTheme="minorHAnsi"/>
          <w:sz w:val="20"/>
        </w:rPr>
        <w:t xml:space="preserve"> Available at: </w:t>
      </w:r>
      <w:hyperlink r:id="rId1" w:history="1">
        <w:r w:rsidRPr="001C110E">
          <w:rPr>
            <w:rStyle w:val="Hyperlink"/>
            <w:rFonts w:asciiTheme="minorHAnsi" w:hAnsiTheme="minorHAnsi"/>
            <w:sz w:val="20"/>
          </w:rPr>
          <w:t>www.energy.ca.gov/assessments/ng_burner_tip.html</w:t>
        </w:r>
      </w:hyperlink>
      <w:r w:rsidRPr="001C110E">
        <w:rPr>
          <w:rFonts w:asciiTheme="minorHAnsi" w:hAnsiTheme="minorHAnsi"/>
          <w:sz w:val="20"/>
        </w:rPr>
        <w:t xml:space="preserve">. </w:t>
      </w:r>
    </w:p>
  </w:footnote>
  <w:footnote w:id="2">
    <w:p w:rsidR="00D2349B" w:rsidRPr="00916BEF" w:rsidRDefault="00D2349B">
      <w:pPr>
        <w:pStyle w:val="FootnoteText"/>
        <w:rPr>
          <w:rFonts w:asciiTheme="minorHAnsi" w:hAnsiTheme="minorHAnsi"/>
          <w:sz w:val="20"/>
        </w:rPr>
      </w:pPr>
      <w:r w:rsidRPr="00916BEF">
        <w:rPr>
          <w:rStyle w:val="FootnoteReference"/>
          <w:rFonts w:asciiTheme="minorHAnsi" w:hAnsiTheme="minorHAnsi"/>
          <w:sz w:val="20"/>
        </w:rPr>
        <w:footnoteRef/>
      </w:r>
      <w:r w:rsidRPr="00916BEF">
        <w:rPr>
          <w:rFonts w:asciiTheme="minorHAnsi" w:hAnsiTheme="minorHAnsi"/>
          <w:sz w:val="20"/>
        </w:rPr>
        <w:t xml:space="preserve"> http://cpuc.ca.gov/irp/filingtemplates/</w:t>
      </w:r>
    </w:p>
  </w:footnote>
  <w:footnote w:id="3">
    <w:p w:rsidR="00D2349B" w:rsidRDefault="00D2349B">
      <w:pPr>
        <w:pStyle w:val="FootnoteText"/>
      </w:pPr>
      <w:r>
        <w:rPr>
          <w:rStyle w:val="FootnoteReference"/>
        </w:rPr>
        <w:footnoteRef/>
      </w:r>
      <w:r>
        <w:t xml:space="preserve"> </w:t>
      </w:r>
      <w:r w:rsidRPr="00916BEF">
        <w:rPr>
          <w:rFonts w:asciiTheme="minorHAnsi" w:hAnsiTheme="minorHAnsi"/>
          <w:sz w:val="20"/>
        </w:rPr>
        <w:t xml:space="preserve">LSEs are </w:t>
      </w:r>
      <w:r>
        <w:rPr>
          <w:rFonts w:asciiTheme="minorHAnsi" w:hAnsiTheme="minorHAnsi"/>
          <w:sz w:val="20"/>
        </w:rPr>
        <w:t>encouraged to use</w:t>
      </w:r>
      <w:r w:rsidRPr="00916BEF">
        <w:rPr>
          <w:rFonts w:asciiTheme="minorHAnsi" w:hAnsiTheme="minorHAnsi"/>
          <w:sz w:val="20"/>
        </w:rPr>
        <w:t xml:space="preserve"> factors from the CEC Cost of Generation (2015) and the USEPA AP-42, the EPA’s compilation of air emission factors. </w:t>
      </w:r>
    </w:p>
  </w:footnote>
  <w:footnote w:id="4">
    <w:p w:rsidR="00D2349B" w:rsidRPr="001C110E" w:rsidRDefault="00D2349B" w:rsidP="00AF0282">
      <w:pPr>
        <w:pStyle w:val="FootnoteText"/>
        <w:rPr>
          <w:rFonts w:asciiTheme="minorHAnsi" w:hAnsiTheme="minorHAnsi"/>
          <w:sz w:val="20"/>
        </w:rPr>
      </w:pPr>
      <w:r w:rsidRPr="001C110E">
        <w:rPr>
          <w:rStyle w:val="FootnoteReference"/>
          <w:rFonts w:asciiTheme="minorHAnsi" w:hAnsiTheme="minorHAnsi"/>
          <w:sz w:val="20"/>
        </w:rPr>
        <w:footnoteRef/>
      </w:r>
      <w:r w:rsidRPr="001C110E">
        <w:rPr>
          <w:rFonts w:asciiTheme="minorHAnsi" w:hAnsiTheme="minorHAnsi"/>
          <w:sz w:val="20"/>
        </w:rPr>
        <w:t xml:space="preserve"> Refer to the Commission’s Resource Adequacy Compliance Materials, available at: http://cpuc.ca.gov/General.aspx?id=6311. </w:t>
      </w:r>
    </w:p>
  </w:footnote>
  <w:footnote w:id="5">
    <w:p w:rsidR="00D2349B" w:rsidRPr="001C110E" w:rsidRDefault="00D2349B" w:rsidP="00AF0282">
      <w:pPr>
        <w:pStyle w:val="FootnoteText"/>
        <w:rPr>
          <w:rFonts w:asciiTheme="minorHAnsi" w:hAnsiTheme="minorHAnsi"/>
          <w:sz w:val="20"/>
        </w:rPr>
      </w:pPr>
      <w:r w:rsidRPr="001C110E">
        <w:rPr>
          <w:rStyle w:val="FootnoteReference"/>
          <w:rFonts w:asciiTheme="minorHAnsi" w:hAnsiTheme="minorHAnsi"/>
          <w:sz w:val="20"/>
        </w:rPr>
        <w:footnoteRef/>
      </w:r>
      <w:r w:rsidRPr="001C110E">
        <w:rPr>
          <w:rFonts w:asciiTheme="minorHAnsi" w:hAnsiTheme="minorHAnsi"/>
          <w:sz w:val="20"/>
        </w:rPr>
        <w:t xml:space="preserve"> CAISO has ten primary local capacity areas (i.e. transmission-constrained load pockets): Humboldt, North Coast North Bay, Sierra, Stockton, Greater Bay, Greater Fresno, Kern, LA Basin, Big Creek Ventura, </w:t>
      </w:r>
      <w:proofErr w:type="gramStart"/>
      <w:r w:rsidRPr="001C110E">
        <w:rPr>
          <w:rFonts w:asciiTheme="minorHAnsi" w:hAnsiTheme="minorHAnsi"/>
          <w:sz w:val="20"/>
        </w:rPr>
        <w:t>San</w:t>
      </w:r>
      <w:proofErr w:type="gramEnd"/>
      <w:r w:rsidRPr="001C110E">
        <w:rPr>
          <w:rFonts w:asciiTheme="minorHAnsi" w:hAnsiTheme="minorHAnsi"/>
          <w:sz w:val="20"/>
        </w:rPr>
        <w:t xml:space="preserve"> Diego Imperial Valley.</w:t>
      </w:r>
    </w:p>
  </w:footnote>
  <w:footnote w:id="6">
    <w:p w:rsidR="00D2349B" w:rsidRPr="00916BEF" w:rsidRDefault="00D2349B" w:rsidP="00F737E9">
      <w:pPr>
        <w:pStyle w:val="FootnoteText"/>
        <w:rPr>
          <w:rFonts w:asciiTheme="minorHAnsi" w:hAnsiTheme="minorHAnsi"/>
          <w:sz w:val="20"/>
        </w:rPr>
      </w:pPr>
      <w:r w:rsidRPr="00916BEF">
        <w:rPr>
          <w:rStyle w:val="FootnoteReference"/>
          <w:rFonts w:asciiTheme="minorHAnsi" w:hAnsiTheme="minorHAnsi"/>
          <w:sz w:val="20"/>
        </w:rPr>
        <w:footnoteRef/>
      </w:r>
      <w:r w:rsidRPr="00916BEF">
        <w:rPr>
          <w:rFonts w:asciiTheme="minorHAnsi" w:hAnsiTheme="minorHAnsi"/>
          <w:sz w:val="20"/>
        </w:rPr>
        <w:t xml:space="preserve"> LCT reports are available </w:t>
      </w:r>
      <w:hyperlink r:id="rId2" w:history="1">
        <w:r w:rsidRPr="00916BEF">
          <w:rPr>
            <w:rStyle w:val="Hyperlink"/>
            <w:rFonts w:asciiTheme="minorHAnsi" w:hAnsiTheme="minorHAnsi"/>
            <w:sz w:val="20"/>
          </w:rPr>
          <w:t>at</w:t>
        </w:r>
      </w:hyperlink>
      <w:r w:rsidRPr="00916BEF">
        <w:rPr>
          <w:rStyle w:val="Hyperlink"/>
          <w:rFonts w:asciiTheme="minorHAnsi" w:hAnsiTheme="minorHAnsi"/>
          <w:sz w:val="20"/>
        </w:rPr>
        <w:t>: www.caiso.com/informed/Pages/StakeholderProcesses/LocalCapacityRequirementsProcess.aspx</w:t>
      </w:r>
      <w:r w:rsidRPr="00916BEF">
        <w:rPr>
          <w:rFonts w:asciiTheme="minorHAnsi" w:hAnsiTheme="minorHAnsi"/>
          <w:sz w:val="20"/>
        </w:rPr>
        <w:t>.</w:t>
      </w:r>
    </w:p>
  </w:footnote>
  <w:footnote w:id="7">
    <w:p w:rsidR="00D2349B" w:rsidRPr="001C110E" w:rsidRDefault="00D2349B" w:rsidP="00AF0282">
      <w:pPr>
        <w:pStyle w:val="FootnoteText"/>
        <w:rPr>
          <w:rFonts w:asciiTheme="minorHAnsi" w:hAnsiTheme="minorHAnsi"/>
          <w:sz w:val="20"/>
        </w:rPr>
      </w:pPr>
      <w:r w:rsidRPr="001C110E">
        <w:rPr>
          <w:rStyle w:val="FootnoteReference"/>
          <w:rFonts w:asciiTheme="minorHAnsi" w:hAnsiTheme="minorHAnsi"/>
          <w:sz w:val="20"/>
        </w:rPr>
        <w:footnoteRef/>
      </w:r>
      <w:r w:rsidRPr="001C110E">
        <w:rPr>
          <w:rFonts w:asciiTheme="minorHAnsi" w:hAnsiTheme="minorHAnsi"/>
          <w:sz w:val="20"/>
        </w:rPr>
        <w:t xml:space="preserve"> Available at: </w:t>
      </w:r>
      <w:hyperlink r:id="rId3" w:history="1">
        <w:r w:rsidRPr="001C110E">
          <w:rPr>
            <w:rStyle w:val="Hyperlink"/>
            <w:rFonts w:asciiTheme="minorHAnsi" w:hAnsiTheme="minorHAnsi"/>
            <w:sz w:val="20"/>
          </w:rPr>
          <w:t>http://www.cpuc.ca.gov/</w:t>
        </w:r>
      </w:hyperlink>
      <w:r w:rsidRPr="001C110E">
        <w:rPr>
          <w:rStyle w:val="Hyperlink"/>
          <w:rFonts w:asciiTheme="minorHAnsi" w:hAnsiTheme="minorHAnsi"/>
          <w:sz w:val="20"/>
        </w:rPr>
        <w:t>irp/filingtemplates/.</w:t>
      </w:r>
    </w:p>
  </w:footnote>
  <w:footnote w:id="8">
    <w:p w:rsidR="00D2349B" w:rsidRPr="00916BEF" w:rsidRDefault="00D2349B">
      <w:pPr>
        <w:pStyle w:val="FootnoteText"/>
        <w:rPr>
          <w:rFonts w:asciiTheme="minorHAnsi" w:hAnsiTheme="minorHAnsi"/>
          <w:sz w:val="20"/>
        </w:rPr>
      </w:pPr>
      <w:r w:rsidRPr="00916BEF">
        <w:rPr>
          <w:rStyle w:val="FootnoteReference"/>
          <w:rFonts w:asciiTheme="minorHAnsi" w:hAnsiTheme="minorHAnsi"/>
          <w:sz w:val="20"/>
        </w:rPr>
        <w:footnoteRef/>
      </w:r>
      <w:r w:rsidRPr="00916BEF">
        <w:rPr>
          <w:rFonts w:asciiTheme="minorHAnsi" w:hAnsiTheme="minorHAnsi"/>
          <w:sz w:val="20"/>
        </w:rPr>
        <w:t xml:space="preserve"> </w:t>
      </w:r>
      <w:r w:rsidRPr="001C110E">
        <w:rPr>
          <w:rFonts w:asciiTheme="minorHAnsi" w:hAnsiTheme="minorHAnsi"/>
          <w:sz w:val="20"/>
        </w:rPr>
        <w:t xml:space="preserve">Available at: </w:t>
      </w:r>
      <w:hyperlink r:id="rId4" w:history="1">
        <w:r w:rsidRPr="001C110E">
          <w:rPr>
            <w:rStyle w:val="Hyperlink"/>
            <w:rFonts w:asciiTheme="minorHAnsi" w:hAnsiTheme="minorHAnsi"/>
            <w:sz w:val="20"/>
          </w:rPr>
          <w:t>http://www.cpuc.ca.gov/</w:t>
        </w:r>
      </w:hyperlink>
      <w:r w:rsidRPr="001C110E">
        <w:rPr>
          <w:rStyle w:val="Hyperlink"/>
          <w:rFonts w:asciiTheme="minorHAnsi" w:hAnsiTheme="minorHAnsi"/>
          <w:sz w:val="20"/>
        </w:rPr>
        <w:t>irp/filingtemplates/.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6659"/>
    <w:multiLevelType w:val="hybridMultilevel"/>
    <w:tmpl w:val="E326D714"/>
    <w:lvl w:ilvl="0" w:tplc="29BC793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37C58"/>
    <w:multiLevelType w:val="multilevel"/>
    <w:tmpl w:val="1D5CC8A0"/>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571FFC"/>
    <w:multiLevelType w:val="hybridMultilevel"/>
    <w:tmpl w:val="901619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30781B48"/>
    <w:multiLevelType w:val="hybridMultilevel"/>
    <w:tmpl w:val="A0D8E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541E4"/>
    <w:multiLevelType w:val="hybridMultilevel"/>
    <w:tmpl w:val="CFDCA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1772C"/>
    <w:multiLevelType w:val="hybridMultilevel"/>
    <w:tmpl w:val="47585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F597469"/>
    <w:multiLevelType w:val="hybridMultilevel"/>
    <w:tmpl w:val="6DA4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82"/>
    <w:rsid w:val="000B498F"/>
    <w:rsid w:val="000F58F4"/>
    <w:rsid w:val="0013179E"/>
    <w:rsid w:val="001C110E"/>
    <w:rsid w:val="001E0DB5"/>
    <w:rsid w:val="001F4769"/>
    <w:rsid w:val="001F71BA"/>
    <w:rsid w:val="00262EEF"/>
    <w:rsid w:val="00282C43"/>
    <w:rsid w:val="002F40C6"/>
    <w:rsid w:val="00304C8B"/>
    <w:rsid w:val="003173B9"/>
    <w:rsid w:val="003A395C"/>
    <w:rsid w:val="003B5AC3"/>
    <w:rsid w:val="003D2B50"/>
    <w:rsid w:val="00466A39"/>
    <w:rsid w:val="0047349C"/>
    <w:rsid w:val="004740FC"/>
    <w:rsid w:val="004758C8"/>
    <w:rsid w:val="004A1906"/>
    <w:rsid w:val="004B1665"/>
    <w:rsid w:val="004C02E4"/>
    <w:rsid w:val="00505180"/>
    <w:rsid w:val="005445DB"/>
    <w:rsid w:val="005D7CE2"/>
    <w:rsid w:val="006841C8"/>
    <w:rsid w:val="0069551D"/>
    <w:rsid w:val="00701A9B"/>
    <w:rsid w:val="00723A99"/>
    <w:rsid w:val="00732205"/>
    <w:rsid w:val="007330B8"/>
    <w:rsid w:val="0075255A"/>
    <w:rsid w:val="00762A52"/>
    <w:rsid w:val="007902C2"/>
    <w:rsid w:val="007C0056"/>
    <w:rsid w:val="007C0098"/>
    <w:rsid w:val="00853F2F"/>
    <w:rsid w:val="00864CF7"/>
    <w:rsid w:val="00887C82"/>
    <w:rsid w:val="008B0D7C"/>
    <w:rsid w:val="008B47F2"/>
    <w:rsid w:val="00916BEF"/>
    <w:rsid w:val="009267AB"/>
    <w:rsid w:val="00934D45"/>
    <w:rsid w:val="00944638"/>
    <w:rsid w:val="009810C2"/>
    <w:rsid w:val="009A3883"/>
    <w:rsid w:val="009F7CEE"/>
    <w:rsid w:val="00A67D1E"/>
    <w:rsid w:val="00AB4392"/>
    <w:rsid w:val="00AD46A7"/>
    <w:rsid w:val="00AE7986"/>
    <w:rsid w:val="00AF0282"/>
    <w:rsid w:val="00B0475D"/>
    <w:rsid w:val="00B0648B"/>
    <w:rsid w:val="00B22923"/>
    <w:rsid w:val="00BA32DA"/>
    <w:rsid w:val="00BB1684"/>
    <w:rsid w:val="00BB2FCB"/>
    <w:rsid w:val="00BF2A60"/>
    <w:rsid w:val="00C709B8"/>
    <w:rsid w:val="00C92D47"/>
    <w:rsid w:val="00CC5CC9"/>
    <w:rsid w:val="00CE3442"/>
    <w:rsid w:val="00D07857"/>
    <w:rsid w:val="00D2349B"/>
    <w:rsid w:val="00D334A3"/>
    <w:rsid w:val="00D55E27"/>
    <w:rsid w:val="00D605AE"/>
    <w:rsid w:val="00DD052F"/>
    <w:rsid w:val="00E2641A"/>
    <w:rsid w:val="00E71B35"/>
    <w:rsid w:val="00EF4554"/>
    <w:rsid w:val="00F737E9"/>
    <w:rsid w:val="00FB7D8F"/>
    <w:rsid w:val="00F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82"/>
    <w:pPr>
      <w:spacing w:after="0" w:line="240" w:lineRule="auto"/>
    </w:pPr>
    <w:rPr>
      <w:rFonts w:ascii="Palatino" w:eastAsia="Times New Roman" w:hAnsi="Palatino"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F0282"/>
    <w:pPr>
      <w:spacing w:after="120"/>
    </w:pPr>
    <w:rPr>
      <w:sz w:val="24"/>
    </w:rPr>
  </w:style>
  <w:style w:type="character" w:customStyle="1" w:styleId="FootnoteTextChar">
    <w:name w:val="Footnote Text Char"/>
    <w:basedOn w:val="DefaultParagraphFont"/>
    <w:link w:val="FootnoteText"/>
    <w:uiPriority w:val="99"/>
    <w:rsid w:val="00AF0282"/>
    <w:rPr>
      <w:rFonts w:ascii="Palatino" w:eastAsia="Times New Roman" w:hAnsi="Palatino" w:cs="Times New Roman"/>
      <w:sz w:val="24"/>
      <w:szCs w:val="20"/>
    </w:rPr>
  </w:style>
  <w:style w:type="character" w:styleId="FootnoteReference">
    <w:name w:val="footnote reference"/>
    <w:uiPriority w:val="99"/>
    <w:semiHidden/>
    <w:rsid w:val="00AF0282"/>
    <w:rPr>
      <w:sz w:val="24"/>
      <w:vertAlign w:val="superscript"/>
    </w:rPr>
  </w:style>
  <w:style w:type="character" w:styleId="Hyperlink">
    <w:name w:val="Hyperlink"/>
    <w:uiPriority w:val="99"/>
    <w:rsid w:val="00AF0282"/>
    <w:rPr>
      <w:color w:val="0000FF"/>
      <w:u w:val="single"/>
    </w:rPr>
  </w:style>
  <w:style w:type="table" w:customStyle="1" w:styleId="TableGrid1">
    <w:name w:val="Table Grid1"/>
    <w:basedOn w:val="TableNormal"/>
    <w:next w:val="TableGrid"/>
    <w:uiPriority w:val="59"/>
    <w:rsid w:val="00AF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F0282"/>
    <w:rPr>
      <w:sz w:val="16"/>
      <w:szCs w:val="16"/>
    </w:rPr>
  </w:style>
  <w:style w:type="paragraph" w:styleId="CommentText">
    <w:name w:val="annotation text"/>
    <w:basedOn w:val="Normal"/>
    <w:link w:val="CommentTextChar"/>
    <w:semiHidden/>
    <w:unhideWhenUsed/>
    <w:rsid w:val="00AF0282"/>
    <w:rPr>
      <w:sz w:val="20"/>
    </w:rPr>
  </w:style>
  <w:style w:type="character" w:customStyle="1" w:styleId="CommentTextChar">
    <w:name w:val="Comment Text Char"/>
    <w:basedOn w:val="DefaultParagraphFont"/>
    <w:link w:val="CommentText"/>
    <w:semiHidden/>
    <w:rsid w:val="00AF0282"/>
    <w:rPr>
      <w:rFonts w:ascii="Palatino" w:eastAsia="Times New Roman" w:hAnsi="Palatino" w:cs="Times New Roman"/>
      <w:sz w:val="20"/>
      <w:szCs w:val="20"/>
    </w:rPr>
  </w:style>
  <w:style w:type="table" w:styleId="TableGrid">
    <w:name w:val="Table Grid"/>
    <w:basedOn w:val="TableNormal"/>
    <w:rsid w:val="00AF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282"/>
    <w:rPr>
      <w:rFonts w:ascii="Tahoma" w:hAnsi="Tahoma" w:cs="Tahoma"/>
      <w:sz w:val="16"/>
      <w:szCs w:val="16"/>
    </w:rPr>
  </w:style>
  <w:style w:type="character" w:customStyle="1" w:styleId="BalloonTextChar">
    <w:name w:val="Balloon Text Char"/>
    <w:basedOn w:val="DefaultParagraphFont"/>
    <w:link w:val="BalloonText"/>
    <w:uiPriority w:val="99"/>
    <w:semiHidden/>
    <w:rsid w:val="00AF0282"/>
    <w:rPr>
      <w:rFonts w:ascii="Tahoma" w:eastAsia="Times New Roman" w:hAnsi="Tahoma" w:cs="Tahoma"/>
      <w:sz w:val="16"/>
      <w:szCs w:val="16"/>
    </w:rPr>
  </w:style>
  <w:style w:type="paragraph" w:styleId="Revision">
    <w:name w:val="Revision"/>
    <w:hidden/>
    <w:uiPriority w:val="99"/>
    <w:semiHidden/>
    <w:rsid w:val="00F737E9"/>
    <w:pPr>
      <w:spacing w:after="0" w:line="240" w:lineRule="auto"/>
    </w:pPr>
    <w:rPr>
      <w:rFonts w:ascii="Palatino" w:eastAsia="Times New Roman" w:hAnsi="Palatino" w:cs="Times New Roman"/>
      <w:sz w:val="26"/>
      <w:szCs w:val="20"/>
    </w:rPr>
  </w:style>
  <w:style w:type="character" w:customStyle="1" w:styleId="standardChar">
    <w:name w:val="standard Char"/>
    <w:link w:val="standard"/>
    <w:locked/>
    <w:rsid w:val="00F737E9"/>
    <w:rPr>
      <w:rFonts w:ascii="Palatino" w:hAnsi="Palatino" w:cs="Palatino"/>
      <w:sz w:val="26"/>
    </w:rPr>
  </w:style>
  <w:style w:type="paragraph" w:customStyle="1" w:styleId="standard">
    <w:name w:val="standard"/>
    <w:basedOn w:val="Normal"/>
    <w:link w:val="standardChar"/>
    <w:rsid w:val="00F737E9"/>
    <w:pPr>
      <w:spacing w:line="360" w:lineRule="auto"/>
      <w:ind w:firstLine="720"/>
    </w:pPr>
    <w:rPr>
      <w:rFonts w:eastAsiaTheme="minorHAnsi" w:cs="Palatino"/>
      <w:szCs w:val="22"/>
    </w:rPr>
  </w:style>
  <w:style w:type="paragraph" w:styleId="Header">
    <w:name w:val="header"/>
    <w:basedOn w:val="Normal"/>
    <w:link w:val="HeaderChar"/>
    <w:uiPriority w:val="99"/>
    <w:unhideWhenUsed/>
    <w:rsid w:val="007C0056"/>
    <w:pPr>
      <w:tabs>
        <w:tab w:val="center" w:pos="4680"/>
        <w:tab w:val="right" w:pos="9360"/>
      </w:tabs>
    </w:pPr>
  </w:style>
  <w:style w:type="character" w:customStyle="1" w:styleId="HeaderChar">
    <w:name w:val="Header Char"/>
    <w:basedOn w:val="DefaultParagraphFont"/>
    <w:link w:val="Header"/>
    <w:uiPriority w:val="99"/>
    <w:rsid w:val="007C0056"/>
    <w:rPr>
      <w:rFonts w:ascii="Palatino" w:eastAsia="Times New Roman" w:hAnsi="Palatino" w:cs="Times New Roman"/>
      <w:sz w:val="26"/>
      <w:szCs w:val="20"/>
    </w:rPr>
  </w:style>
  <w:style w:type="paragraph" w:styleId="Footer">
    <w:name w:val="footer"/>
    <w:basedOn w:val="Normal"/>
    <w:link w:val="FooterChar"/>
    <w:uiPriority w:val="99"/>
    <w:unhideWhenUsed/>
    <w:rsid w:val="007C0056"/>
    <w:pPr>
      <w:tabs>
        <w:tab w:val="center" w:pos="4680"/>
        <w:tab w:val="right" w:pos="9360"/>
      </w:tabs>
    </w:pPr>
  </w:style>
  <w:style w:type="character" w:customStyle="1" w:styleId="FooterChar">
    <w:name w:val="Footer Char"/>
    <w:basedOn w:val="DefaultParagraphFont"/>
    <w:link w:val="Footer"/>
    <w:uiPriority w:val="99"/>
    <w:rsid w:val="007C0056"/>
    <w:rPr>
      <w:rFonts w:ascii="Palatino" w:eastAsia="Times New Roman" w:hAnsi="Palatino" w:cs="Times New Roman"/>
      <w:sz w:val="26"/>
      <w:szCs w:val="20"/>
    </w:rPr>
  </w:style>
  <w:style w:type="paragraph" w:styleId="CommentSubject">
    <w:name w:val="annotation subject"/>
    <w:basedOn w:val="CommentText"/>
    <w:next w:val="CommentText"/>
    <w:link w:val="CommentSubjectChar"/>
    <w:uiPriority w:val="99"/>
    <w:semiHidden/>
    <w:unhideWhenUsed/>
    <w:rsid w:val="00762A52"/>
    <w:rPr>
      <w:b/>
      <w:bCs/>
    </w:rPr>
  </w:style>
  <w:style w:type="character" w:customStyle="1" w:styleId="CommentSubjectChar">
    <w:name w:val="Comment Subject Char"/>
    <w:basedOn w:val="CommentTextChar"/>
    <w:link w:val="CommentSubject"/>
    <w:uiPriority w:val="99"/>
    <w:semiHidden/>
    <w:rsid w:val="00762A52"/>
    <w:rPr>
      <w:rFonts w:ascii="Palatino" w:eastAsia="Times New Roman" w:hAnsi="Palatino"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82"/>
    <w:pPr>
      <w:spacing w:after="0" w:line="240" w:lineRule="auto"/>
    </w:pPr>
    <w:rPr>
      <w:rFonts w:ascii="Palatino" w:eastAsia="Times New Roman" w:hAnsi="Palatino"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F0282"/>
    <w:pPr>
      <w:spacing w:after="120"/>
    </w:pPr>
    <w:rPr>
      <w:sz w:val="24"/>
    </w:rPr>
  </w:style>
  <w:style w:type="character" w:customStyle="1" w:styleId="FootnoteTextChar">
    <w:name w:val="Footnote Text Char"/>
    <w:basedOn w:val="DefaultParagraphFont"/>
    <w:link w:val="FootnoteText"/>
    <w:uiPriority w:val="99"/>
    <w:rsid w:val="00AF0282"/>
    <w:rPr>
      <w:rFonts w:ascii="Palatino" w:eastAsia="Times New Roman" w:hAnsi="Palatino" w:cs="Times New Roman"/>
      <w:sz w:val="24"/>
      <w:szCs w:val="20"/>
    </w:rPr>
  </w:style>
  <w:style w:type="character" w:styleId="FootnoteReference">
    <w:name w:val="footnote reference"/>
    <w:uiPriority w:val="99"/>
    <w:semiHidden/>
    <w:rsid w:val="00AF0282"/>
    <w:rPr>
      <w:sz w:val="24"/>
      <w:vertAlign w:val="superscript"/>
    </w:rPr>
  </w:style>
  <w:style w:type="character" w:styleId="Hyperlink">
    <w:name w:val="Hyperlink"/>
    <w:uiPriority w:val="99"/>
    <w:rsid w:val="00AF0282"/>
    <w:rPr>
      <w:color w:val="0000FF"/>
      <w:u w:val="single"/>
    </w:rPr>
  </w:style>
  <w:style w:type="table" w:customStyle="1" w:styleId="TableGrid1">
    <w:name w:val="Table Grid1"/>
    <w:basedOn w:val="TableNormal"/>
    <w:next w:val="TableGrid"/>
    <w:uiPriority w:val="59"/>
    <w:rsid w:val="00AF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F0282"/>
    <w:rPr>
      <w:sz w:val="16"/>
      <w:szCs w:val="16"/>
    </w:rPr>
  </w:style>
  <w:style w:type="paragraph" w:styleId="CommentText">
    <w:name w:val="annotation text"/>
    <w:basedOn w:val="Normal"/>
    <w:link w:val="CommentTextChar"/>
    <w:semiHidden/>
    <w:unhideWhenUsed/>
    <w:rsid w:val="00AF0282"/>
    <w:rPr>
      <w:sz w:val="20"/>
    </w:rPr>
  </w:style>
  <w:style w:type="character" w:customStyle="1" w:styleId="CommentTextChar">
    <w:name w:val="Comment Text Char"/>
    <w:basedOn w:val="DefaultParagraphFont"/>
    <w:link w:val="CommentText"/>
    <w:semiHidden/>
    <w:rsid w:val="00AF0282"/>
    <w:rPr>
      <w:rFonts w:ascii="Palatino" w:eastAsia="Times New Roman" w:hAnsi="Palatino" w:cs="Times New Roman"/>
      <w:sz w:val="20"/>
      <w:szCs w:val="20"/>
    </w:rPr>
  </w:style>
  <w:style w:type="table" w:styleId="TableGrid">
    <w:name w:val="Table Grid"/>
    <w:basedOn w:val="TableNormal"/>
    <w:rsid w:val="00AF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282"/>
    <w:rPr>
      <w:rFonts w:ascii="Tahoma" w:hAnsi="Tahoma" w:cs="Tahoma"/>
      <w:sz w:val="16"/>
      <w:szCs w:val="16"/>
    </w:rPr>
  </w:style>
  <w:style w:type="character" w:customStyle="1" w:styleId="BalloonTextChar">
    <w:name w:val="Balloon Text Char"/>
    <w:basedOn w:val="DefaultParagraphFont"/>
    <w:link w:val="BalloonText"/>
    <w:uiPriority w:val="99"/>
    <w:semiHidden/>
    <w:rsid w:val="00AF0282"/>
    <w:rPr>
      <w:rFonts w:ascii="Tahoma" w:eastAsia="Times New Roman" w:hAnsi="Tahoma" w:cs="Tahoma"/>
      <w:sz w:val="16"/>
      <w:szCs w:val="16"/>
    </w:rPr>
  </w:style>
  <w:style w:type="paragraph" w:styleId="Revision">
    <w:name w:val="Revision"/>
    <w:hidden/>
    <w:uiPriority w:val="99"/>
    <w:semiHidden/>
    <w:rsid w:val="00F737E9"/>
    <w:pPr>
      <w:spacing w:after="0" w:line="240" w:lineRule="auto"/>
    </w:pPr>
    <w:rPr>
      <w:rFonts w:ascii="Palatino" w:eastAsia="Times New Roman" w:hAnsi="Palatino" w:cs="Times New Roman"/>
      <w:sz w:val="26"/>
      <w:szCs w:val="20"/>
    </w:rPr>
  </w:style>
  <w:style w:type="character" w:customStyle="1" w:styleId="standardChar">
    <w:name w:val="standard Char"/>
    <w:link w:val="standard"/>
    <w:locked/>
    <w:rsid w:val="00F737E9"/>
    <w:rPr>
      <w:rFonts w:ascii="Palatino" w:hAnsi="Palatino" w:cs="Palatino"/>
      <w:sz w:val="26"/>
    </w:rPr>
  </w:style>
  <w:style w:type="paragraph" w:customStyle="1" w:styleId="standard">
    <w:name w:val="standard"/>
    <w:basedOn w:val="Normal"/>
    <w:link w:val="standardChar"/>
    <w:rsid w:val="00F737E9"/>
    <w:pPr>
      <w:spacing w:line="360" w:lineRule="auto"/>
      <w:ind w:firstLine="720"/>
    </w:pPr>
    <w:rPr>
      <w:rFonts w:eastAsiaTheme="minorHAnsi" w:cs="Palatino"/>
      <w:szCs w:val="22"/>
    </w:rPr>
  </w:style>
  <w:style w:type="paragraph" w:styleId="Header">
    <w:name w:val="header"/>
    <w:basedOn w:val="Normal"/>
    <w:link w:val="HeaderChar"/>
    <w:uiPriority w:val="99"/>
    <w:unhideWhenUsed/>
    <w:rsid w:val="007C0056"/>
    <w:pPr>
      <w:tabs>
        <w:tab w:val="center" w:pos="4680"/>
        <w:tab w:val="right" w:pos="9360"/>
      </w:tabs>
    </w:pPr>
  </w:style>
  <w:style w:type="character" w:customStyle="1" w:styleId="HeaderChar">
    <w:name w:val="Header Char"/>
    <w:basedOn w:val="DefaultParagraphFont"/>
    <w:link w:val="Header"/>
    <w:uiPriority w:val="99"/>
    <w:rsid w:val="007C0056"/>
    <w:rPr>
      <w:rFonts w:ascii="Palatino" w:eastAsia="Times New Roman" w:hAnsi="Palatino" w:cs="Times New Roman"/>
      <w:sz w:val="26"/>
      <w:szCs w:val="20"/>
    </w:rPr>
  </w:style>
  <w:style w:type="paragraph" w:styleId="Footer">
    <w:name w:val="footer"/>
    <w:basedOn w:val="Normal"/>
    <w:link w:val="FooterChar"/>
    <w:uiPriority w:val="99"/>
    <w:unhideWhenUsed/>
    <w:rsid w:val="007C0056"/>
    <w:pPr>
      <w:tabs>
        <w:tab w:val="center" w:pos="4680"/>
        <w:tab w:val="right" w:pos="9360"/>
      </w:tabs>
    </w:pPr>
  </w:style>
  <w:style w:type="character" w:customStyle="1" w:styleId="FooterChar">
    <w:name w:val="Footer Char"/>
    <w:basedOn w:val="DefaultParagraphFont"/>
    <w:link w:val="Footer"/>
    <w:uiPriority w:val="99"/>
    <w:rsid w:val="007C0056"/>
    <w:rPr>
      <w:rFonts w:ascii="Palatino" w:eastAsia="Times New Roman" w:hAnsi="Palatino" w:cs="Times New Roman"/>
      <w:sz w:val="26"/>
      <w:szCs w:val="20"/>
    </w:rPr>
  </w:style>
  <w:style w:type="paragraph" w:styleId="CommentSubject">
    <w:name w:val="annotation subject"/>
    <w:basedOn w:val="CommentText"/>
    <w:next w:val="CommentText"/>
    <w:link w:val="CommentSubjectChar"/>
    <w:uiPriority w:val="99"/>
    <w:semiHidden/>
    <w:unhideWhenUsed/>
    <w:rsid w:val="00762A52"/>
    <w:rPr>
      <w:b/>
      <w:bCs/>
    </w:rPr>
  </w:style>
  <w:style w:type="character" w:customStyle="1" w:styleId="CommentSubjectChar">
    <w:name w:val="Comment Subject Char"/>
    <w:basedOn w:val="CommentTextChar"/>
    <w:link w:val="CommentSubject"/>
    <w:uiPriority w:val="99"/>
    <w:semiHidden/>
    <w:rsid w:val="00762A52"/>
    <w:rPr>
      <w:rFonts w:ascii="Palatino" w:eastAsia="Times New Roman" w:hAnsi="Palatino"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puc.ca.gov/" TargetMode="External"/><Relationship Id="rId2" Type="http://schemas.openxmlformats.org/officeDocument/2006/relationships/hyperlink" Target="http://www.caiso.com/informed/Pages/StakeholderProcesses/LocalCapacityRequirementsProcess.aspx" TargetMode="External"/><Relationship Id="rId1" Type="http://schemas.openxmlformats.org/officeDocument/2006/relationships/hyperlink" Target="http://www.energy.ca.gov/assessments/ng_burner_tip.html" TargetMode="External"/><Relationship Id="rId4" Type="http://schemas.openxmlformats.org/officeDocument/2006/relationships/hyperlink" Target="http://www.cpu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D3A50-306F-4FC6-B9E1-E9D967A5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4803</Words>
  <Characters>27380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Ortego, Jason</dc:creator>
  <cp:lastModifiedBy>Ortego, Jason</cp:lastModifiedBy>
  <cp:revision>3</cp:revision>
  <dcterms:created xsi:type="dcterms:W3CDTF">2018-05-24T22:58:00Z</dcterms:created>
  <dcterms:modified xsi:type="dcterms:W3CDTF">2018-05-24T22:58:00Z</dcterms:modified>
</cp:coreProperties>
</file>