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11358" w14:textId="77777777" w:rsidR="00C53A44" w:rsidRPr="00CF6E0F" w:rsidRDefault="00C53A44" w:rsidP="00C53A44">
      <w:pPr>
        <w:pStyle w:val="Title"/>
        <w:jc w:val="center"/>
        <w:rPr>
          <w:rFonts w:ascii="Palatino Linotype" w:hAnsi="Palatino Linotype"/>
          <w:b/>
          <w:bCs/>
          <w:spacing w:val="0"/>
          <w:sz w:val="28"/>
          <w:szCs w:val="28"/>
        </w:rPr>
      </w:pPr>
      <w:r w:rsidRPr="00CF6E0F">
        <w:rPr>
          <w:rFonts w:ascii="Palatino Linotype" w:hAnsi="Palatino Linotype"/>
          <w:b/>
          <w:bCs/>
          <w:spacing w:val="0"/>
          <w:sz w:val="28"/>
          <w:szCs w:val="28"/>
        </w:rPr>
        <w:t>INSTRUCTIONS FOR CD REGISTRATION FORM</w:t>
      </w:r>
    </w:p>
    <w:p w14:paraId="53CF31A3" w14:textId="294A61FE" w:rsidR="00B34B7C" w:rsidRPr="007B1981" w:rsidRDefault="00B34B7C" w:rsidP="007B1981">
      <w:pPr>
        <w:pStyle w:val="ListParagraph"/>
        <w:numPr>
          <w:ilvl w:val="0"/>
          <w:numId w:val="2"/>
        </w:numPr>
        <w:tabs>
          <w:tab w:val="left" w:pos="719"/>
        </w:tabs>
        <w:spacing w:before="296" w:after="240"/>
        <w:ind w:left="360"/>
        <w:contextualSpacing w:val="0"/>
        <w:jc w:val="both"/>
        <w:rPr>
          <w:sz w:val="24"/>
          <w:szCs w:val="24"/>
        </w:rPr>
      </w:pPr>
      <w:r w:rsidRPr="00CF6E0F">
        <w:rPr>
          <w:sz w:val="24"/>
          <w:szCs w:val="24"/>
        </w:rPr>
        <w:t xml:space="preserve">READ </w:t>
      </w:r>
      <w:r w:rsidR="00367B96">
        <w:rPr>
          <w:sz w:val="24"/>
          <w:szCs w:val="24"/>
        </w:rPr>
        <w:t xml:space="preserve">THESE </w:t>
      </w:r>
      <w:r w:rsidRPr="00CF6E0F">
        <w:rPr>
          <w:sz w:val="24"/>
          <w:szCs w:val="24"/>
        </w:rPr>
        <w:t xml:space="preserve">INSTRUCTIONS BEFORE COMPLETING AND/OR SUBMITTING </w:t>
      </w:r>
      <w:r w:rsidR="007B1981">
        <w:rPr>
          <w:sz w:val="24"/>
          <w:szCs w:val="24"/>
        </w:rPr>
        <w:t xml:space="preserve">THE CD REGISTRATION PACKAGE </w:t>
      </w:r>
      <w:r w:rsidRPr="00CF6E0F">
        <w:rPr>
          <w:sz w:val="24"/>
          <w:szCs w:val="24"/>
        </w:rPr>
        <w:t xml:space="preserve">TO </w:t>
      </w:r>
      <w:r w:rsidR="00367B96">
        <w:rPr>
          <w:sz w:val="24"/>
          <w:szCs w:val="24"/>
        </w:rPr>
        <w:t xml:space="preserve">THE </w:t>
      </w:r>
      <w:r w:rsidRPr="00CF6E0F">
        <w:rPr>
          <w:sz w:val="24"/>
          <w:szCs w:val="24"/>
        </w:rPr>
        <w:t xml:space="preserve">CPUC COMMUNICATIONS DIVISON </w:t>
      </w:r>
      <w:r w:rsidR="007B1981">
        <w:rPr>
          <w:sz w:val="24"/>
          <w:szCs w:val="24"/>
        </w:rPr>
        <w:t xml:space="preserve">VIA EMAIL TO </w:t>
      </w:r>
      <w:hyperlink r:id="rId7" w:history="1">
        <w:r w:rsidRPr="007B1981">
          <w:rPr>
            <w:rStyle w:val="Hyperlink"/>
            <w:sz w:val="24"/>
            <w:szCs w:val="24"/>
          </w:rPr>
          <w:t>CDCOMPLIANCE@CPUC.CA.GOV</w:t>
        </w:r>
      </w:hyperlink>
      <w:r w:rsidRPr="007B1981">
        <w:rPr>
          <w:sz w:val="24"/>
          <w:szCs w:val="24"/>
        </w:rPr>
        <w:t>.</w:t>
      </w:r>
      <w:r w:rsidR="007B1981" w:rsidRPr="007B1981">
        <w:rPr>
          <w:sz w:val="24"/>
          <w:szCs w:val="24"/>
        </w:rPr>
        <w:t xml:space="preserve"> CD REGISTRATION FEE PAYMENT IS SENT TO </w:t>
      </w:r>
      <w:r w:rsidR="00367B96">
        <w:rPr>
          <w:sz w:val="24"/>
          <w:szCs w:val="24"/>
        </w:rPr>
        <w:t xml:space="preserve">THE </w:t>
      </w:r>
      <w:r w:rsidR="007B1981" w:rsidRPr="007B1981">
        <w:rPr>
          <w:sz w:val="24"/>
          <w:szCs w:val="24"/>
        </w:rPr>
        <w:t xml:space="preserve">CPUC FISCAL OFFICE. </w:t>
      </w:r>
    </w:p>
    <w:p w14:paraId="44E1821D" w14:textId="04D9E247" w:rsidR="00B34B7C" w:rsidRPr="00CF6E0F" w:rsidRDefault="00B34B7C" w:rsidP="00CF6E0F">
      <w:pPr>
        <w:pStyle w:val="ListParagraph"/>
        <w:numPr>
          <w:ilvl w:val="0"/>
          <w:numId w:val="2"/>
        </w:numPr>
        <w:tabs>
          <w:tab w:val="left" w:pos="360"/>
        </w:tabs>
        <w:spacing w:before="241"/>
        <w:ind w:left="360"/>
        <w:contextualSpacing w:val="0"/>
        <w:jc w:val="both"/>
        <w:rPr>
          <w:sz w:val="24"/>
          <w:szCs w:val="24"/>
        </w:rPr>
      </w:pPr>
      <w:r w:rsidRPr="00CF6E0F">
        <w:rPr>
          <w:sz w:val="24"/>
          <w:szCs w:val="24"/>
        </w:rPr>
        <w:t xml:space="preserve">Complete the </w:t>
      </w:r>
      <w:r w:rsidR="002A2AEF" w:rsidRPr="00CF6E0F">
        <w:rPr>
          <w:sz w:val="24"/>
          <w:szCs w:val="24"/>
        </w:rPr>
        <w:t>CD</w:t>
      </w:r>
      <w:r w:rsidRPr="00CF6E0F">
        <w:rPr>
          <w:sz w:val="24"/>
          <w:szCs w:val="24"/>
        </w:rPr>
        <w:t xml:space="preserve"> Registration Form and save as a PDF/A compliant document. Do not leave fields blank. If no response, mark “Not Applicable” or “N/A.”</w:t>
      </w:r>
    </w:p>
    <w:p w14:paraId="0F607855" w14:textId="259E2564" w:rsidR="00C53A44" w:rsidRPr="00CF6E0F" w:rsidRDefault="00C53A44" w:rsidP="00CF6E0F">
      <w:pPr>
        <w:pStyle w:val="ListParagraph"/>
        <w:numPr>
          <w:ilvl w:val="1"/>
          <w:numId w:val="2"/>
        </w:numPr>
        <w:tabs>
          <w:tab w:val="left" w:pos="360"/>
        </w:tabs>
        <w:spacing w:before="241"/>
        <w:ind w:left="812"/>
        <w:contextualSpacing w:val="0"/>
        <w:jc w:val="both"/>
        <w:rPr>
          <w:sz w:val="24"/>
          <w:szCs w:val="24"/>
        </w:rPr>
      </w:pPr>
      <w:r w:rsidRPr="00CF6E0F">
        <w:rPr>
          <w:sz w:val="24"/>
          <w:szCs w:val="24"/>
        </w:rPr>
        <w:t xml:space="preserve">In Section 1 of the form, the Applicant must select </w:t>
      </w:r>
      <w:r w:rsidR="002A2AEF" w:rsidRPr="00CF6E0F">
        <w:rPr>
          <w:sz w:val="24"/>
          <w:szCs w:val="24"/>
        </w:rPr>
        <w:t>ONLY ONE</w:t>
      </w:r>
      <w:r w:rsidRPr="00CF6E0F">
        <w:rPr>
          <w:sz w:val="24"/>
          <w:szCs w:val="24"/>
        </w:rPr>
        <w:t xml:space="preserve"> type of</w:t>
      </w:r>
      <w:r w:rsidR="00B34B7C" w:rsidRPr="00CF6E0F">
        <w:rPr>
          <w:sz w:val="24"/>
          <w:szCs w:val="24"/>
        </w:rPr>
        <w:t xml:space="preserve"> </w:t>
      </w:r>
      <w:r w:rsidR="002A2AEF" w:rsidRPr="00CF6E0F">
        <w:rPr>
          <w:sz w:val="24"/>
          <w:szCs w:val="24"/>
        </w:rPr>
        <w:t>r</w:t>
      </w:r>
      <w:r w:rsidRPr="00CF6E0F">
        <w:rPr>
          <w:sz w:val="24"/>
          <w:szCs w:val="24"/>
        </w:rPr>
        <w:t>egistration</w:t>
      </w:r>
      <w:r w:rsidR="002A2AEF" w:rsidRPr="00CF6E0F">
        <w:rPr>
          <w:sz w:val="24"/>
          <w:szCs w:val="24"/>
        </w:rPr>
        <w:t xml:space="preserve"> per form</w:t>
      </w:r>
      <w:r w:rsidRPr="00CF6E0F">
        <w:rPr>
          <w:sz w:val="24"/>
          <w:szCs w:val="24"/>
        </w:rPr>
        <w:t>: Nomadic Registration pursuant to D.24-11-003</w:t>
      </w:r>
      <w:r w:rsidR="00A5382C" w:rsidRPr="00CF6E0F">
        <w:rPr>
          <w:sz w:val="24"/>
          <w:szCs w:val="24"/>
        </w:rPr>
        <w:t xml:space="preserve"> </w:t>
      </w:r>
      <w:r w:rsidR="00A420B4">
        <w:rPr>
          <w:sz w:val="24"/>
          <w:szCs w:val="24"/>
        </w:rPr>
        <w:t>OR</w:t>
      </w:r>
      <w:r w:rsidR="002A2AEF" w:rsidRPr="00CF6E0F">
        <w:rPr>
          <w:sz w:val="24"/>
          <w:szCs w:val="24"/>
        </w:rPr>
        <w:t xml:space="preserve"> </w:t>
      </w:r>
      <w:r w:rsidRPr="00CF6E0F">
        <w:rPr>
          <w:sz w:val="24"/>
          <w:szCs w:val="24"/>
        </w:rPr>
        <w:t>Wireless ID Registration pursuant to D.94-10-031</w:t>
      </w:r>
      <w:r w:rsidR="002A2AEF" w:rsidRPr="00CF6E0F">
        <w:rPr>
          <w:sz w:val="24"/>
          <w:szCs w:val="24"/>
        </w:rPr>
        <w:t>.</w:t>
      </w:r>
    </w:p>
    <w:p w14:paraId="0C198B81" w14:textId="4EE00782" w:rsidR="00B34B7C" w:rsidRPr="00CF6E0F" w:rsidRDefault="00B34B7C" w:rsidP="00CF6E0F">
      <w:pPr>
        <w:pStyle w:val="ListParagraph"/>
        <w:numPr>
          <w:ilvl w:val="1"/>
          <w:numId w:val="2"/>
        </w:numPr>
        <w:tabs>
          <w:tab w:val="left" w:pos="360"/>
        </w:tabs>
        <w:spacing w:before="241"/>
        <w:ind w:left="812"/>
        <w:contextualSpacing w:val="0"/>
        <w:jc w:val="both"/>
        <w:rPr>
          <w:sz w:val="24"/>
          <w:szCs w:val="24"/>
        </w:rPr>
      </w:pPr>
      <w:r w:rsidRPr="00CF6E0F">
        <w:rPr>
          <w:sz w:val="24"/>
          <w:szCs w:val="24"/>
        </w:rPr>
        <w:t xml:space="preserve">In Section 2 of the form, the Applicant must enter its complete legal name exactly as it appears on its articles or certificate of incorporation or similar charter document. The Applicant must also include its business address, telephone number and email address. </w:t>
      </w:r>
    </w:p>
    <w:p w14:paraId="4B098EFB" w14:textId="506287FE" w:rsidR="00B34B7C" w:rsidRPr="00CF6E0F" w:rsidRDefault="00B34B7C" w:rsidP="00CF6E0F">
      <w:pPr>
        <w:pStyle w:val="ListParagraph"/>
        <w:numPr>
          <w:ilvl w:val="0"/>
          <w:numId w:val="5"/>
        </w:numPr>
        <w:tabs>
          <w:tab w:val="left" w:pos="360"/>
        </w:tabs>
        <w:spacing w:before="161"/>
        <w:ind w:left="1081"/>
        <w:contextualSpacing w:val="0"/>
        <w:jc w:val="both"/>
        <w:rPr>
          <w:sz w:val="24"/>
          <w:szCs w:val="24"/>
        </w:rPr>
      </w:pPr>
      <w:r w:rsidRPr="00CF6E0F">
        <w:rPr>
          <w:sz w:val="24"/>
          <w:szCs w:val="24"/>
        </w:rPr>
        <w:t>In Section 2.a. of the form, the Applicant may enter its principal place of business if it is different from the business address provided above. If the principal place of business is the same as above, please enter “Same as Above.” Do not leave it blank.</w:t>
      </w:r>
    </w:p>
    <w:p w14:paraId="48BF1916" w14:textId="1E5ED634" w:rsidR="00B34B7C" w:rsidRPr="00CF6E0F" w:rsidRDefault="00B34B7C" w:rsidP="00CF6E0F">
      <w:pPr>
        <w:pStyle w:val="ListParagraph"/>
        <w:numPr>
          <w:ilvl w:val="0"/>
          <w:numId w:val="5"/>
        </w:numPr>
        <w:tabs>
          <w:tab w:val="left" w:pos="360"/>
        </w:tabs>
        <w:spacing w:before="161"/>
        <w:ind w:left="1081"/>
        <w:contextualSpacing w:val="0"/>
        <w:jc w:val="both"/>
        <w:rPr>
          <w:sz w:val="24"/>
          <w:szCs w:val="24"/>
        </w:rPr>
      </w:pPr>
      <w:r w:rsidRPr="00CF6E0F">
        <w:rPr>
          <w:sz w:val="24"/>
          <w:szCs w:val="24"/>
        </w:rPr>
        <w:t>In Section 2.b. of the form, the Applicant must list all fictitious business names under which it has done business in the last five years. If the Applicant does not have any fictitious business names or “doing business as” (DBA) names, please enter “Not Applicable.” Do not leave it blank.</w:t>
      </w:r>
    </w:p>
    <w:p w14:paraId="66323C07" w14:textId="14D7AAE0" w:rsidR="00B34B7C" w:rsidRPr="00CF6E0F" w:rsidRDefault="00B34B7C" w:rsidP="00CF6E0F">
      <w:pPr>
        <w:pStyle w:val="ListParagraph"/>
        <w:numPr>
          <w:ilvl w:val="0"/>
          <w:numId w:val="5"/>
        </w:numPr>
        <w:tabs>
          <w:tab w:val="left" w:pos="360"/>
        </w:tabs>
        <w:spacing w:before="161"/>
        <w:ind w:left="1081"/>
        <w:contextualSpacing w:val="0"/>
        <w:jc w:val="both"/>
        <w:rPr>
          <w:sz w:val="24"/>
          <w:szCs w:val="24"/>
        </w:rPr>
      </w:pPr>
      <w:r w:rsidRPr="00CF6E0F">
        <w:rPr>
          <w:sz w:val="24"/>
          <w:szCs w:val="24"/>
        </w:rPr>
        <w:t xml:space="preserve">In Section 2.c. of the form, select only one type of organization and </w:t>
      </w:r>
      <w:proofErr w:type="gramStart"/>
      <w:r w:rsidRPr="00CF6E0F">
        <w:rPr>
          <w:sz w:val="24"/>
          <w:szCs w:val="24"/>
        </w:rPr>
        <w:t>attach Appendix</w:t>
      </w:r>
      <w:proofErr w:type="gramEnd"/>
      <w:r w:rsidRPr="00CF6E0F">
        <w:rPr>
          <w:sz w:val="24"/>
          <w:szCs w:val="24"/>
        </w:rPr>
        <w:t xml:space="preserve"> A to the completed application form and provide: (1) a copy of the entity’s organizing documents; and (2) a copy of its Certificate of Good Standing Status certified by the California Secretary of State and/or additional evidence of the Applicant’s qualification to transact business in California.</w:t>
      </w:r>
      <w:r w:rsidR="000E7F1D" w:rsidRPr="00CF6E0F">
        <w:rPr>
          <w:sz w:val="24"/>
          <w:szCs w:val="24"/>
        </w:rPr>
        <w:t xml:space="preserve"> If current documentation has previously been filed with the Commission, the application needs only to make specific reference to such filing. </w:t>
      </w:r>
      <w:r w:rsidRPr="00CF6E0F">
        <w:rPr>
          <w:sz w:val="24"/>
          <w:szCs w:val="24"/>
        </w:rPr>
        <w:t>A Certificate of Good Standing is available from the office of the California Secretary of State and should be dated not more than 60 days prior to the date of filing the application.</w:t>
      </w:r>
    </w:p>
    <w:p w14:paraId="3035CCFC" w14:textId="3F0D382F" w:rsidR="00B34B7C" w:rsidRPr="00CF6E0F" w:rsidRDefault="00B34B7C" w:rsidP="00CF6E0F">
      <w:pPr>
        <w:pStyle w:val="ListParagraph"/>
        <w:numPr>
          <w:ilvl w:val="0"/>
          <w:numId w:val="5"/>
        </w:numPr>
        <w:tabs>
          <w:tab w:val="left" w:pos="360"/>
        </w:tabs>
        <w:spacing w:before="161"/>
        <w:ind w:left="1081"/>
        <w:contextualSpacing w:val="0"/>
        <w:jc w:val="both"/>
        <w:rPr>
          <w:sz w:val="24"/>
          <w:szCs w:val="24"/>
        </w:rPr>
      </w:pPr>
      <w:r w:rsidRPr="00CF6E0F">
        <w:rPr>
          <w:sz w:val="24"/>
          <w:szCs w:val="24"/>
        </w:rPr>
        <w:t xml:space="preserve">In Section 2.d. of the form, enter the Applicant’s Federal Communications Commission (FCC) Registration Number (FRN). The FRN </w:t>
      </w:r>
      <w:r w:rsidR="00A56F9C">
        <w:rPr>
          <w:sz w:val="24"/>
          <w:szCs w:val="24"/>
        </w:rPr>
        <w:t xml:space="preserve">must be provided if the Applicant </w:t>
      </w:r>
      <w:r w:rsidRPr="00CF6E0F">
        <w:rPr>
          <w:sz w:val="24"/>
          <w:szCs w:val="24"/>
        </w:rPr>
        <w:t xml:space="preserve">is required </w:t>
      </w:r>
      <w:r w:rsidR="00A56F9C">
        <w:rPr>
          <w:sz w:val="24"/>
          <w:szCs w:val="24"/>
        </w:rPr>
        <w:t xml:space="preserve">to register with the </w:t>
      </w:r>
      <w:r w:rsidRPr="00CF6E0F">
        <w:rPr>
          <w:sz w:val="24"/>
          <w:szCs w:val="24"/>
        </w:rPr>
        <w:t xml:space="preserve">FCC. </w:t>
      </w:r>
    </w:p>
    <w:p w14:paraId="1B059D5E" w14:textId="79ED144D" w:rsidR="00B34B7C" w:rsidRPr="00CF6E0F" w:rsidRDefault="00B34B7C" w:rsidP="00CF6E0F">
      <w:pPr>
        <w:pStyle w:val="ListParagraph"/>
        <w:numPr>
          <w:ilvl w:val="0"/>
          <w:numId w:val="5"/>
        </w:numPr>
        <w:tabs>
          <w:tab w:val="left" w:pos="360"/>
        </w:tabs>
        <w:spacing w:before="161"/>
        <w:ind w:left="1081"/>
        <w:contextualSpacing w:val="0"/>
        <w:jc w:val="both"/>
        <w:rPr>
          <w:sz w:val="24"/>
          <w:szCs w:val="24"/>
        </w:rPr>
      </w:pPr>
      <w:r w:rsidRPr="00CF6E0F">
        <w:rPr>
          <w:sz w:val="24"/>
          <w:szCs w:val="24"/>
        </w:rPr>
        <w:t xml:space="preserve">In Section 2.e. of the form, enter the applicant’s active California Secretary of State (CSOS) Entity Number. This CSOS Entity no. is required if the Applicant is doing </w:t>
      </w:r>
      <w:r w:rsidRPr="00CF6E0F">
        <w:rPr>
          <w:sz w:val="24"/>
          <w:szCs w:val="24"/>
        </w:rPr>
        <w:lastRenderedPageBreak/>
        <w:t>business in the State of California.</w:t>
      </w:r>
    </w:p>
    <w:p w14:paraId="4172CD01" w14:textId="42E46E3D" w:rsidR="00B34B7C" w:rsidRPr="00CF6E0F" w:rsidRDefault="00B34B7C" w:rsidP="00CF6E0F">
      <w:pPr>
        <w:pStyle w:val="ListParagraph"/>
        <w:numPr>
          <w:ilvl w:val="0"/>
          <w:numId w:val="5"/>
        </w:numPr>
        <w:tabs>
          <w:tab w:val="left" w:pos="360"/>
        </w:tabs>
        <w:spacing w:before="161"/>
        <w:ind w:left="1081"/>
        <w:contextualSpacing w:val="0"/>
        <w:jc w:val="both"/>
        <w:rPr>
          <w:sz w:val="24"/>
          <w:szCs w:val="24"/>
        </w:rPr>
      </w:pPr>
      <w:r w:rsidRPr="00CF6E0F">
        <w:rPr>
          <w:sz w:val="24"/>
          <w:szCs w:val="24"/>
        </w:rPr>
        <w:t>In Section 2.f. of the form, the Applicant must select one of the options provided to identify if it has a foreign ownership interest. If option selected is “Yes,” identify and list the foreign entity interest.</w:t>
      </w:r>
    </w:p>
    <w:p w14:paraId="07F698BE" w14:textId="3CA36060" w:rsidR="00C53A44" w:rsidRPr="00CF6E0F" w:rsidRDefault="00C53A44" w:rsidP="00CF6E0F">
      <w:pPr>
        <w:pStyle w:val="ListParagraph"/>
        <w:numPr>
          <w:ilvl w:val="1"/>
          <w:numId w:val="2"/>
        </w:numPr>
        <w:tabs>
          <w:tab w:val="left" w:pos="360"/>
        </w:tabs>
        <w:spacing w:before="241"/>
        <w:ind w:left="812"/>
        <w:contextualSpacing w:val="0"/>
        <w:jc w:val="both"/>
        <w:rPr>
          <w:sz w:val="24"/>
          <w:szCs w:val="24"/>
        </w:rPr>
      </w:pPr>
      <w:r w:rsidRPr="00CF6E0F">
        <w:rPr>
          <w:sz w:val="24"/>
          <w:szCs w:val="24"/>
        </w:rPr>
        <w:t>In Section 3 of the form, provide the</w:t>
      </w:r>
      <w:r w:rsidR="002A2AEF" w:rsidRPr="00CF6E0F">
        <w:rPr>
          <w:sz w:val="24"/>
          <w:szCs w:val="24"/>
        </w:rPr>
        <w:t xml:space="preserve"> </w:t>
      </w:r>
      <w:r w:rsidRPr="00CF6E0F">
        <w:rPr>
          <w:sz w:val="24"/>
          <w:szCs w:val="24"/>
        </w:rPr>
        <w:t>name, mailing address, and telephone number of Applicant’s registered agent for service of process.</w:t>
      </w:r>
    </w:p>
    <w:p w14:paraId="23FECB4F" w14:textId="77777777" w:rsidR="00A5382C" w:rsidRPr="00CF6E0F" w:rsidRDefault="00C53A44" w:rsidP="00CF6E0F">
      <w:pPr>
        <w:pStyle w:val="ListParagraph"/>
        <w:numPr>
          <w:ilvl w:val="1"/>
          <w:numId w:val="2"/>
        </w:numPr>
        <w:tabs>
          <w:tab w:val="left" w:pos="360"/>
        </w:tabs>
        <w:spacing w:before="241"/>
        <w:ind w:left="812"/>
        <w:contextualSpacing w:val="0"/>
        <w:jc w:val="both"/>
        <w:rPr>
          <w:sz w:val="24"/>
          <w:szCs w:val="24"/>
        </w:rPr>
      </w:pPr>
      <w:r w:rsidRPr="00CF6E0F">
        <w:rPr>
          <w:sz w:val="24"/>
          <w:szCs w:val="24"/>
        </w:rPr>
        <w:t xml:space="preserve">In Section 4 of the form, </w:t>
      </w:r>
      <w:r w:rsidR="00A5382C" w:rsidRPr="00CF6E0F">
        <w:rPr>
          <w:sz w:val="24"/>
          <w:szCs w:val="24"/>
        </w:rPr>
        <w:t>the Applicant must select one of the options provided to identify Applicant’s Legal Domicile. For individuals, domicile is the place of legal residence; for entities, it is the state of incorporation or organization.</w:t>
      </w:r>
    </w:p>
    <w:p w14:paraId="1085386A" w14:textId="79312828" w:rsidR="002A2AEF" w:rsidRPr="00CF6E0F" w:rsidRDefault="00C53A44" w:rsidP="00CF6E0F">
      <w:pPr>
        <w:pStyle w:val="ListParagraph"/>
        <w:numPr>
          <w:ilvl w:val="1"/>
          <w:numId w:val="2"/>
        </w:numPr>
        <w:tabs>
          <w:tab w:val="left" w:pos="360"/>
        </w:tabs>
        <w:spacing w:before="241"/>
        <w:ind w:left="812"/>
        <w:contextualSpacing w:val="0"/>
        <w:jc w:val="both"/>
        <w:rPr>
          <w:sz w:val="24"/>
          <w:szCs w:val="24"/>
        </w:rPr>
      </w:pPr>
      <w:r w:rsidRPr="00CF6E0F">
        <w:rPr>
          <w:sz w:val="24"/>
          <w:szCs w:val="24"/>
        </w:rPr>
        <w:t xml:space="preserve">In Section 5 of the form, enter the date that Applicant expects to begin offering service in California. </w:t>
      </w:r>
      <w:r w:rsidR="002A2AEF" w:rsidRPr="00CF6E0F">
        <w:rPr>
          <w:sz w:val="24"/>
          <w:szCs w:val="24"/>
        </w:rPr>
        <w:t>The Applicant may enter a future estimated start date that considers the review and approval time of the registration (e.g., 6 - 12 months from file date of Application). If Applicant has already begun offering regulated voice service in California, indicate the date the Applicant commenced providing service and provide</w:t>
      </w:r>
      <w:r w:rsidR="00FF1BA5">
        <w:rPr>
          <w:sz w:val="24"/>
          <w:szCs w:val="24"/>
        </w:rPr>
        <w:t xml:space="preserve"> </w:t>
      </w:r>
      <w:r w:rsidR="002A2AEF" w:rsidRPr="00CF6E0F">
        <w:rPr>
          <w:sz w:val="24"/>
          <w:szCs w:val="24"/>
        </w:rPr>
        <w:t>Appendix B with the reason for operating prior to obtaining authority in California.</w:t>
      </w:r>
    </w:p>
    <w:p w14:paraId="3B2E4A06" w14:textId="77777777" w:rsidR="00B34B7C" w:rsidRPr="00CF6E0F" w:rsidRDefault="00B34B7C" w:rsidP="00CF6E0F">
      <w:pPr>
        <w:pStyle w:val="ListParagraph"/>
        <w:tabs>
          <w:tab w:val="left" w:pos="1168"/>
          <w:tab w:val="left" w:pos="1170"/>
        </w:tabs>
        <w:ind w:left="811"/>
        <w:contextualSpacing w:val="0"/>
        <w:jc w:val="both"/>
        <w:rPr>
          <w:sz w:val="24"/>
          <w:szCs w:val="24"/>
        </w:rPr>
      </w:pPr>
    </w:p>
    <w:p w14:paraId="492C59C9" w14:textId="604EB94F" w:rsidR="008F36CF" w:rsidRPr="00CF6E0F" w:rsidRDefault="00C53A44" w:rsidP="00CF6E0F">
      <w:pPr>
        <w:pStyle w:val="ListParagraph"/>
        <w:numPr>
          <w:ilvl w:val="1"/>
          <w:numId w:val="2"/>
        </w:numPr>
        <w:tabs>
          <w:tab w:val="left" w:pos="1168"/>
          <w:tab w:val="left" w:pos="1170"/>
        </w:tabs>
        <w:ind w:left="811"/>
        <w:contextualSpacing w:val="0"/>
        <w:jc w:val="both"/>
        <w:rPr>
          <w:sz w:val="24"/>
          <w:szCs w:val="24"/>
        </w:rPr>
      </w:pPr>
      <w:r w:rsidRPr="00CF6E0F">
        <w:rPr>
          <w:b/>
          <w:sz w:val="24"/>
          <w:szCs w:val="24"/>
        </w:rPr>
        <w:t>WIRELESS ID REGISTRATION ONLY</w:t>
      </w:r>
      <w:r w:rsidR="00027E0C" w:rsidRPr="00CF6E0F">
        <w:rPr>
          <w:b/>
          <w:sz w:val="24"/>
          <w:szCs w:val="24"/>
        </w:rPr>
        <w:t xml:space="preserve">. </w:t>
      </w:r>
      <w:r w:rsidR="00BA0F56" w:rsidRPr="00CF6E0F">
        <w:rPr>
          <w:bCs/>
          <w:sz w:val="24"/>
          <w:szCs w:val="24"/>
        </w:rPr>
        <w:t>In Section 6 of the form, t</w:t>
      </w:r>
      <w:r w:rsidRPr="00CF6E0F">
        <w:rPr>
          <w:bCs/>
          <w:sz w:val="24"/>
          <w:szCs w:val="24"/>
        </w:rPr>
        <w:t>he</w:t>
      </w:r>
      <w:r w:rsidRPr="00CF6E0F">
        <w:rPr>
          <w:sz w:val="24"/>
          <w:szCs w:val="24"/>
        </w:rPr>
        <w:t xml:space="preserve"> Applicant must </w:t>
      </w:r>
      <w:r w:rsidR="00147030" w:rsidRPr="00CF6E0F">
        <w:rPr>
          <w:sz w:val="24"/>
          <w:szCs w:val="24"/>
        </w:rPr>
        <w:t>mark</w:t>
      </w:r>
      <w:r w:rsidRPr="00CF6E0F">
        <w:rPr>
          <w:sz w:val="24"/>
          <w:szCs w:val="24"/>
        </w:rPr>
        <w:t xml:space="preserve"> the appropriate boxes to clearly describe the wireless service operations it is seeking approval for</w:t>
      </w:r>
      <w:r w:rsidR="00BA0F56" w:rsidRPr="00CF6E0F">
        <w:rPr>
          <w:sz w:val="24"/>
          <w:szCs w:val="24"/>
        </w:rPr>
        <w:t xml:space="preserve"> and submit the required Appendix. </w:t>
      </w:r>
    </w:p>
    <w:p w14:paraId="457D5D98" w14:textId="77777777" w:rsidR="008F36CF" w:rsidRPr="00CF6E0F" w:rsidRDefault="008F36CF" w:rsidP="00CF6E0F">
      <w:pPr>
        <w:pStyle w:val="ListParagraph"/>
        <w:ind w:left="361"/>
        <w:jc w:val="both"/>
        <w:rPr>
          <w:sz w:val="24"/>
          <w:szCs w:val="24"/>
        </w:rPr>
      </w:pPr>
    </w:p>
    <w:p w14:paraId="20A812DE" w14:textId="6819CA7C" w:rsidR="00BA0F56" w:rsidRPr="00CF6E0F" w:rsidRDefault="00027E0C" w:rsidP="00CF6E0F">
      <w:pPr>
        <w:pStyle w:val="ListParagraph"/>
        <w:numPr>
          <w:ilvl w:val="0"/>
          <w:numId w:val="6"/>
        </w:numPr>
        <w:tabs>
          <w:tab w:val="left" w:pos="1168"/>
          <w:tab w:val="left" w:pos="1170"/>
        </w:tabs>
        <w:spacing w:after="240"/>
        <w:ind w:left="1531"/>
        <w:contextualSpacing w:val="0"/>
        <w:jc w:val="both"/>
        <w:rPr>
          <w:sz w:val="24"/>
          <w:szCs w:val="24"/>
        </w:rPr>
      </w:pPr>
      <w:r w:rsidRPr="00CF6E0F">
        <w:rPr>
          <w:sz w:val="24"/>
          <w:szCs w:val="24"/>
        </w:rPr>
        <w:t>In Section 6.a</w:t>
      </w:r>
      <w:r w:rsidR="001D7107" w:rsidRPr="00CF6E0F">
        <w:rPr>
          <w:sz w:val="24"/>
          <w:szCs w:val="24"/>
        </w:rPr>
        <w:t>.</w:t>
      </w:r>
      <w:r w:rsidR="00BA0F56" w:rsidRPr="00CF6E0F">
        <w:rPr>
          <w:sz w:val="24"/>
          <w:szCs w:val="24"/>
        </w:rPr>
        <w:t xml:space="preserve"> of the form, the Applicant must identify the type of facilities it plans to use in providing wireless services in California: Reseller/Non-facilities, Facilities-based, or both. </w:t>
      </w:r>
    </w:p>
    <w:p w14:paraId="213833A8" w14:textId="4B3E6524" w:rsidR="00BA0F56" w:rsidRPr="00CF6E0F" w:rsidRDefault="00BA0F56" w:rsidP="00CF6E0F">
      <w:pPr>
        <w:pStyle w:val="ListParagraph"/>
        <w:numPr>
          <w:ilvl w:val="0"/>
          <w:numId w:val="6"/>
        </w:numPr>
        <w:tabs>
          <w:tab w:val="left" w:pos="1168"/>
          <w:tab w:val="left" w:pos="1170"/>
        </w:tabs>
        <w:spacing w:before="240" w:after="240"/>
        <w:ind w:left="1531"/>
        <w:contextualSpacing w:val="0"/>
        <w:jc w:val="both"/>
        <w:rPr>
          <w:sz w:val="24"/>
          <w:szCs w:val="24"/>
        </w:rPr>
      </w:pPr>
      <w:r w:rsidRPr="00CF6E0F">
        <w:rPr>
          <w:sz w:val="24"/>
          <w:szCs w:val="24"/>
        </w:rPr>
        <w:t xml:space="preserve">In Section </w:t>
      </w:r>
      <w:r w:rsidR="00027E0C" w:rsidRPr="00CF6E0F">
        <w:rPr>
          <w:sz w:val="24"/>
          <w:szCs w:val="24"/>
        </w:rPr>
        <w:t>6.b</w:t>
      </w:r>
      <w:r w:rsidR="001D7107" w:rsidRPr="00CF6E0F">
        <w:rPr>
          <w:sz w:val="24"/>
          <w:szCs w:val="24"/>
        </w:rPr>
        <w:t>.</w:t>
      </w:r>
      <w:r w:rsidR="00027E0C" w:rsidRPr="00CF6E0F">
        <w:rPr>
          <w:sz w:val="24"/>
          <w:szCs w:val="24"/>
        </w:rPr>
        <w:t xml:space="preserve"> </w:t>
      </w:r>
      <w:r w:rsidRPr="00CF6E0F">
        <w:rPr>
          <w:sz w:val="24"/>
          <w:szCs w:val="24"/>
        </w:rPr>
        <w:t xml:space="preserve">of the form, the Applicant must identify the type of customers it plans to offer its services to: residential, business, or other(s). If Other(s), the applicant must </w:t>
      </w:r>
      <w:r w:rsidR="00147030" w:rsidRPr="00CF6E0F">
        <w:rPr>
          <w:sz w:val="24"/>
          <w:szCs w:val="24"/>
        </w:rPr>
        <w:t>provide a brief description</w:t>
      </w:r>
      <w:r w:rsidRPr="00CF6E0F">
        <w:rPr>
          <w:sz w:val="24"/>
          <w:szCs w:val="24"/>
        </w:rPr>
        <w:t xml:space="preserve"> in the space provided. </w:t>
      </w:r>
    </w:p>
    <w:p w14:paraId="2661D0D1" w14:textId="3167F5E3" w:rsidR="00BA0F56" w:rsidRPr="00CF6E0F" w:rsidRDefault="00BA0F56" w:rsidP="00CF6E0F">
      <w:pPr>
        <w:pStyle w:val="ListParagraph"/>
        <w:numPr>
          <w:ilvl w:val="0"/>
          <w:numId w:val="6"/>
        </w:numPr>
        <w:tabs>
          <w:tab w:val="left" w:pos="1168"/>
          <w:tab w:val="left" w:pos="1170"/>
        </w:tabs>
        <w:spacing w:before="240" w:after="240"/>
        <w:ind w:left="1531"/>
        <w:contextualSpacing w:val="0"/>
        <w:jc w:val="both"/>
        <w:rPr>
          <w:sz w:val="24"/>
          <w:szCs w:val="24"/>
        </w:rPr>
      </w:pPr>
      <w:r w:rsidRPr="00CF6E0F">
        <w:rPr>
          <w:sz w:val="24"/>
          <w:szCs w:val="24"/>
        </w:rPr>
        <w:t xml:space="preserve">In Section </w:t>
      </w:r>
      <w:r w:rsidR="00027E0C" w:rsidRPr="00CF6E0F">
        <w:rPr>
          <w:sz w:val="24"/>
          <w:szCs w:val="24"/>
        </w:rPr>
        <w:t>6.c</w:t>
      </w:r>
      <w:r w:rsidR="001D7107" w:rsidRPr="00CF6E0F">
        <w:rPr>
          <w:sz w:val="24"/>
          <w:szCs w:val="24"/>
        </w:rPr>
        <w:t>.</w:t>
      </w:r>
      <w:r w:rsidR="00027E0C" w:rsidRPr="00CF6E0F">
        <w:rPr>
          <w:sz w:val="24"/>
          <w:szCs w:val="24"/>
        </w:rPr>
        <w:t xml:space="preserve"> of the form, </w:t>
      </w:r>
      <w:r w:rsidRPr="00CF6E0F">
        <w:rPr>
          <w:sz w:val="24"/>
          <w:szCs w:val="24"/>
        </w:rPr>
        <w:t xml:space="preserve">the Applicant must identify the </w:t>
      </w:r>
      <w:r w:rsidR="00C53A44" w:rsidRPr="00CF6E0F">
        <w:rPr>
          <w:sz w:val="24"/>
          <w:szCs w:val="24"/>
        </w:rPr>
        <w:t>type of wireless service</w:t>
      </w:r>
      <w:r w:rsidRPr="00CF6E0F">
        <w:rPr>
          <w:sz w:val="24"/>
          <w:szCs w:val="24"/>
        </w:rPr>
        <w:t xml:space="preserve"> </w:t>
      </w:r>
      <w:r w:rsidR="00C53A44" w:rsidRPr="00CF6E0F">
        <w:rPr>
          <w:sz w:val="24"/>
          <w:szCs w:val="24"/>
        </w:rPr>
        <w:t>offerings</w:t>
      </w:r>
      <w:r w:rsidR="00147030" w:rsidRPr="00CF6E0F">
        <w:rPr>
          <w:sz w:val="24"/>
          <w:szCs w:val="24"/>
        </w:rPr>
        <w:t xml:space="preserve"> it plans to provide to customers in California: </w:t>
      </w:r>
      <w:r w:rsidR="00C53A44" w:rsidRPr="00CF6E0F">
        <w:rPr>
          <w:sz w:val="24"/>
          <w:szCs w:val="24"/>
        </w:rPr>
        <w:t>prepaid</w:t>
      </w:r>
      <w:r w:rsidR="00147030" w:rsidRPr="00CF6E0F">
        <w:rPr>
          <w:sz w:val="24"/>
          <w:szCs w:val="24"/>
        </w:rPr>
        <w:t xml:space="preserve">, </w:t>
      </w:r>
      <w:r w:rsidR="00C53A44" w:rsidRPr="00CF6E0F">
        <w:rPr>
          <w:sz w:val="24"/>
          <w:szCs w:val="24"/>
        </w:rPr>
        <w:t>postpaid</w:t>
      </w:r>
      <w:r w:rsidR="00147030" w:rsidRPr="00CF6E0F">
        <w:rPr>
          <w:sz w:val="24"/>
          <w:szCs w:val="24"/>
        </w:rPr>
        <w:t>,</w:t>
      </w:r>
      <w:r w:rsidR="00C53A44" w:rsidRPr="00CF6E0F">
        <w:rPr>
          <w:sz w:val="24"/>
          <w:szCs w:val="24"/>
        </w:rPr>
        <w:t xml:space="preserve"> or other</w:t>
      </w:r>
      <w:r w:rsidR="00147030" w:rsidRPr="00CF6E0F">
        <w:rPr>
          <w:sz w:val="24"/>
          <w:szCs w:val="24"/>
        </w:rPr>
        <w:t>(</w:t>
      </w:r>
      <w:r w:rsidR="00C53A44" w:rsidRPr="00CF6E0F">
        <w:rPr>
          <w:sz w:val="24"/>
          <w:szCs w:val="24"/>
        </w:rPr>
        <w:t>s</w:t>
      </w:r>
      <w:r w:rsidR="00147030" w:rsidRPr="00CF6E0F">
        <w:rPr>
          <w:sz w:val="24"/>
          <w:szCs w:val="24"/>
        </w:rPr>
        <w:t>)</w:t>
      </w:r>
      <w:r w:rsidR="00C53A44" w:rsidRPr="00CF6E0F">
        <w:rPr>
          <w:sz w:val="24"/>
          <w:szCs w:val="24"/>
        </w:rPr>
        <w:t xml:space="preserve">. </w:t>
      </w:r>
      <w:r w:rsidR="00147030" w:rsidRPr="00CF6E0F">
        <w:rPr>
          <w:sz w:val="24"/>
          <w:szCs w:val="24"/>
        </w:rPr>
        <w:t>If Other(s), the applicant must provide a brief description in the space provided.</w:t>
      </w:r>
    </w:p>
    <w:p w14:paraId="7B6FDF01" w14:textId="071A9C9C" w:rsidR="00C53A44" w:rsidRPr="00CF6E0F" w:rsidRDefault="00C53A44" w:rsidP="00CF6E0F">
      <w:pPr>
        <w:pStyle w:val="ListParagraph"/>
        <w:numPr>
          <w:ilvl w:val="0"/>
          <w:numId w:val="6"/>
        </w:numPr>
        <w:tabs>
          <w:tab w:val="left" w:pos="1168"/>
          <w:tab w:val="left" w:pos="1170"/>
        </w:tabs>
        <w:spacing w:before="240" w:after="240"/>
        <w:ind w:left="1531"/>
        <w:contextualSpacing w:val="0"/>
        <w:jc w:val="both"/>
        <w:rPr>
          <w:sz w:val="24"/>
          <w:szCs w:val="24"/>
        </w:rPr>
      </w:pPr>
      <w:r w:rsidRPr="00CF6E0F">
        <w:rPr>
          <w:sz w:val="24"/>
          <w:szCs w:val="24"/>
        </w:rPr>
        <w:t>In Section 6.d.</w:t>
      </w:r>
      <w:r w:rsidR="008F36CF" w:rsidRPr="00CF6E0F">
        <w:rPr>
          <w:sz w:val="24"/>
          <w:szCs w:val="24"/>
        </w:rPr>
        <w:t xml:space="preserve"> of the form</w:t>
      </w:r>
      <w:r w:rsidRPr="00CF6E0F">
        <w:rPr>
          <w:sz w:val="24"/>
          <w:szCs w:val="24"/>
        </w:rPr>
        <w:t xml:space="preserve">, </w:t>
      </w:r>
      <w:r w:rsidR="008F36CF" w:rsidRPr="00CF6E0F">
        <w:rPr>
          <w:sz w:val="24"/>
          <w:szCs w:val="24"/>
        </w:rPr>
        <w:t>i</w:t>
      </w:r>
      <w:r w:rsidRPr="00CF6E0F">
        <w:rPr>
          <w:sz w:val="24"/>
          <w:szCs w:val="24"/>
        </w:rPr>
        <w:t xml:space="preserve">f </w:t>
      </w:r>
      <w:r w:rsidR="008F36CF" w:rsidRPr="00CF6E0F">
        <w:rPr>
          <w:sz w:val="24"/>
          <w:szCs w:val="24"/>
        </w:rPr>
        <w:t>the A</w:t>
      </w:r>
      <w:r w:rsidRPr="00CF6E0F">
        <w:rPr>
          <w:sz w:val="24"/>
          <w:szCs w:val="24"/>
        </w:rPr>
        <w:t xml:space="preserve">pplicant </w:t>
      </w:r>
      <w:r w:rsidR="00147030" w:rsidRPr="00CF6E0F">
        <w:rPr>
          <w:sz w:val="24"/>
          <w:szCs w:val="24"/>
        </w:rPr>
        <w:t xml:space="preserve">marked “Facilities-based” in Section 6.a of the form, </w:t>
      </w:r>
      <w:r w:rsidRPr="00CF6E0F">
        <w:rPr>
          <w:sz w:val="24"/>
          <w:szCs w:val="24"/>
        </w:rPr>
        <w:t xml:space="preserve">the </w:t>
      </w:r>
      <w:r w:rsidR="00147030" w:rsidRPr="00CF6E0F">
        <w:rPr>
          <w:sz w:val="24"/>
          <w:szCs w:val="24"/>
        </w:rPr>
        <w:t>A</w:t>
      </w:r>
      <w:r w:rsidRPr="00CF6E0F">
        <w:rPr>
          <w:sz w:val="24"/>
          <w:szCs w:val="24"/>
        </w:rPr>
        <w:t>pplicant must identify its Universal Licensing System (ULS) wireless License call sign as registered with the Federal Communications Commission (FCC).</w:t>
      </w:r>
    </w:p>
    <w:p w14:paraId="3D44BFAF" w14:textId="77777777" w:rsidR="008F36CF" w:rsidRPr="00CF6E0F" w:rsidRDefault="008F36CF" w:rsidP="00CF6E0F">
      <w:pPr>
        <w:pStyle w:val="ListParagraph"/>
        <w:ind w:left="361"/>
        <w:jc w:val="both"/>
        <w:rPr>
          <w:sz w:val="24"/>
          <w:szCs w:val="24"/>
        </w:rPr>
      </w:pPr>
    </w:p>
    <w:p w14:paraId="0DCB35A2" w14:textId="6B9032D2" w:rsidR="00C53A44" w:rsidRPr="00CF6E0F" w:rsidRDefault="00C53A44" w:rsidP="00CF6E0F">
      <w:pPr>
        <w:pStyle w:val="ListParagraph"/>
        <w:numPr>
          <w:ilvl w:val="0"/>
          <w:numId w:val="6"/>
        </w:numPr>
        <w:tabs>
          <w:tab w:val="left" w:pos="1168"/>
          <w:tab w:val="left" w:pos="1170"/>
        </w:tabs>
        <w:ind w:left="1531"/>
        <w:contextualSpacing w:val="0"/>
        <w:jc w:val="both"/>
        <w:rPr>
          <w:sz w:val="24"/>
          <w:szCs w:val="24"/>
        </w:rPr>
      </w:pPr>
      <w:r w:rsidRPr="00CF6E0F">
        <w:rPr>
          <w:sz w:val="24"/>
          <w:szCs w:val="24"/>
        </w:rPr>
        <w:t xml:space="preserve">In Section 6.e., </w:t>
      </w:r>
      <w:r w:rsidR="00147030" w:rsidRPr="00CF6E0F">
        <w:rPr>
          <w:sz w:val="24"/>
          <w:szCs w:val="24"/>
        </w:rPr>
        <w:t xml:space="preserve">if </w:t>
      </w:r>
      <w:r w:rsidR="008F36CF" w:rsidRPr="00CF6E0F">
        <w:rPr>
          <w:sz w:val="24"/>
          <w:szCs w:val="24"/>
        </w:rPr>
        <w:t xml:space="preserve">the </w:t>
      </w:r>
      <w:r w:rsidRPr="00CF6E0F">
        <w:rPr>
          <w:sz w:val="24"/>
          <w:szCs w:val="24"/>
        </w:rPr>
        <w:t xml:space="preserve">Applicant </w:t>
      </w:r>
      <w:r w:rsidR="00147030" w:rsidRPr="00CF6E0F">
        <w:rPr>
          <w:sz w:val="24"/>
          <w:szCs w:val="24"/>
        </w:rPr>
        <w:t xml:space="preserve">marked “Reseller/non-facilities-based” in Section 6.a, it </w:t>
      </w:r>
      <w:r w:rsidRPr="00CF6E0F">
        <w:rPr>
          <w:sz w:val="24"/>
          <w:szCs w:val="24"/>
        </w:rPr>
        <w:t xml:space="preserve">must identify the underlying Facilities-Based wireless carrier(s) and/or underlying Reseller/Non-facilities-based wireless carrier(s) that it plans to use to provide resold services and include in Appendix C </w:t>
      </w:r>
      <w:r w:rsidR="00147030" w:rsidRPr="00CF6E0F">
        <w:rPr>
          <w:sz w:val="24"/>
          <w:szCs w:val="24"/>
        </w:rPr>
        <w:t xml:space="preserve">the </w:t>
      </w:r>
      <w:r w:rsidRPr="00CF6E0F">
        <w:rPr>
          <w:sz w:val="24"/>
          <w:szCs w:val="24"/>
        </w:rPr>
        <w:t xml:space="preserve">copy of the wireless resale agreement(s) between the Applicant and any underlying carriers. </w:t>
      </w:r>
      <w:r w:rsidR="008F36CF" w:rsidRPr="00CF6E0F">
        <w:rPr>
          <w:sz w:val="24"/>
          <w:szCs w:val="24"/>
        </w:rPr>
        <w:t xml:space="preserve">The </w:t>
      </w:r>
      <w:r w:rsidRPr="00CF6E0F">
        <w:rPr>
          <w:sz w:val="24"/>
          <w:szCs w:val="24"/>
        </w:rPr>
        <w:t>Applicant must provide a contact name and title, email address, and telephone number for the authorized representative of the underlying carrier. If Applicant has multiple agreements with different underlying carriers, please provide the information and copies of the relevant agreements as part of Appendix C.</w:t>
      </w:r>
      <w:r w:rsidR="00147030" w:rsidRPr="00CF6E0F">
        <w:rPr>
          <w:sz w:val="24"/>
          <w:szCs w:val="24"/>
        </w:rPr>
        <w:t xml:space="preserve"> </w:t>
      </w:r>
    </w:p>
    <w:p w14:paraId="47D53C87" w14:textId="08DE9EB9" w:rsidR="00C53A44" w:rsidRPr="00CF6E0F" w:rsidRDefault="00C53A44" w:rsidP="00CF6E0F">
      <w:pPr>
        <w:pStyle w:val="ListParagraph"/>
        <w:numPr>
          <w:ilvl w:val="1"/>
          <w:numId w:val="2"/>
        </w:numPr>
        <w:tabs>
          <w:tab w:val="left" w:pos="1170"/>
        </w:tabs>
        <w:spacing w:before="240"/>
        <w:ind w:left="811"/>
        <w:contextualSpacing w:val="0"/>
        <w:jc w:val="both"/>
        <w:rPr>
          <w:sz w:val="24"/>
          <w:szCs w:val="24"/>
        </w:rPr>
      </w:pPr>
      <w:r w:rsidRPr="00CF6E0F">
        <w:rPr>
          <w:b/>
          <w:sz w:val="24"/>
          <w:szCs w:val="24"/>
        </w:rPr>
        <w:t>NOMADIC</w:t>
      </w:r>
      <w:r w:rsidR="008F36CF" w:rsidRPr="00CF6E0F">
        <w:rPr>
          <w:b/>
          <w:sz w:val="24"/>
          <w:szCs w:val="24"/>
        </w:rPr>
        <w:t xml:space="preserve"> </w:t>
      </w:r>
      <w:r w:rsidRPr="00CF6E0F">
        <w:rPr>
          <w:b/>
          <w:sz w:val="24"/>
          <w:szCs w:val="24"/>
        </w:rPr>
        <w:t xml:space="preserve">REGISTRATION ONLY. </w:t>
      </w:r>
      <w:r w:rsidRPr="00CF6E0F">
        <w:rPr>
          <w:sz w:val="24"/>
          <w:szCs w:val="24"/>
        </w:rPr>
        <w:t>In Section 7 of the form, the Applicant must select “YES” to confirm that it has completed the required Attestation as a Nomadic</w:t>
      </w:r>
      <w:r w:rsidR="00147030" w:rsidRPr="00CF6E0F">
        <w:rPr>
          <w:sz w:val="24"/>
          <w:szCs w:val="24"/>
        </w:rPr>
        <w:t>-only</w:t>
      </w:r>
      <w:r w:rsidRPr="00CF6E0F">
        <w:rPr>
          <w:sz w:val="24"/>
          <w:szCs w:val="24"/>
        </w:rPr>
        <w:t xml:space="preserve"> Interconnected VoIP Service</w:t>
      </w:r>
      <w:r w:rsidR="00147030" w:rsidRPr="00CF6E0F">
        <w:rPr>
          <w:sz w:val="24"/>
          <w:szCs w:val="24"/>
        </w:rPr>
        <w:t xml:space="preserve"> provider.</w:t>
      </w:r>
      <w:r w:rsidRPr="00CF6E0F">
        <w:rPr>
          <w:sz w:val="24"/>
          <w:szCs w:val="24"/>
        </w:rPr>
        <w:t xml:space="preserve"> </w:t>
      </w:r>
      <w:r w:rsidR="00147030" w:rsidRPr="00CF6E0F">
        <w:rPr>
          <w:sz w:val="24"/>
          <w:szCs w:val="24"/>
        </w:rPr>
        <w:t xml:space="preserve">See </w:t>
      </w:r>
      <w:r w:rsidRPr="00CF6E0F">
        <w:rPr>
          <w:sz w:val="24"/>
          <w:szCs w:val="24"/>
        </w:rPr>
        <w:t xml:space="preserve">Attachment A of the </w:t>
      </w:r>
      <w:r w:rsidR="00147030" w:rsidRPr="00CF6E0F">
        <w:rPr>
          <w:sz w:val="24"/>
          <w:szCs w:val="24"/>
        </w:rPr>
        <w:t xml:space="preserve">CD Registration </w:t>
      </w:r>
      <w:r w:rsidRPr="00CF6E0F">
        <w:rPr>
          <w:sz w:val="24"/>
          <w:szCs w:val="24"/>
        </w:rPr>
        <w:t>form.</w:t>
      </w:r>
    </w:p>
    <w:p w14:paraId="3290C6B4" w14:textId="6DDE7280" w:rsidR="008F36CF" w:rsidRPr="00CF6E0F" w:rsidRDefault="00C53A44" w:rsidP="00CF6E0F">
      <w:pPr>
        <w:pStyle w:val="ListParagraph"/>
        <w:numPr>
          <w:ilvl w:val="1"/>
          <w:numId w:val="2"/>
        </w:numPr>
        <w:tabs>
          <w:tab w:val="left" w:pos="1170"/>
        </w:tabs>
        <w:spacing w:before="240"/>
        <w:ind w:left="811"/>
        <w:contextualSpacing w:val="0"/>
        <w:jc w:val="both"/>
        <w:rPr>
          <w:sz w:val="24"/>
          <w:szCs w:val="24"/>
        </w:rPr>
      </w:pPr>
      <w:r w:rsidRPr="00CF6E0F">
        <w:rPr>
          <w:sz w:val="24"/>
          <w:szCs w:val="24"/>
        </w:rPr>
        <w:t xml:space="preserve">In Section 8 of the form, </w:t>
      </w:r>
      <w:r w:rsidR="008F36CF" w:rsidRPr="00CF6E0F">
        <w:rPr>
          <w:sz w:val="24"/>
          <w:szCs w:val="24"/>
        </w:rPr>
        <w:t xml:space="preserve">the Applicant must provide a “True” or “Not True” response to the </w:t>
      </w:r>
      <w:proofErr w:type="gramStart"/>
      <w:r w:rsidR="008F36CF" w:rsidRPr="00CF6E0F">
        <w:rPr>
          <w:sz w:val="24"/>
          <w:szCs w:val="24"/>
        </w:rPr>
        <w:t>sworn affidavit</w:t>
      </w:r>
      <w:proofErr w:type="gramEnd"/>
      <w:r w:rsidR="008F36CF" w:rsidRPr="00CF6E0F">
        <w:rPr>
          <w:sz w:val="24"/>
          <w:szCs w:val="24"/>
        </w:rPr>
        <w:t xml:space="preserve"> statement. If the Applicant’s response is anything other than an unqualified “True,” attach Appendix D </w:t>
      </w:r>
      <w:r w:rsidR="004C5492">
        <w:rPr>
          <w:sz w:val="24"/>
          <w:szCs w:val="24"/>
        </w:rPr>
        <w:t xml:space="preserve">with </w:t>
      </w:r>
      <w:r w:rsidR="008F36CF" w:rsidRPr="00CF6E0F">
        <w:rPr>
          <w:sz w:val="24"/>
          <w:szCs w:val="24"/>
        </w:rPr>
        <w:t>all documentation and describe any such bankruptcies, findings, judgments, convictions, referrals, denials, suspensions, revocations, limitations, settlements, voluntary payments or any other type of monetary forfeitures.</w:t>
      </w:r>
    </w:p>
    <w:p w14:paraId="7278A050" w14:textId="2589704A" w:rsidR="00B34B7C" w:rsidRPr="00CF6E0F" w:rsidRDefault="00C53A44" w:rsidP="00CF6E0F">
      <w:pPr>
        <w:pStyle w:val="BodyText"/>
        <w:numPr>
          <w:ilvl w:val="0"/>
          <w:numId w:val="7"/>
        </w:numPr>
        <w:spacing w:before="240"/>
        <w:ind w:left="1171"/>
        <w:rPr>
          <w:sz w:val="24"/>
          <w:szCs w:val="24"/>
        </w:rPr>
      </w:pPr>
      <w:r w:rsidRPr="00CF6E0F">
        <w:rPr>
          <w:sz w:val="24"/>
          <w:szCs w:val="24"/>
        </w:rPr>
        <w:t xml:space="preserve">In Section 8.a. of the form, the Applicant must attach Appendix E </w:t>
      </w:r>
      <w:r w:rsidR="00D374D0">
        <w:rPr>
          <w:sz w:val="24"/>
          <w:szCs w:val="24"/>
        </w:rPr>
        <w:t xml:space="preserve">with a </w:t>
      </w:r>
      <w:r w:rsidRPr="00CF6E0F">
        <w:rPr>
          <w:sz w:val="24"/>
          <w:szCs w:val="24"/>
        </w:rPr>
        <w:t>list of all affiliates. If an affiliate is a regulated entity in California, indicate the Utility ID Number assigned by the Commission to the entity. If no affiliates exist, it must clearly be identified in the Appendix E. An affiliated entity is any entity under common control with the Applicant. Common control exists if the same individuals or entities have the direct or indirect power to determine the action of Applicant and such entity</w:t>
      </w:r>
      <w:r w:rsidR="00D859D8">
        <w:rPr>
          <w:sz w:val="24"/>
          <w:szCs w:val="24"/>
        </w:rPr>
        <w:t>,</w:t>
      </w:r>
      <w:r w:rsidRPr="00CF6E0F">
        <w:rPr>
          <w:sz w:val="24"/>
          <w:szCs w:val="24"/>
        </w:rPr>
        <w:t xml:space="preserve"> through right to vote shares, by contract or agreement, or otherwise. Note whether any such entity is a reporting company for purposes of the Securities Exchange Act of 1934, as amended.</w:t>
      </w:r>
    </w:p>
    <w:p w14:paraId="7DC6115C" w14:textId="051A292F" w:rsidR="008F36CF" w:rsidRPr="00CF6E0F" w:rsidRDefault="00C53A44" w:rsidP="00CF6E0F">
      <w:pPr>
        <w:pStyle w:val="ListParagraph"/>
        <w:numPr>
          <w:ilvl w:val="1"/>
          <w:numId w:val="2"/>
        </w:numPr>
        <w:tabs>
          <w:tab w:val="left" w:pos="1170"/>
        </w:tabs>
        <w:spacing w:before="240"/>
        <w:ind w:left="811"/>
        <w:contextualSpacing w:val="0"/>
        <w:jc w:val="both"/>
        <w:rPr>
          <w:sz w:val="24"/>
          <w:szCs w:val="24"/>
        </w:rPr>
      </w:pPr>
      <w:r w:rsidRPr="00CF6E0F">
        <w:rPr>
          <w:sz w:val="24"/>
          <w:szCs w:val="24"/>
        </w:rPr>
        <w:t xml:space="preserve">In Section 9 of the form, </w:t>
      </w:r>
      <w:bookmarkStart w:id="0" w:name="_Hlk201330930"/>
      <w:r w:rsidR="008F36CF" w:rsidRPr="00CF6E0F">
        <w:rPr>
          <w:sz w:val="24"/>
          <w:szCs w:val="24"/>
        </w:rPr>
        <w:t xml:space="preserve">the Applicant must demonstrate by marking “True” that it has the managerial and technical qualifications necessary to provide the proposed services in its service territory. </w:t>
      </w:r>
      <w:bookmarkEnd w:id="0"/>
      <w:r w:rsidR="008F36CF" w:rsidRPr="00CF6E0F">
        <w:rPr>
          <w:sz w:val="24"/>
          <w:szCs w:val="24"/>
        </w:rPr>
        <w:t xml:space="preserve">The Applicant must attach Appendix </w:t>
      </w:r>
      <w:r w:rsidR="001D7107" w:rsidRPr="00CF6E0F">
        <w:rPr>
          <w:sz w:val="24"/>
          <w:szCs w:val="24"/>
        </w:rPr>
        <w:t>F</w:t>
      </w:r>
      <w:r w:rsidR="008F36CF" w:rsidRPr="00CF6E0F">
        <w:rPr>
          <w:sz w:val="24"/>
          <w:szCs w:val="24"/>
        </w:rPr>
        <w:t xml:space="preserve"> </w:t>
      </w:r>
      <w:bookmarkStart w:id="1" w:name="_Hlk201331027"/>
      <w:r w:rsidR="008F36CF" w:rsidRPr="00CF6E0F">
        <w:rPr>
          <w:sz w:val="24"/>
          <w:szCs w:val="24"/>
        </w:rPr>
        <w:t xml:space="preserve">with the following: 1) List of the names, titles, and street addresses of all officers, directors, partners, agents, or owners (directly or indirectly) of more than 10% of Applicant, or any person acting in such capacity whether or not formally appointed, and 2) all resumes for each personnel identified listing all employment for each officer, director, partner, agent, or owner (directly or indirectly) of more than 10% of Applicant, or any person acting in such </w:t>
      </w:r>
      <w:r w:rsidR="008F36CF" w:rsidRPr="00CF6E0F">
        <w:rPr>
          <w:sz w:val="24"/>
          <w:szCs w:val="24"/>
        </w:rPr>
        <w:lastRenderedPageBreak/>
        <w:t>capacity whether or not formally appointed. Website links to online profiles (e.g., LinkedIn and Facebook) are not acceptable.</w:t>
      </w:r>
      <w:bookmarkEnd w:id="1"/>
    </w:p>
    <w:p w14:paraId="3294FB6C" w14:textId="4B82D577" w:rsidR="008F36CF" w:rsidRPr="00CF6E0F" w:rsidRDefault="008F36CF" w:rsidP="00CF6E0F">
      <w:pPr>
        <w:pStyle w:val="BodyText"/>
        <w:numPr>
          <w:ilvl w:val="0"/>
          <w:numId w:val="7"/>
        </w:numPr>
        <w:spacing w:before="240" w:after="240"/>
        <w:ind w:left="1171"/>
        <w:rPr>
          <w:sz w:val="24"/>
          <w:szCs w:val="24"/>
        </w:rPr>
      </w:pPr>
      <w:r w:rsidRPr="00CF6E0F">
        <w:rPr>
          <w:sz w:val="24"/>
          <w:szCs w:val="24"/>
        </w:rPr>
        <w:t xml:space="preserve">In Section </w:t>
      </w:r>
      <w:r w:rsidR="00C6254D" w:rsidRPr="00CF6E0F">
        <w:rPr>
          <w:sz w:val="24"/>
          <w:szCs w:val="24"/>
        </w:rPr>
        <w:t>9</w:t>
      </w:r>
      <w:r w:rsidRPr="00CF6E0F">
        <w:rPr>
          <w:sz w:val="24"/>
          <w:szCs w:val="24"/>
        </w:rPr>
        <w:t>.a. of the form, the Applicant must attest to the statement by marking “True” or “Not True.” If the response is anything other than an unqualified “True”, the Applicant must attach Appendix G with documentation listing all exceptions and describing all such investigations, whether pending, settled voluntarily, or resolved in another manner.</w:t>
      </w:r>
    </w:p>
    <w:p w14:paraId="5ABD85CE" w14:textId="24A586A6" w:rsidR="00C53A44" w:rsidRPr="00CF6E0F" w:rsidRDefault="00C53A44" w:rsidP="00CF6E0F">
      <w:pPr>
        <w:pStyle w:val="ListParagraph"/>
        <w:numPr>
          <w:ilvl w:val="1"/>
          <w:numId w:val="2"/>
        </w:numPr>
        <w:tabs>
          <w:tab w:val="left" w:pos="1170"/>
        </w:tabs>
        <w:spacing w:before="240"/>
        <w:ind w:left="811"/>
        <w:contextualSpacing w:val="0"/>
        <w:jc w:val="both"/>
        <w:rPr>
          <w:sz w:val="24"/>
          <w:szCs w:val="24"/>
        </w:rPr>
      </w:pPr>
      <w:r w:rsidRPr="00CF6E0F">
        <w:rPr>
          <w:sz w:val="24"/>
          <w:szCs w:val="24"/>
        </w:rPr>
        <w:t xml:space="preserve">In Section 10 of the form, </w:t>
      </w:r>
      <w:r w:rsidR="00BC3EAB" w:rsidRPr="00CF6E0F">
        <w:rPr>
          <w:sz w:val="24"/>
          <w:szCs w:val="24"/>
        </w:rPr>
        <w:t xml:space="preserve">the Applicant must select one of the options. </w:t>
      </w:r>
      <w:bookmarkStart w:id="2" w:name="_bookmark2"/>
      <w:bookmarkEnd w:id="2"/>
      <w:r w:rsidR="00BC3EAB" w:rsidRPr="00CF6E0F">
        <w:rPr>
          <w:sz w:val="24"/>
          <w:szCs w:val="24"/>
        </w:rPr>
        <w:t xml:space="preserve">The Applicant must list other licenses in the space provided, whether current (active) and/or prior (not active), which the Applicant obtained from the Commission. The list must include all previously held operating authority(ies) or approval(s) issued by </w:t>
      </w:r>
      <w:r w:rsidR="00250C89">
        <w:rPr>
          <w:sz w:val="24"/>
          <w:szCs w:val="24"/>
        </w:rPr>
        <w:t xml:space="preserve">the </w:t>
      </w:r>
      <w:r w:rsidR="00BC3EAB" w:rsidRPr="00CF6E0F">
        <w:rPr>
          <w:sz w:val="24"/>
          <w:szCs w:val="24"/>
        </w:rPr>
        <w:t xml:space="preserve">CPUC that </w:t>
      </w:r>
      <w:r w:rsidR="00250C89">
        <w:rPr>
          <w:sz w:val="24"/>
          <w:szCs w:val="24"/>
        </w:rPr>
        <w:t xml:space="preserve">were </w:t>
      </w:r>
      <w:r w:rsidR="00BC3EAB" w:rsidRPr="00CF6E0F">
        <w:rPr>
          <w:sz w:val="24"/>
          <w:szCs w:val="24"/>
        </w:rPr>
        <w:t>revoked due to a violation of Commission Rules and Requirements.</w:t>
      </w:r>
    </w:p>
    <w:p w14:paraId="33C324CD" w14:textId="2D414CAB" w:rsidR="00C53A44" w:rsidRPr="00CF6E0F" w:rsidRDefault="00C53A44" w:rsidP="00CF6E0F">
      <w:pPr>
        <w:pStyle w:val="ListParagraph"/>
        <w:numPr>
          <w:ilvl w:val="1"/>
          <w:numId w:val="2"/>
        </w:numPr>
        <w:spacing w:before="240"/>
        <w:ind w:left="811"/>
        <w:contextualSpacing w:val="0"/>
        <w:jc w:val="both"/>
        <w:rPr>
          <w:sz w:val="24"/>
          <w:szCs w:val="24"/>
        </w:rPr>
      </w:pPr>
      <w:r w:rsidRPr="00CF6E0F">
        <w:rPr>
          <w:sz w:val="24"/>
          <w:szCs w:val="24"/>
        </w:rPr>
        <w:t xml:space="preserve">In Section 11 of the form, Applicant must provide a copy of the CD Registration </w:t>
      </w:r>
      <w:r w:rsidR="00A32425" w:rsidRPr="00CF6E0F">
        <w:rPr>
          <w:sz w:val="24"/>
          <w:szCs w:val="24"/>
        </w:rPr>
        <w:t xml:space="preserve">filing </w:t>
      </w:r>
      <w:r w:rsidRPr="00CF6E0F">
        <w:rPr>
          <w:sz w:val="24"/>
          <w:szCs w:val="24"/>
        </w:rPr>
        <w:t>Fee check</w:t>
      </w:r>
      <w:r w:rsidR="00A32425" w:rsidRPr="00CF6E0F">
        <w:rPr>
          <w:sz w:val="24"/>
          <w:szCs w:val="24"/>
        </w:rPr>
        <w:t xml:space="preserve"> </w:t>
      </w:r>
      <w:r w:rsidRPr="00CF6E0F">
        <w:rPr>
          <w:sz w:val="24"/>
          <w:szCs w:val="24"/>
        </w:rPr>
        <w:t>and</w:t>
      </w:r>
      <w:r w:rsidR="00BC3EAB" w:rsidRPr="00CF6E0F">
        <w:rPr>
          <w:sz w:val="24"/>
          <w:szCs w:val="24"/>
        </w:rPr>
        <w:t xml:space="preserve"> </w:t>
      </w:r>
      <w:r w:rsidRPr="00CF6E0F">
        <w:rPr>
          <w:sz w:val="24"/>
          <w:szCs w:val="24"/>
        </w:rPr>
        <w:t>a</w:t>
      </w:r>
      <w:r w:rsidR="00BC3EAB" w:rsidRPr="00CF6E0F">
        <w:rPr>
          <w:sz w:val="24"/>
          <w:szCs w:val="24"/>
        </w:rPr>
        <w:t xml:space="preserve"> </w:t>
      </w:r>
      <w:r w:rsidRPr="00CF6E0F">
        <w:rPr>
          <w:sz w:val="24"/>
          <w:szCs w:val="24"/>
        </w:rPr>
        <w:t>completed</w:t>
      </w:r>
      <w:r w:rsidR="00BC3EAB" w:rsidRPr="00CF6E0F">
        <w:rPr>
          <w:sz w:val="24"/>
          <w:szCs w:val="24"/>
        </w:rPr>
        <w:t xml:space="preserve"> </w:t>
      </w:r>
      <w:r w:rsidRPr="00CF6E0F">
        <w:rPr>
          <w:sz w:val="24"/>
          <w:szCs w:val="24"/>
        </w:rPr>
        <w:t>Utility</w:t>
      </w:r>
      <w:r w:rsidR="00BC3EAB" w:rsidRPr="00CF6E0F">
        <w:rPr>
          <w:sz w:val="24"/>
          <w:szCs w:val="24"/>
        </w:rPr>
        <w:t xml:space="preserve"> </w:t>
      </w:r>
      <w:r w:rsidRPr="00CF6E0F">
        <w:rPr>
          <w:sz w:val="24"/>
          <w:szCs w:val="24"/>
        </w:rPr>
        <w:t>Contact</w:t>
      </w:r>
      <w:r w:rsidR="00BC3EAB" w:rsidRPr="00CF6E0F">
        <w:rPr>
          <w:sz w:val="24"/>
          <w:szCs w:val="24"/>
        </w:rPr>
        <w:t xml:space="preserve"> I</w:t>
      </w:r>
      <w:r w:rsidRPr="00CF6E0F">
        <w:rPr>
          <w:sz w:val="24"/>
          <w:szCs w:val="24"/>
        </w:rPr>
        <w:t>nformation</w:t>
      </w:r>
      <w:r w:rsidR="00BC3EAB" w:rsidRPr="00CF6E0F">
        <w:rPr>
          <w:sz w:val="24"/>
          <w:szCs w:val="24"/>
        </w:rPr>
        <w:t xml:space="preserve"> </w:t>
      </w:r>
      <w:r w:rsidRPr="00CF6E0F">
        <w:rPr>
          <w:sz w:val="24"/>
          <w:szCs w:val="24"/>
        </w:rPr>
        <w:t>Form</w:t>
      </w:r>
      <w:r w:rsidR="00BC3EAB" w:rsidRPr="00CF6E0F">
        <w:rPr>
          <w:sz w:val="24"/>
          <w:szCs w:val="24"/>
        </w:rPr>
        <w:t xml:space="preserve"> a</w:t>
      </w:r>
      <w:r w:rsidRPr="00CF6E0F">
        <w:rPr>
          <w:sz w:val="24"/>
          <w:szCs w:val="24"/>
        </w:rPr>
        <w:t>vailable</w:t>
      </w:r>
      <w:r w:rsidR="00BC3EAB" w:rsidRPr="00CF6E0F">
        <w:rPr>
          <w:sz w:val="24"/>
          <w:szCs w:val="24"/>
        </w:rPr>
        <w:t xml:space="preserve"> </w:t>
      </w:r>
      <w:r w:rsidRPr="00CF6E0F">
        <w:rPr>
          <w:sz w:val="24"/>
          <w:szCs w:val="24"/>
        </w:rPr>
        <w:t>at</w:t>
      </w:r>
      <w:r w:rsidR="00BC3EAB" w:rsidRPr="00CF6E0F">
        <w:rPr>
          <w:sz w:val="24"/>
          <w:szCs w:val="24"/>
        </w:rPr>
        <w:t xml:space="preserve"> the CPUC Website</w:t>
      </w:r>
      <w:r w:rsidRPr="00CF6E0F">
        <w:rPr>
          <w:sz w:val="24"/>
          <w:szCs w:val="24"/>
        </w:rPr>
        <w:t xml:space="preserve">: </w:t>
      </w:r>
      <w:hyperlink r:id="rId8">
        <w:r w:rsidRPr="00CF6E0F">
          <w:rPr>
            <w:color w:val="275216"/>
            <w:sz w:val="24"/>
            <w:szCs w:val="24"/>
            <w:u w:val="single" w:color="393939"/>
          </w:rPr>
          <w:t>https://www.cpuc.ca.gov/-/media/cpuc-website/divisions/communications-</w:t>
        </w:r>
      </w:hyperlink>
      <w:hyperlink r:id="rId9">
        <w:r w:rsidRPr="00CF6E0F">
          <w:rPr>
            <w:color w:val="275216"/>
            <w:sz w:val="24"/>
            <w:szCs w:val="24"/>
            <w:u w:val="single" w:color="393939"/>
          </w:rPr>
          <w:t>division/documents/licensing-ompliance/contact-information-update-request-</w:t>
        </w:r>
      </w:hyperlink>
      <w:hyperlink r:id="rId10">
        <w:r w:rsidRPr="00CF6E0F">
          <w:rPr>
            <w:color w:val="275216"/>
            <w:sz w:val="24"/>
            <w:szCs w:val="24"/>
            <w:u w:val="single" w:color="393939"/>
          </w:rPr>
          <w:t>form.pdf</w:t>
        </w:r>
        <w:r w:rsidRPr="00CF6E0F">
          <w:rPr>
            <w:sz w:val="24"/>
            <w:szCs w:val="24"/>
          </w:rPr>
          <w:t>.</w:t>
        </w:r>
      </w:hyperlink>
      <w:r w:rsidRPr="00CF6E0F">
        <w:rPr>
          <w:sz w:val="24"/>
          <w:szCs w:val="24"/>
        </w:rPr>
        <w:t xml:space="preserve"> Leave</w:t>
      </w:r>
      <w:r w:rsidR="00BC3EAB" w:rsidRPr="00CF6E0F">
        <w:rPr>
          <w:sz w:val="24"/>
          <w:szCs w:val="24"/>
        </w:rPr>
        <w:t xml:space="preserve"> </w:t>
      </w:r>
      <w:r w:rsidRPr="00CF6E0F">
        <w:rPr>
          <w:sz w:val="24"/>
          <w:szCs w:val="24"/>
        </w:rPr>
        <w:t>blank the Utility ID field as this information will be provided upon approval of the CD Registration request.</w:t>
      </w:r>
    </w:p>
    <w:p w14:paraId="39237EE4" w14:textId="3AE8A2DD" w:rsidR="00BC3EAB" w:rsidRPr="00CF6E0F" w:rsidRDefault="00C53A44" w:rsidP="00CF6E0F">
      <w:pPr>
        <w:pStyle w:val="ListParagraph"/>
        <w:numPr>
          <w:ilvl w:val="1"/>
          <w:numId w:val="2"/>
        </w:numPr>
        <w:spacing w:before="240"/>
        <w:ind w:left="811"/>
        <w:contextualSpacing w:val="0"/>
        <w:jc w:val="both"/>
        <w:rPr>
          <w:sz w:val="24"/>
          <w:szCs w:val="24"/>
        </w:rPr>
      </w:pPr>
      <w:r w:rsidRPr="00CF6E0F">
        <w:rPr>
          <w:sz w:val="24"/>
          <w:szCs w:val="24"/>
        </w:rPr>
        <w:t xml:space="preserve">In Section 12 of the form, </w:t>
      </w:r>
      <w:bookmarkStart w:id="3" w:name="_Hlk201333539"/>
      <w:r w:rsidR="00BC3EAB" w:rsidRPr="00CF6E0F">
        <w:rPr>
          <w:sz w:val="24"/>
          <w:szCs w:val="24"/>
        </w:rPr>
        <w:t>the Applicant must mark “True” to attest that, upon approval of its request, it will comply with the California Public Utilities Commission’s performance bond requirements in accordance with D.10-09-017, D.11-09-026, D.13-05-035, and D.24-11-003.</w:t>
      </w:r>
      <w:bookmarkEnd w:id="3"/>
    </w:p>
    <w:p w14:paraId="6A7020CE" w14:textId="02D7612E" w:rsidR="00C6254D" w:rsidRPr="00CF6E0F" w:rsidRDefault="00C6254D" w:rsidP="00CF6E0F">
      <w:pPr>
        <w:pStyle w:val="ListParagraph"/>
        <w:numPr>
          <w:ilvl w:val="1"/>
          <w:numId w:val="2"/>
        </w:numPr>
        <w:tabs>
          <w:tab w:val="left" w:pos="360"/>
        </w:tabs>
        <w:spacing w:before="161" w:after="240"/>
        <w:ind w:left="812"/>
        <w:contextualSpacing w:val="0"/>
        <w:jc w:val="both"/>
        <w:rPr>
          <w:sz w:val="24"/>
          <w:szCs w:val="24"/>
        </w:rPr>
      </w:pPr>
      <w:bookmarkStart w:id="4" w:name="_Hlk201333553"/>
      <w:r w:rsidRPr="00CF6E0F">
        <w:rPr>
          <w:sz w:val="24"/>
          <w:szCs w:val="24"/>
        </w:rPr>
        <w:t xml:space="preserve">The Authorized filer of the CD Registration </w:t>
      </w:r>
      <w:r w:rsidR="001D5E69">
        <w:rPr>
          <w:sz w:val="24"/>
          <w:szCs w:val="24"/>
        </w:rPr>
        <w:t xml:space="preserve">must </w:t>
      </w:r>
      <w:r w:rsidRPr="00CF6E0F">
        <w:rPr>
          <w:sz w:val="24"/>
          <w:szCs w:val="24"/>
        </w:rPr>
        <w:t xml:space="preserve">complete all the information </w:t>
      </w:r>
      <w:r w:rsidR="001D5E69">
        <w:rPr>
          <w:sz w:val="24"/>
          <w:szCs w:val="24"/>
        </w:rPr>
        <w:t xml:space="preserve">on </w:t>
      </w:r>
      <w:r w:rsidRPr="00CF6E0F">
        <w:rPr>
          <w:sz w:val="24"/>
          <w:szCs w:val="24"/>
        </w:rPr>
        <w:t xml:space="preserve">the last page of the CD Registration form. </w:t>
      </w:r>
    </w:p>
    <w:p w14:paraId="4EA7A80E" w14:textId="77777777" w:rsidR="00C6254D" w:rsidRPr="00CF6E0F" w:rsidRDefault="00C6254D" w:rsidP="00CF6E0F">
      <w:pPr>
        <w:pStyle w:val="ListParagraph"/>
        <w:numPr>
          <w:ilvl w:val="1"/>
          <w:numId w:val="2"/>
        </w:numPr>
        <w:tabs>
          <w:tab w:val="left" w:pos="360"/>
        </w:tabs>
        <w:spacing w:before="161" w:after="240"/>
        <w:ind w:left="812"/>
        <w:contextualSpacing w:val="0"/>
        <w:jc w:val="both"/>
        <w:rPr>
          <w:sz w:val="24"/>
          <w:szCs w:val="24"/>
        </w:rPr>
      </w:pPr>
      <w:r w:rsidRPr="00CF6E0F">
        <w:rPr>
          <w:sz w:val="24"/>
          <w:szCs w:val="24"/>
        </w:rPr>
        <w:t>Appendices that do not apply to Applicant must be included and identified as “Not Applicable.” Applicant may include an additional Appendix to provide additional and supporting information.</w:t>
      </w:r>
    </w:p>
    <w:bookmarkEnd w:id="4"/>
    <w:p w14:paraId="44A2330C" w14:textId="77777777" w:rsidR="00BC3EAB" w:rsidRPr="00CF6E0F" w:rsidRDefault="00BC3EAB" w:rsidP="00CF6E0F">
      <w:pPr>
        <w:pStyle w:val="ListParagraph"/>
        <w:numPr>
          <w:ilvl w:val="0"/>
          <w:numId w:val="2"/>
        </w:numPr>
        <w:tabs>
          <w:tab w:val="left" w:pos="360"/>
        </w:tabs>
        <w:spacing w:before="241"/>
        <w:ind w:left="360"/>
        <w:contextualSpacing w:val="0"/>
        <w:jc w:val="both"/>
        <w:rPr>
          <w:sz w:val="24"/>
          <w:szCs w:val="24"/>
        </w:rPr>
      </w:pPr>
      <w:r w:rsidRPr="00CF6E0F">
        <w:rPr>
          <w:sz w:val="24"/>
          <w:szCs w:val="24"/>
        </w:rPr>
        <w:t xml:space="preserve">Complete Attachment A of the form: </w:t>
      </w:r>
      <w:proofErr w:type="gramStart"/>
      <w:r w:rsidRPr="00CF6E0F">
        <w:rPr>
          <w:sz w:val="24"/>
          <w:szCs w:val="24"/>
        </w:rPr>
        <w:t>Sworn Affidavit</w:t>
      </w:r>
      <w:proofErr w:type="gramEnd"/>
      <w:r w:rsidRPr="00CF6E0F">
        <w:rPr>
          <w:sz w:val="24"/>
          <w:szCs w:val="24"/>
        </w:rPr>
        <w:t xml:space="preserve"> and save as a PDF/A compliant document. The document must be signed by an officer of the Applicant.</w:t>
      </w:r>
    </w:p>
    <w:p w14:paraId="5D0C017A" w14:textId="7263AE5D" w:rsidR="00BC3EAB" w:rsidRPr="00CF6E0F" w:rsidRDefault="00BC3EAB" w:rsidP="00CF6E0F">
      <w:pPr>
        <w:pStyle w:val="ListParagraph"/>
        <w:numPr>
          <w:ilvl w:val="0"/>
          <w:numId w:val="2"/>
        </w:numPr>
        <w:tabs>
          <w:tab w:val="left" w:pos="360"/>
        </w:tabs>
        <w:spacing w:before="240" w:after="240"/>
        <w:ind w:left="360"/>
        <w:contextualSpacing w:val="0"/>
        <w:jc w:val="both"/>
        <w:rPr>
          <w:sz w:val="24"/>
          <w:szCs w:val="24"/>
        </w:rPr>
      </w:pPr>
      <w:bookmarkStart w:id="5" w:name="_Hlk201333579"/>
      <w:r w:rsidRPr="00CF6E0F">
        <w:rPr>
          <w:sz w:val="24"/>
          <w:szCs w:val="24"/>
        </w:rPr>
        <w:t xml:space="preserve">Combine all required documents into one PDF/A compliant document which includes: (1) CD Registration Form with all the required Appendices, (2) Copy of the Payment Fee, (3) Utility Contact Information form, and (4) Attachment A - Sworn Verification. Submit one PDF/A compliant document via </w:t>
      </w:r>
      <w:r w:rsidR="00C6254D" w:rsidRPr="00CF6E0F">
        <w:rPr>
          <w:sz w:val="24"/>
          <w:szCs w:val="24"/>
        </w:rPr>
        <w:t xml:space="preserve">email to </w:t>
      </w:r>
      <w:hyperlink r:id="rId11" w:history="1">
        <w:r w:rsidR="00C6254D" w:rsidRPr="00CF6E0F">
          <w:rPr>
            <w:rStyle w:val="Hyperlink"/>
            <w:sz w:val="24"/>
            <w:szCs w:val="24"/>
          </w:rPr>
          <w:t>CDCompliance@cpuc.ca.gov</w:t>
        </w:r>
      </w:hyperlink>
      <w:r w:rsidR="00C6254D" w:rsidRPr="00CF6E0F">
        <w:rPr>
          <w:sz w:val="24"/>
          <w:szCs w:val="24"/>
        </w:rPr>
        <w:t xml:space="preserve">. </w:t>
      </w:r>
      <w:r w:rsidRPr="00CF6E0F">
        <w:rPr>
          <w:sz w:val="24"/>
          <w:szCs w:val="24"/>
        </w:rPr>
        <w:t xml:space="preserve">All documents must be saved as a PDF/A compliant document. Refer to </w:t>
      </w:r>
      <w:hyperlink r:id="rId12" w:history="1">
        <w:r w:rsidRPr="00CF6E0F">
          <w:rPr>
            <w:rStyle w:val="Hyperlink"/>
            <w:sz w:val="24"/>
            <w:szCs w:val="24"/>
          </w:rPr>
          <w:t xml:space="preserve">Special Instruction to create a PDF/A </w:t>
        </w:r>
        <w:r w:rsidRPr="00CF6E0F">
          <w:rPr>
            <w:rStyle w:val="Hyperlink"/>
            <w:sz w:val="24"/>
            <w:szCs w:val="24"/>
          </w:rPr>
          <w:lastRenderedPageBreak/>
          <w:t>compliant package</w:t>
        </w:r>
      </w:hyperlink>
      <w:r w:rsidRPr="00CF6E0F">
        <w:rPr>
          <w:sz w:val="24"/>
          <w:szCs w:val="24"/>
        </w:rPr>
        <w:t xml:space="preserve">. </w:t>
      </w:r>
    </w:p>
    <w:bookmarkEnd w:id="5"/>
    <w:p w14:paraId="1E90C217" w14:textId="257DBEBF" w:rsidR="00BC3EAB" w:rsidRPr="00CF6E0F" w:rsidRDefault="00BC3EAB" w:rsidP="00CF6E0F">
      <w:pPr>
        <w:pStyle w:val="ListParagraph"/>
        <w:keepNext/>
        <w:numPr>
          <w:ilvl w:val="0"/>
          <w:numId w:val="2"/>
        </w:numPr>
        <w:tabs>
          <w:tab w:val="left" w:pos="360"/>
        </w:tabs>
        <w:spacing w:before="240" w:after="240"/>
        <w:ind w:left="360"/>
        <w:contextualSpacing w:val="0"/>
        <w:jc w:val="both"/>
        <w:rPr>
          <w:sz w:val="24"/>
          <w:szCs w:val="24"/>
        </w:rPr>
      </w:pPr>
      <w:r w:rsidRPr="00CF6E0F">
        <w:rPr>
          <w:sz w:val="24"/>
          <w:szCs w:val="24"/>
        </w:rPr>
        <w:t>Pay and submit the CD Registration Filing Fee to CPUC</w:t>
      </w:r>
      <w:r w:rsidR="005960B8" w:rsidRPr="00CF6E0F">
        <w:rPr>
          <w:sz w:val="24"/>
          <w:szCs w:val="24"/>
        </w:rPr>
        <w:t xml:space="preserve"> Fiscal Office</w:t>
      </w:r>
      <w:r w:rsidRPr="00CF6E0F">
        <w:rPr>
          <w:sz w:val="24"/>
          <w:szCs w:val="24"/>
        </w:rPr>
        <w:t xml:space="preserve">. </w:t>
      </w:r>
      <w:bookmarkStart w:id="6" w:name="_Hlk201333632"/>
      <w:r w:rsidRPr="00CF6E0F">
        <w:rPr>
          <w:sz w:val="24"/>
          <w:szCs w:val="24"/>
        </w:rPr>
        <w:t xml:space="preserve">Refer to the filing fee schedule posted at </w:t>
      </w:r>
      <w:hyperlink r:id="rId13">
        <w:r w:rsidRPr="00CF6E0F">
          <w:rPr>
            <w:color w:val="467885"/>
            <w:sz w:val="24"/>
            <w:szCs w:val="24"/>
            <w:u w:val="single" w:color="467885"/>
          </w:rPr>
          <w:t>https://www.cpuc.ca.gov/-/media/cpuc-</w:t>
        </w:r>
      </w:hyperlink>
      <w:hyperlink r:id="rId14">
        <w:r w:rsidRPr="00CF6E0F">
          <w:rPr>
            <w:color w:val="467885"/>
            <w:sz w:val="24"/>
            <w:szCs w:val="24"/>
            <w:u w:val="single" w:color="467885"/>
          </w:rPr>
          <w:t>website/divisions/administrative-law-judge-division/documents/2024-filing-</w:t>
        </w:r>
      </w:hyperlink>
      <w:hyperlink r:id="rId15">
        <w:r w:rsidRPr="00CF6E0F">
          <w:rPr>
            <w:color w:val="467885"/>
            <w:sz w:val="24"/>
            <w:szCs w:val="24"/>
            <w:u w:val="single" w:color="467885"/>
          </w:rPr>
          <w:t>fees.pdf</w:t>
        </w:r>
      </w:hyperlink>
      <w:r w:rsidRPr="00CF6E0F">
        <w:rPr>
          <w:sz w:val="24"/>
          <w:szCs w:val="24"/>
        </w:rPr>
        <w:t>. Failure to include the filing fee may result in a delay or rejection of the filing.</w:t>
      </w:r>
      <w:bookmarkEnd w:id="6"/>
    </w:p>
    <w:p w14:paraId="4F2329D2" w14:textId="046A661F" w:rsidR="005F425B" w:rsidRPr="00CF6E0F" w:rsidRDefault="005F425B" w:rsidP="00CF6E0F">
      <w:pPr>
        <w:pStyle w:val="ListParagraph"/>
        <w:numPr>
          <w:ilvl w:val="0"/>
          <w:numId w:val="7"/>
        </w:numPr>
        <w:tabs>
          <w:tab w:val="left" w:pos="1079"/>
          <w:tab w:val="left" w:pos="3959"/>
        </w:tabs>
        <w:spacing w:line="323" w:lineRule="exact"/>
        <w:ind w:left="1171"/>
        <w:contextualSpacing w:val="0"/>
        <w:jc w:val="both"/>
        <w:rPr>
          <w:sz w:val="24"/>
          <w:szCs w:val="24"/>
        </w:rPr>
      </w:pPr>
      <w:r w:rsidRPr="00CF6E0F">
        <w:rPr>
          <w:sz w:val="24"/>
          <w:szCs w:val="24"/>
        </w:rPr>
        <w:t xml:space="preserve">Payee: </w:t>
      </w:r>
      <w:r w:rsidRPr="00CF6E0F">
        <w:rPr>
          <w:sz w:val="24"/>
          <w:szCs w:val="24"/>
        </w:rPr>
        <w:tab/>
      </w:r>
      <w:r w:rsidRPr="00CF6E0F">
        <w:rPr>
          <w:sz w:val="24"/>
          <w:szCs w:val="24"/>
        </w:rPr>
        <w:tab/>
        <w:t>California Public Utilities Commission</w:t>
      </w:r>
    </w:p>
    <w:p w14:paraId="13084046" w14:textId="11920E25" w:rsidR="005F425B" w:rsidRPr="00CF6E0F" w:rsidRDefault="005F425B" w:rsidP="00CF6E0F">
      <w:pPr>
        <w:pStyle w:val="ListParagraph"/>
        <w:numPr>
          <w:ilvl w:val="0"/>
          <w:numId w:val="7"/>
        </w:numPr>
        <w:tabs>
          <w:tab w:val="left" w:pos="1079"/>
          <w:tab w:val="left" w:pos="3959"/>
        </w:tabs>
        <w:spacing w:line="323" w:lineRule="exact"/>
        <w:ind w:left="1171"/>
        <w:contextualSpacing w:val="0"/>
        <w:jc w:val="both"/>
        <w:rPr>
          <w:sz w:val="24"/>
          <w:szCs w:val="24"/>
        </w:rPr>
      </w:pPr>
      <w:r w:rsidRPr="00CF6E0F">
        <w:rPr>
          <w:sz w:val="24"/>
          <w:szCs w:val="24"/>
        </w:rPr>
        <w:t xml:space="preserve">Memo </w:t>
      </w:r>
      <w:r w:rsidR="004B5106" w:rsidRPr="00CF6E0F">
        <w:rPr>
          <w:sz w:val="24"/>
          <w:szCs w:val="24"/>
        </w:rPr>
        <w:t>L</w:t>
      </w:r>
      <w:r w:rsidRPr="00CF6E0F">
        <w:rPr>
          <w:sz w:val="24"/>
          <w:szCs w:val="24"/>
        </w:rPr>
        <w:t xml:space="preserve">ine: </w:t>
      </w:r>
      <w:r w:rsidRPr="00CF6E0F">
        <w:rPr>
          <w:sz w:val="24"/>
          <w:szCs w:val="24"/>
        </w:rPr>
        <w:tab/>
      </w:r>
      <w:r w:rsidRPr="00CF6E0F">
        <w:rPr>
          <w:sz w:val="24"/>
          <w:szCs w:val="24"/>
        </w:rPr>
        <w:tab/>
        <w:t xml:space="preserve">CD Registration </w:t>
      </w:r>
      <w:proofErr w:type="gramStart"/>
      <w:r w:rsidRPr="00CF6E0F">
        <w:rPr>
          <w:sz w:val="24"/>
          <w:szCs w:val="24"/>
        </w:rPr>
        <w:t>Fee  of</w:t>
      </w:r>
      <w:proofErr w:type="gramEnd"/>
      <w:r w:rsidRPr="00CF6E0F">
        <w:rPr>
          <w:sz w:val="24"/>
          <w:szCs w:val="24"/>
        </w:rPr>
        <w:t xml:space="preserve"> [Name of Applicant]</w:t>
      </w:r>
    </w:p>
    <w:p w14:paraId="3E966EE2" w14:textId="3A57B267" w:rsidR="005F425B" w:rsidRPr="00CF6E0F" w:rsidRDefault="005F425B" w:rsidP="00CF6E0F">
      <w:pPr>
        <w:pStyle w:val="ListParagraph"/>
        <w:numPr>
          <w:ilvl w:val="0"/>
          <w:numId w:val="7"/>
        </w:numPr>
        <w:tabs>
          <w:tab w:val="left" w:pos="1079"/>
          <w:tab w:val="left" w:pos="3959"/>
        </w:tabs>
        <w:ind w:left="1171"/>
        <w:contextualSpacing w:val="0"/>
        <w:jc w:val="both"/>
        <w:rPr>
          <w:sz w:val="24"/>
          <w:szCs w:val="24"/>
        </w:rPr>
      </w:pPr>
      <w:r w:rsidRPr="00CF6E0F">
        <w:rPr>
          <w:sz w:val="24"/>
          <w:szCs w:val="24"/>
        </w:rPr>
        <w:t xml:space="preserve">Send Payment </w:t>
      </w:r>
      <w:r w:rsidR="004B5106" w:rsidRPr="00CF6E0F">
        <w:rPr>
          <w:sz w:val="24"/>
          <w:szCs w:val="24"/>
        </w:rPr>
        <w:t>T</w:t>
      </w:r>
      <w:r w:rsidRPr="00CF6E0F">
        <w:rPr>
          <w:sz w:val="24"/>
          <w:szCs w:val="24"/>
        </w:rPr>
        <w:t xml:space="preserve">o: </w:t>
      </w:r>
      <w:r w:rsidRPr="00CF6E0F">
        <w:rPr>
          <w:sz w:val="24"/>
          <w:szCs w:val="24"/>
        </w:rPr>
        <w:tab/>
      </w:r>
      <w:r w:rsidRPr="00CF6E0F">
        <w:rPr>
          <w:sz w:val="24"/>
          <w:szCs w:val="24"/>
        </w:rPr>
        <w:tab/>
        <w:t xml:space="preserve">ATTN: CPUC Fiscal Office – CD Registration </w:t>
      </w:r>
    </w:p>
    <w:p w14:paraId="2C28A972" w14:textId="77777777" w:rsidR="005F425B" w:rsidRPr="00CF6E0F" w:rsidRDefault="005F425B" w:rsidP="00CF6E0F">
      <w:pPr>
        <w:pStyle w:val="BodyText"/>
        <w:ind w:left="3690" w:firstLine="630"/>
        <w:rPr>
          <w:sz w:val="24"/>
          <w:szCs w:val="24"/>
        </w:rPr>
      </w:pPr>
      <w:r w:rsidRPr="00CF6E0F">
        <w:rPr>
          <w:sz w:val="24"/>
          <w:szCs w:val="24"/>
        </w:rPr>
        <w:t>505 Van Ness Avenue</w:t>
      </w:r>
    </w:p>
    <w:p w14:paraId="2EF94FFC" w14:textId="77777777" w:rsidR="005F425B" w:rsidRPr="00CF6E0F" w:rsidRDefault="005F425B" w:rsidP="00CF6E0F">
      <w:pPr>
        <w:pStyle w:val="BodyText"/>
        <w:spacing w:before="1"/>
        <w:ind w:left="3690" w:firstLine="630"/>
        <w:rPr>
          <w:sz w:val="24"/>
          <w:szCs w:val="24"/>
        </w:rPr>
      </w:pPr>
      <w:r w:rsidRPr="00CF6E0F">
        <w:rPr>
          <w:sz w:val="24"/>
          <w:szCs w:val="24"/>
        </w:rPr>
        <w:t>San Francisco, CA 94102</w:t>
      </w:r>
    </w:p>
    <w:p w14:paraId="0B467329" w14:textId="77777777" w:rsidR="00D2522B" w:rsidRPr="00CF6E0F" w:rsidRDefault="00D2522B" w:rsidP="00CF6E0F">
      <w:pPr>
        <w:jc w:val="both"/>
        <w:rPr>
          <w:sz w:val="24"/>
          <w:szCs w:val="24"/>
        </w:rPr>
      </w:pPr>
    </w:p>
    <w:sectPr w:rsidR="00D2522B" w:rsidRPr="00CF6E0F" w:rsidSect="00C53A44">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7EDD7" w14:textId="77777777" w:rsidR="00954DA7" w:rsidRDefault="00954DA7" w:rsidP="00C53A44">
      <w:r>
        <w:separator/>
      </w:r>
    </w:p>
  </w:endnote>
  <w:endnote w:type="continuationSeparator" w:id="0">
    <w:p w14:paraId="7611C485" w14:textId="77777777" w:rsidR="00954DA7" w:rsidRDefault="00954DA7" w:rsidP="00C5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31B7" w14:textId="77777777" w:rsidR="005559C1" w:rsidRDefault="00555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DA2F" w14:textId="77777777" w:rsidR="005559C1" w:rsidRDefault="00555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C7219" w14:textId="77777777" w:rsidR="005559C1" w:rsidRDefault="00555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08232" w14:textId="77777777" w:rsidR="00954DA7" w:rsidRDefault="00954DA7" w:rsidP="00C53A44">
      <w:r>
        <w:separator/>
      </w:r>
    </w:p>
  </w:footnote>
  <w:footnote w:type="continuationSeparator" w:id="0">
    <w:p w14:paraId="63B6F7B0" w14:textId="77777777" w:rsidR="00954DA7" w:rsidRDefault="00954DA7" w:rsidP="00C53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2C4F" w14:textId="77777777" w:rsidR="005559C1" w:rsidRDefault="00555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D2BAC" w14:textId="77777777" w:rsidR="00C53A44" w:rsidRPr="005559C1" w:rsidRDefault="00C53A44" w:rsidP="00C53A44">
    <w:pPr>
      <w:spacing w:line="245" w:lineRule="exact"/>
      <w:ind w:left="20"/>
      <w:rPr>
        <w:rFonts w:ascii="Century Gothic" w:hAnsi="Century Gothic"/>
        <w:sz w:val="20"/>
        <w:szCs w:val="20"/>
      </w:rPr>
    </w:pPr>
    <w:r w:rsidRPr="005559C1">
      <w:rPr>
        <w:rFonts w:ascii="Century Gothic" w:hAnsi="Century Gothic"/>
        <w:sz w:val="20"/>
        <w:szCs w:val="20"/>
      </w:rPr>
      <w:t>California</w:t>
    </w:r>
    <w:r w:rsidRPr="005559C1">
      <w:rPr>
        <w:rFonts w:ascii="Century Gothic" w:hAnsi="Century Gothic"/>
        <w:spacing w:val="-7"/>
        <w:sz w:val="20"/>
        <w:szCs w:val="20"/>
      </w:rPr>
      <w:t xml:space="preserve"> </w:t>
    </w:r>
    <w:r w:rsidRPr="005559C1">
      <w:rPr>
        <w:rFonts w:ascii="Century Gothic" w:hAnsi="Century Gothic"/>
        <w:sz w:val="20"/>
        <w:szCs w:val="20"/>
      </w:rPr>
      <w:t>Public</w:t>
    </w:r>
    <w:r w:rsidRPr="005559C1">
      <w:rPr>
        <w:rFonts w:ascii="Century Gothic" w:hAnsi="Century Gothic"/>
        <w:spacing w:val="-7"/>
        <w:sz w:val="20"/>
        <w:szCs w:val="20"/>
      </w:rPr>
      <w:t xml:space="preserve"> </w:t>
    </w:r>
    <w:r w:rsidRPr="005559C1">
      <w:rPr>
        <w:rFonts w:ascii="Century Gothic" w:hAnsi="Century Gothic"/>
        <w:sz w:val="20"/>
        <w:szCs w:val="20"/>
      </w:rPr>
      <w:t>Utilities</w:t>
    </w:r>
    <w:r w:rsidRPr="005559C1">
      <w:rPr>
        <w:rFonts w:ascii="Century Gothic" w:hAnsi="Century Gothic"/>
        <w:spacing w:val="-7"/>
        <w:sz w:val="20"/>
        <w:szCs w:val="20"/>
      </w:rPr>
      <w:t xml:space="preserve"> </w:t>
    </w:r>
    <w:r w:rsidRPr="005559C1">
      <w:rPr>
        <w:rFonts w:ascii="Century Gothic" w:hAnsi="Century Gothic"/>
        <w:spacing w:val="-2"/>
        <w:sz w:val="20"/>
        <w:szCs w:val="20"/>
      </w:rPr>
      <w:t>Commission</w:t>
    </w:r>
  </w:p>
  <w:p w14:paraId="00115AFA" w14:textId="7A896DA8" w:rsidR="00C53A44" w:rsidRPr="005559C1" w:rsidRDefault="00C53A44" w:rsidP="00C53A44">
    <w:pPr>
      <w:ind w:left="20"/>
      <w:rPr>
        <w:rFonts w:ascii="Century Gothic" w:hAnsi="Century Gothic"/>
        <w:spacing w:val="-2"/>
        <w:sz w:val="20"/>
        <w:szCs w:val="20"/>
      </w:rPr>
    </w:pPr>
    <w:r w:rsidRPr="005559C1">
      <w:rPr>
        <w:rFonts w:ascii="Century Gothic" w:hAnsi="Century Gothic"/>
        <w:sz w:val="20"/>
        <w:szCs w:val="20"/>
      </w:rPr>
      <w:t>Instructions</w:t>
    </w:r>
    <w:r w:rsidRPr="005559C1">
      <w:rPr>
        <w:rFonts w:ascii="Century Gothic" w:hAnsi="Century Gothic"/>
        <w:spacing w:val="-9"/>
        <w:sz w:val="20"/>
        <w:szCs w:val="20"/>
      </w:rPr>
      <w:t xml:space="preserve"> </w:t>
    </w:r>
    <w:r w:rsidRPr="005559C1">
      <w:rPr>
        <w:rFonts w:ascii="Century Gothic" w:hAnsi="Century Gothic"/>
        <w:sz w:val="20"/>
        <w:szCs w:val="20"/>
      </w:rPr>
      <w:t>for</w:t>
    </w:r>
    <w:r w:rsidRPr="005559C1">
      <w:rPr>
        <w:rFonts w:ascii="Century Gothic" w:hAnsi="Century Gothic"/>
        <w:spacing w:val="-7"/>
        <w:sz w:val="20"/>
        <w:szCs w:val="20"/>
      </w:rPr>
      <w:t xml:space="preserve"> </w:t>
    </w:r>
    <w:r w:rsidRPr="005559C1">
      <w:rPr>
        <w:rFonts w:ascii="Century Gothic" w:hAnsi="Century Gothic"/>
        <w:sz w:val="20"/>
        <w:szCs w:val="20"/>
      </w:rPr>
      <w:t>CD</w:t>
    </w:r>
    <w:r w:rsidRPr="005559C1">
      <w:rPr>
        <w:rFonts w:ascii="Century Gothic" w:hAnsi="Century Gothic"/>
        <w:spacing w:val="-6"/>
        <w:sz w:val="20"/>
        <w:szCs w:val="20"/>
      </w:rPr>
      <w:t xml:space="preserve"> </w:t>
    </w:r>
    <w:r w:rsidRPr="005559C1">
      <w:rPr>
        <w:rFonts w:ascii="Century Gothic" w:hAnsi="Century Gothic"/>
        <w:sz w:val="20"/>
        <w:szCs w:val="20"/>
      </w:rPr>
      <w:t>Registration</w:t>
    </w:r>
    <w:r w:rsidRPr="005559C1">
      <w:rPr>
        <w:rFonts w:ascii="Century Gothic" w:hAnsi="Century Gothic"/>
        <w:spacing w:val="-7"/>
        <w:sz w:val="20"/>
        <w:szCs w:val="20"/>
      </w:rPr>
      <w:t xml:space="preserve"> </w:t>
    </w:r>
    <w:r w:rsidRPr="005559C1">
      <w:rPr>
        <w:rFonts w:ascii="Century Gothic" w:hAnsi="Century Gothic"/>
        <w:sz w:val="20"/>
        <w:szCs w:val="20"/>
      </w:rPr>
      <w:t>Form</w:t>
    </w:r>
    <w:r w:rsidRPr="005559C1">
      <w:rPr>
        <w:rFonts w:ascii="Century Gothic" w:hAnsi="Century Gothic"/>
        <w:spacing w:val="-8"/>
        <w:sz w:val="20"/>
        <w:szCs w:val="20"/>
      </w:rPr>
      <w:t xml:space="preserve"> </w:t>
    </w:r>
    <w:r w:rsidRPr="005559C1">
      <w:rPr>
        <w:rFonts w:ascii="Century Gothic" w:hAnsi="Century Gothic"/>
        <w:sz w:val="20"/>
        <w:szCs w:val="20"/>
      </w:rPr>
      <w:t>–</w:t>
    </w:r>
    <w:r w:rsidRPr="005559C1">
      <w:rPr>
        <w:rFonts w:ascii="Century Gothic" w:hAnsi="Century Gothic"/>
        <w:spacing w:val="-7"/>
        <w:sz w:val="20"/>
        <w:szCs w:val="20"/>
      </w:rPr>
      <w:t xml:space="preserve"> </w:t>
    </w:r>
    <w:r w:rsidRPr="005559C1">
      <w:rPr>
        <w:rFonts w:ascii="Century Gothic" w:hAnsi="Century Gothic"/>
        <w:sz w:val="20"/>
        <w:szCs w:val="20"/>
      </w:rPr>
      <w:t>Telephone</w:t>
    </w:r>
    <w:r w:rsidRPr="005559C1">
      <w:rPr>
        <w:rFonts w:ascii="Century Gothic" w:hAnsi="Century Gothic"/>
        <w:spacing w:val="-6"/>
        <w:sz w:val="20"/>
        <w:szCs w:val="20"/>
      </w:rPr>
      <w:t xml:space="preserve"> </w:t>
    </w:r>
    <w:r w:rsidRPr="005559C1">
      <w:rPr>
        <w:rFonts w:ascii="Century Gothic" w:hAnsi="Century Gothic"/>
        <w:spacing w:val="-2"/>
        <w:sz w:val="20"/>
        <w:szCs w:val="20"/>
      </w:rPr>
      <w:t>Corporation</w:t>
    </w:r>
  </w:p>
  <w:p w14:paraId="34DBE091" w14:textId="77777777" w:rsidR="00C53A44" w:rsidRPr="005559C1" w:rsidRDefault="00C53A44" w:rsidP="00C53A44">
    <w:pPr>
      <w:ind w:left="20"/>
      <w:rPr>
        <w:rFonts w:ascii="Century Gothic" w:hAnsi="Century Gothic"/>
        <w:spacing w:val="-2"/>
        <w:sz w:val="20"/>
        <w:szCs w:val="20"/>
      </w:rPr>
    </w:pPr>
    <w:r w:rsidRPr="005559C1">
      <w:rPr>
        <w:rFonts w:ascii="Century Gothic" w:hAnsi="Century Gothic"/>
        <w:spacing w:val="-2"/>
        <w:sz w:val="20"/>
        <w:szCs w:val="20"/>
      </w:rPr>
      <w:t xml:space="preserve">Page </w:t>
    </w:r>
    <w:r w:rsidRPr="005559C1">
      <w:rPr>
        <w:rFonts w:ascii="Century Gothic" w:hAnsi="Century Gothic"/>
        <w:b/>
        <w:bCs/>
        <w:spacing w:val="-2"/>
        <w:sz w:val="20"/>
        <w:szCs w:val="20"/>
      </w:rPr>
      <w:fldChar w:fldCharType="begin"/>
    </w:r>
    <w:r w:rsidRPr="005559C1">
      <w:rPr>
        <w:rFonts w:ascii="Century Gothic" w:hAnsi="Century Gothic"/>
        <w:b/>
        <w:bCs/>
        <w:spacing w:val="-2"/>
        <w:sz w:val="20"/>
        <w:szCs w:val="20"/>
      </w:rPr>
      <w:instrText xml:space="preserve"> PAGE  \* Arabic  \* MERGEFORMAT </w:instrText>
    </w:r>
    <w:r w:rsidRPr="005559C1">
      <w:rPr>
        <w:rFonts w:ascii="Century Gothic" w:hAnsi="Century Gothic"/>
        <w:b/>
        <w:bCs/>
        <w:spacing w:val="-2"/>
        <w:sz w:val="20"/>
        <w:szCs w:val="20"/>
      </w:rPr>
      <w:fldChar w:fldCharType="separate"/>
    </w:r>
    <w:r w:rsidRPr="005559C1">
      <w:rPr>
        <w:rFonts w:ascii="Century Gothic" w:hAnsi="Century Gothic"/>
        <w:b/>
        <w:bCs/>
        <w:spacing w:val="-2"/>
        <w:sz w:val="20"/>
        <w:szCs w:val="20"/>
      </w:rPr>
      <w:t>1</w:t>
    </w:r>
    <w:r w:rsidRPr="005559C1">
      <w:rPr>
        <w:rFonts w:ascii="Century Gothic" w:hAnsi="Century Gothic"/>
        <w:b/>
        <w:bCs/>
        <w:spacing w:val="-2"/>
        <w:sz w:val="20"/>
        <w:szCs w:val="20"/>
      </w:rPr>
      <w:fldChar w:fldCharType="end"/>
    </w:r>
    <w:r w:rsidRPr="005559C1">
      <w:rPr>
        <w:rFonts w:ascii="Century Gothic" w:hAnsi="Century Gothic"/>
        <w:spacing w:val="-2"/>
        <w:sz w:val="20"/>
        <w:szCs w:val="20"/>
      </w:rPr>
      <w:t xml:space="preserve"> of </w:t>
    </w:r>
    <w:r w:rsidRPr="005559C1">
      <w:rPr>
        <w:rFonts w:ascii="Century Gothic" w:hAnsi="Century Gothic"/>
        <w:b/>
        <w:bCs/>
        <w:spacing w:val="-2"/>
        <w:sz w:val="20"/>
        <w:szCs w:val="20"/>
      </w:rPr>
      <w:fldChar w:fldCharType="begin"/>
    </w:r>
    <w:r w:rsidRPr="005559C1">
      <w:rPr>
        <w:rFonts w:ascii="Century Gothic" w:hAnsi="Century Gothic"/>
        <w:b/>
        <w:bCs/>
        <w:spacing w:val="-2"/>
        <w:sz w:val="20"/>
        <w:szCs w:val="20"/>
      </w:rPr>
      <w:instrText xml:space="preserve"> NUMPAGES  \* Arabic  \* MERGEFORMAT </w:instrText>
    </w:r>
    <w:r w:rsidRPr="005559C1">
      <w:rPr>
        <w:rFonts w:ascii="Century Gothic" w:hAnsi="Century Gothic"/>
        <w:b/>
        <w:bCs/>
        <w:spacing w:val="-2"/>
        <w:sz w:val="20"/>
        <w:szCs w:val="20"/>
      </w:rPr>
      <w:fldChar w:fldCharType="separate"/>
    </w:r>
    <w:r w:rsidRPr="005559C1">
      <w:rPr>
        <w:rFonts w:ascii="Century Gothic" w:hAnsi="Century Gothic"/>
        <w:b/>
        <w:bCs/>
        <w:spacing w:val="-2"/>
        <w:sz w:val="20"/>
        <w:szCs w:val="20"/>
      </w:rPr>
      <w:t>5</w:t>
    </w:r>
    <w:r w:rsidRPr="005559C1">
      <w:rPr>
        <w:rFonts w:ascii="Century Gothic" w:hAnsi="Century Gothic"/>
        <w:b/>
        <w:bCs/>
        <w:spacing w:val="-2"/>
        <w:sz w:val="20"/>
        <w:szCs w:val="20"/>
      </w:rPr>
      <w:fldChar w:fldCharType="end"/>
    </w:r>
    <w:r w:rsidRPr="005559C1">
      <w:rPr>
        <w:rFonts w:ascii="Century Gothic" w:hAnsi="Century Gothic"/>
        <w:b/>
        <w:bCs/>
        <w:spacing w:val="-2"/>
        <w:sz w:val="20"/>
        <w:szCs w:val="20"/>
      </w:rPr>
      <w:t xml:space="preserve"> </w:t>
    </w:r>
    <w:r w:rsidRPr="005559C1">
      <w:rPr>
        <w:rFonts w:ascii="Century Gothic" w:hAnsi="Century Gothic"/>
        <w:spacing w:val="-2"/>
        <w:sz w:val="20"/>
        <w:szCs w:val="20"/>
      </w:rPr>
      <w:t>(rev June 2025)</w:t>
    </w:r>
  </w:p>
  <w:p w14:paraId="2AD26697" w14:textId="77777777" w:rsidR="00C53A44" w:rsidRPr="005559C1" w:rsidRDefault="00C53A44" w:rsidP="00C53A44">
    <w:pPr>
      <w:pStyle w:val="Header"/>
      <w:rPr>
        <w:rFonts w:ascii="Century Gothic" w:hAnsi="Century Gothic"/>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D55A" w14:textId="77777777" w:rsidR="005559C1" w:rsidRDefault="00555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B31"/>
    <w:multiLevelType w:val="hybridMultilevel"/>
    <w:tmpl w:val="69CAC138"/>
    <w:lvl w:ilvl="0" w:tplc="357C3074">
      <w:start w:val="1"/>
      <w:numFmt w:val="decimal"/>
      <w:lvlText w:val="%1."/>
      <w:lvlJc w:val="left"/>
      <w:pPr>
        <w:ind w:left="360"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3FA2A642">
      <w:start w:val="1"/>
      <w:numFmt w:val="lowerLetter"/>
      <w:lvlText w:val="%2."/>
      <w:lvlJc w:val="left"/>
      <w:pPr>
        <w:ind w:left="811"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2" w:tplc="04090001">
      <w:start w:val="1"/>
      <w:numFmt w:val="bullet"/>
      <w:lvlText w:val=""/>
      <w:lvlJc w:val="left"/>
      <w:pPr>
        <w:ind w:left="1440" w:hanging="360"/>
      </w:pPr>
      <w:rPr>
        <w:rFonts w:ascii="Symbol" w:hAnsi="Symbol" w:hint="default"/>
      </w:rPr>
    </w:lvl>
    <w:lvl w:ilvl="3" w:tplc="6576F52A">
      <w:numFmt w:val="bullet"/>
      <w:lvlText w:val="•"/>
      <w:lvlJc w:val="left"/>
      <w:pPr>
        <w:ind w:left="2160" w:hanging="360"/>
      </w:pPr>
      <w:rPr>
        <w:rFonts w:hint="default"/>
        <w:lang w:val="en-US" w:eastAsia="en-US" w:bidi="ar-SA"/>
      </w:rPr>
    </w:lvl>
    <w:lvl w:ilvl="4" w:tplc="F4423E66">
      <w:numFmt w:val="bullet"/>
      <w:lvlText w:val="•"/>
      <w:lvlJc w:val="left"/>
      <w:pPr>
        <w:ind w:left="3240" w:hanging="360"/>
      </w:pPr>
      <w:rPr>
        <w:rFonts w:hint="default"/>
        <w:lang w:val="en-US" w:eastAsia="en-US" w:bidi="ar-SA"/>
      </w:rPr>
    </w:lvl>
    <w:lvl w:ilvl="5" w:tplc="26F871A8">
      <w:numFmt w:val="bullet"/>
      <w:lvlText w:val="•"/>
      <w:lvlJc w:val="left"/>
      <w:pPr>
        <w:ind w:left="4320" w:hanging="360"/>
      </w:pPr>
      <w:rPr>
        <w:rFonts w:hint="default"/>
        <w:lang w:val="en-US" w:eastAsia="en-US" w:bidi="ar-SA"/>
      </w:rPr>
    </w:lvl>
    <w:lvl w:ilvl="6" w:tplc="BBE27B32">
      <w:numFmt w:val="bullet"/>
      <w:lvlText w:val="•"/>
      <w:lvlJc w:val="left"/>
      <w:pPr>
        <w:ind w:left="5400" w:hanging="360"/>
      </w:pPr>
      <w:rPr>
        <w:rFonts w:hint="default"/>
        <w:lang w:val="en-US" w:eastAsia="en-US" w:bidi="ar-SA"/>
      </w:rPr>
    </w:lvl>
    <w:lvl w:ilvl="7" w:tplc="CFA8E1E2">
      <w:numFmt w:val="bullet"/>
      <w:lvlText w:val="•"/>
      <w:lvlJc w:val="left"/>
      <w:pPr>
        <w:ind w:left="6480" w:hanging="360"/>
      </w:pPr>
      <w:rPr>
        <w:rFonts w:hint="default"/>
        <w:lang w:val="en-US" w:eastAsia="en-US" w:bidi="ar-SA"/>
      </w:rPr>
    </w:lvl>
    <w:lvl w:ilvl="8" w:tplc="1A104EFC">
      <w:numFmt w:val="bullet"/>
      <w:lvlText w:val="•"/>
      <w:lvlJc w:val="left"/>
      <w:pPr>
        <w:ind w:left="7560" w:hanging="360"/>
      </w:pPr>
      <w:rPr>
        <w:rFonts w:hint="default"/>
        <w:lang w:val="en-US" w:eastAsia="en-US" w:bidi="ar-SA"/>
      </w:rPr>
    </w:lvl>
  </w:abstractNum>
  <w:abstractNum w:abstractNumId="1" w15:restartNumberingAfterBreak="0">
    <w:nsid w:val="0C8B6166"/>
    <w:multiLevelType w:val="hybridMultilevel"/>
    <w:tmpl w:val="FDA09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F8602B"/>
    <w:multiLevelType w:val="hybridMultilevel"/>
    <w:tmpl w:val="1C80B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6F3FD9"/>
    <w:multiLevelType w:val="hybridMultilevel"/>
    <w:tmpl w:val="47528B2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366328F7"/>
    <w:multiLevelType w:val="hybridMultilevel"/>
    <w:tmpl w:val="90E41588"/>
    <w:lvl w:ilvl="0" w:tplc="5322CB8A">
      <w:numFmt w:val="bullet"/>
      <w:lvlText w:val=""/>
      <w:lvlJc w:val="left"/>
      <w:pPr>
        <w:ind w:left="720" w:hanging="360"/>
      </w:pPr>
      <w:rPr>
        <w:rFonts w:ascii="Symbol" w:eastAsia="Symbol" w:hAnsi="Symbol" w:cs="Symbol" w:hint="default"/>
        <w:spacing w:val="0"/>
        <w:w w:val="100"/>
        <w:lang w:val="en-US" w:eastAsia="en-US" w:bidi="ar-SA"/>
      </w:rPr>
    </w:lvl>
    <w:lvl w:ilvl="1" w:tplc="E5245D00">
      <w:numFmt w:val="bullet"/>
      <w:lvlText w:val="•"/>
      <w:lvlJc w:val="left"/>
      <w:pPr>
        <w:ind w:left="1620" w:hanging="360"/>
      </w:pPr>
      <w:rPr>
        <w:rFonts w:hint="default"/>
        <w:lang w:val="en-US" w:eastAsia="en-US" w:bidi="ar-SA"/>
      </w:rPr>
    </w:lvl>
    <w:lvl w:ilvl="2" w:tplc="4A8E7DA6">
      <w:numFmt w:val="bullet"/>
      <w:lvlText w:val="•"/>
      <w:lvlJc w:val="left"/>
      <w:pPr>
        <w:ind w:left="2520" w:hanging="360"/>
      </w:pPr>
      <w:rPr>
        <w:rFonts w:hint="default"/>
        <w:lang w:val="en-US" w:eastAsia="en-US" w:bidi="ar-SA"/>
      </w:rPr>
    </w:lvl>
    <w:lvl w:ilvl="3" w:tplc="CE1ED9A4">
      <w:numFmt w:val="bullet"/>
      <w:lvlText w:val="•"/>
      <w:lvlJc w:val="left"/>
      <w:pPr>
        <w:ind w:left="3420" w:hanging="360"/>
      </w:pPr>
      <w:rPr>
        <w:rFonts w:hint="default"/>
        <w:lang w:val="en-US" w:eastAsia="en-US" w:bidi="ar-SA"/>
      </w:rPr>
    </w:lvl>
    <w:lvl w:ilvl="4" w:tplc="E6DC1B8E">
      <w:numFmt w:val="bullet"/>
      <w:lvlText w:val="•"/>
      <w:lvlJc w:val="left"/>
      <w:pPr>
        <w:ind w:left="4320" w:hanging="360"/>
      </w:pPr>
      <w:rPr>
        <w:rFonts w:hint="default"/>
        <w:lang w:val="en-US" w:eastAsia="en-US" w:bidi="ar-SA"/>
      </w:rPr>
    </w:lvl>
    <w:lvl w:ilvl="5" w:tplc="5F5CA6C2">
      <w:numFmt w:val="bullet"/>
      <w:lvlText w:val="•"/>
      <w:lvlJc w:val="left"/>
      <w:pPr>
        <w:ind w:left="5220" w:hanging="360"/>
      </w:pPr>
      <w:rPr>
        <w:rFonts w:hint="default"/>
        <w:lang w:val="en-US" w:eastAsia="en-US" w:bidi="ar-SA"/>
      </w:rPr>
    </w:lvl>
    <w:lvl w:ilvl="6" w:tplc="DD106A16">
      <w:numFmt w:val="bullet"/>
      <w:lvlText w:val="•"/>
      <w:lvlJc w:val="left"/>
      <w:pPr>
        <w:ind w:left="6120" w:hanging="360"/>
      </w:pPr>
      <w:rPr>
        <w:rFonts w:hint="default"/>
        <w:lang w:val="en-US" w:eastAsia="en-US" w:bidi="ar-SA"/>
      </w:rPr>
    </w:lvl>
    <w:lvl w:ilvl="7" w:tplc="38D23EDC">
      <w:numFmt w:val="bullet"/>
      <w:lvlText w:val="•"/>
      <w:lvlJc w:val="left"/>
      <w:pPr>
        <w:ind w:left="7020" w:hanging="360"/>
      </w:pPr>
      <w:rPr>
        <w:rFonts w:hint="default"/>
        <w:lang w:val="en-US" w:eastAsia="en-US" w:bidi="ar-SA"/>
      </w:rPr>
    </w:lvl>
    <w:lvl w:ilvl="8" w:tplc="086C67CE">
      <w:numFmt w:val="bullet"/>
      <w:lvlText w:val="•"/>
      <w:lvlJc w:val="left"/>
      <w:pPr>
        <w:ind w:left="7920" w:hanging="360"/>
      </w:pPr>
      <w:rPr>
        <w:rFonts w:hint="default"/>
        <w:lang w:val="en-US" w:eastAsia="en-US" w:bidi="ar-SA"/>
      </w:rPr>
    </w:lvl>
  </w:abstractNum>
  <w:abstractNum w:abstractNumId="5" w15:restartNumberingAfterBreak="0">
    <w:nsid w:val="46E75E32"/>
    <w:multiLevelType w:val="hybridMultilevel"/>
    <w:tmpl w:val="C5D03694"/>
    <w:lvl w:ilvl="0" w:tplc="0409000F">
      <w:start w:val="1"/>
      <w:numFmt w:val="decimal"/>
      <w:lvlText w:val="%1."/>
      <w:lvlJc w:val="left"/>
      <w:pPr>
        <w:ind w:left="1531" w:hanging="360"/>
      </w:p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6" w15:restartNumberingAfterBreak="0">
    <w:nsid w:val="51835BFD"/>
    <w:multiLevelType w:val="hybridMultilevel"/>
    <w:tmpl w:val="8CD42934"/>
    <w:lvl w:ilvl="0" w:tplc="0409000F">
      <w:start w:val="1"/>
      <w:numFmt w:val="decimal"/>
      <w:lvlText w:val="%1."/>
      <w:lvlJc w:val="left"/>
      <w:pPr>
        <w:ind w:left="719" w:hanging="360"/>
      </w:pPr>
      <w:rPr>
        <w:rFonts w:hint="default"/>
        <w:b w:val="0"/>
        <w:bCs w:val="0"/>
        <w:i w:val="0"/>
        <w:iCs w:val="0"/>
        <w:spacing w:val="0"/>
        <w:w w:val="100"/>
        <w:sz w:val="22"/>
        <w:szCs w:val="22"/>
        <w:lang w:val="en-US" w:eastAsia="en-US" w:bidi="ar-SA"/>
      </w:rPr>
    </w:lvl>
    <w:lvl w:ilvl="1" w:tplc="78828754">
      <w:start w:val="1"/>
      <w:numFmt w:val="lowerLetter"/>
      <w:lvlText w:val="%2."/>
      <w:lvlJc w:val="left"/>
      <w:pPr>
        <w:ind w:left="1171"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2" w:tplc="38A2093E">
      <w:numFmt w:val="bullet"/>
      <w:lvlText w:val="•"/>
      <w:lvlJc w:val="left"/>
      <w:pPr>
        <w:ind w:left="2168" w:hanging="360"/>
      </w:pPr>
      <w:rPr>
        <w:rFonts w:hint="default"/>
        <w:lang w:val="en-US" w:eastAsia="en-US" w:bidi="ar-SA"/>
      </w:rPr>
    </w:lvl>
    <w:lvl w:ilvl="3" w:tplc="E470390C">
      <w:numFmt w:val="bullet"/>
      <w:lvlText w:val="•"/>
      <w:lvlJc w:val="left"/>
      <w:pPr>
        <w:ind w:left="3157" w:hanging="360"/>
      </w:pPr>
      <w:rPr>
        <w:rFonts w:hint="default"/>
        <w:lang w:val="en-US" w:eastAsia="en-US" w:bidi="ar-SA"/>
      </w:rPr>
    </w:lvl>
    <w:lvl w:ilvl="4" w:tplc="0CC40F56">
      <w:numFmt w:val="bullet"/>
      <w:lvlText w:val="•"/>
      <w:lvlJc w:val="left"/>
      <w:pPr>
        <w:ind w:left="4146" w:hanging="360"/>
      </w:pPr>
      <w:rPr>
        <w:rFonts w:hint="default"/>
        <w:lang w:val="en-US" w:eastAsia="en-US" w:bidi="ar-SA"/>
      </w:rPr>
    </w:lvl>
    <w:lvl w:ilvl="5" w:tplc="B61A9EFE">
      <w:numFmt w:val="bullet"/>
      <w:lvlText w:val="•"/>
      <w:lvlJc w:val="left"/>
      <w:pPr>
        <w:ind w:left="5135" w:hanging="360"/>
      </w:pPr>
      <w:rPr>
        <w:rFonts w:hint="default"/>
        <w:lang w:val="en-US" w:eastAsia="en-US" w:bidi="ar-SA"/>
      </w:rPr>
    </w:lvl>
    <w:lvl w:ilvl="6" w:tplc="16B0AAD4">
      <w:numFmt w:val="bullet"/>
      <w:lvlText w:val="•"/>
      <w:lvlJc w:val="left"/>
      <w:pPr>
        <w:ind w:left="6124" w:hanging="360"/>
      </w:pPr>
      <w:rPr>
        <w:rFonts w:hint="default"/>
        <w:lang w:val="en-US" w:eastAsia="en-US" w:bidi="ar-SA"/>
      </w:rPr>
    </w:lvl>
    <w:lvl w:ilvl="7" w:tplc="0A48F0C8">
      <w:numFmt w:val="bullet"/>
      <w:lvlText w:val="•"/>
      <w:lvlJc w:val="left"/>
      <w:pPr>
        <w:ind w:left="7113" w:hanging="360"/>
      </w:pPr>
      <w:rPr>
        <w:rFonts w:hint="default"/>
        <w:lang w:val="en-US" w:eastAsia="en-US" w:bidi="ar-SA"/>
      </w:rPr>
    </w:lvl>
    <w:lvl w:ilvl="8" w:tplc="BA18BD32">
      <w:numFmt w:val="bullet"/>
      <w:lvlText w:val="•"/>
      <w:lvlJc w:val="left"/>
      <w:pPr>
        <w:ind w:left="8102" w:hanging="360"/>
      </w:pPr>
      <w:rPr>
        <w:rFonts w:hint="default"/>
        <w:lang w:val="en-US" w:eastAsia="en-US" w:bidi="ar-SA"/>
      </w:rPr>
    </w:lvl>
  </w:abstractNum>
  <w:abstractNum w:abstractNumId="7" w15:restartNumberingAfterBreak="0">
    <w:nsid w:val="556370D6"/>
    <w:multiLevelType w:val="hybridMultilevel"/>
    <w:tmpl w:val="621C2A3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72AB5339"/>
    <w:multiLevelType w:val="hybridMultilevel"/>
    <w:tmpl w:val="82D4A3F8"/>
    <w:lvl w:ilvl="0" w:tplc="0409000F">
      <w:start w:val="1"/>
      <w:numFmt w:val="decimal"/>
      <w:lvlText w:val="%1."/>
      <w:lvlJc w:val="left"/>
      <w:pPr>
        <w:ind w:left="720" w:hanging="360"/>
      </w:pPr>
      <w:rPr>
        <w:rFonts w:hint="default"/>
        <w:b w:val="0"/>
        <w:bCs w:val="0"/>
        <w:i w:val="0"/>
        <w:iCs w:val="0"/>
        <w:spacing w:val="0"/>
        <w:w w:val="100"/>
        <w:sz w:val="24"/>
        <w:szCs w:val="24"/>
        <w:lang w:val="en-US" w:eastAsia="en-US" w:bidi="ar-SA"/>
      </w:rPr>
    </w:lvl>
    <w:lvl w:ilvl="1" w:tplc="2BF22CF4">
      <w:start w:val="1"/>
      <w:numFmt w:val="lowerLetter"/>
      <w:lvlText w:val="%2."/>
      <w:lvlJc w:val="left"/>
      <w:pPr>
        <w:ind w:left="1171"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2" w:tplc="04090001">
      <w:start w:val="1"/>
      <w:numFmt w:val="bullet"/>
      <w:lvlText w:val=""/>
      <w:lvlJc w:val="left"/>
      <w:pPr>
        <w:ind w:left="1440" w:hanging="360"/>
      </w:pPr>
      <w:rPr>
        <w:rFonts w:ascii="Symbol" w:hAnsi="Symbol" w:hint="default"/>
      </w:rPr>
    </w:lvl>
    <w:lvl w:ilvl="3" w:tplc="70C0DB74">
      <w:numFmt w:val="bullet"/>
      <w:lvlText w:val="•"/>
      <w:lvlJc w:val="left"/>
      <w:pPr>
        <w:ind w:left="2520" w:hanging="360"/>
      </w:pPr>
      <w:rPr>
        <w:rFonts w:hint="default"/>
        <w:lang w:val="en-US" w:eastAsia="en-US" w:bidi="ar-SA"/>
      </w:rPr>
    </w:lvl>
    <w:lvl w:ilvl="4" w:tplc="9A52C142">
      <w:numFmt w:val="bullet"/>
      <w:lvlText w:val="•"/>
      <w:lvlJc w:val="left"/>
      <w:pPr>
        <w:ind w:left="3600" w:hanging="360"/>
      </w:pPr>
      <w:rPr>
        <w:rFonts w:hint="default"/>
        <w:lang w:val="en-US" w:eastAsia="en-US" w:bidi="ar-SA"/>
      </w:rPr>
    </w:lvl>
    <w:lvl w:ilvl="5" w:tplc="8702FB66">
      <w:numFmt w:val="bullet"/>
      <w:lvlText w:val="•"/>
      <w:lvlJc w:val="left"/>
      <w:pPr>
        <w:ind w:left="4680" w:hanging="360"/>
      </w:pPr>
      <w:rPr>
        <w:rFonts w:hint="default"/>
        <w:lang w:val="en-US" w:eastAsia="en-US" w:bidi="ar-SA"/>
      </w:rPr>
    </w:lvl>
    <w:lvl w:ilvl="6" w:tplc="03B0C83A">
      <w:numFmt w:val="bullet"/>
      <w:lvlText w:val="•"/>
      <w:lvlJc w:val="left"/>
      <w:pPr>
        <w:ind w:left="5760" w:hanging="360"/>
      </w:pPr>
      <w:rPr>
        <w:rFonts w:hint="default"/>
        <w:lang w:val="en-US" w:eastAsia="en-US" w:bidi="ar-SA"/>
      </w:rPr>
    </w:lvl>
    <w:lvl w:ilvl="7" w:tplc="E9A63736">
      <w:numFmt w:val="bullet"/>
      <w:lvlText w:val="•"/>
      <w:lvlJc w:val="left"/>
      <w:pPr>
        <w:ind w:left="6840" w:hanging="360"/>
      </w:pPr>
      <w:rPr>
        <w:rFonts w:hint="default"/>
        <w:lang w:val="en-US" w:eastAsia="en-US" w:bidi="ar-SA"/>
      </w:rPr>
    </w:lvl>
    <w:lvl w:ilvl="8" w:tplc="5F084350">
      <w:numFmt w:val="bullet"/>
      <w:lvlText w:val="•"/>
      <w:lvlJc w:val="left"/>
      <w:pPr>
        <w:ind w:left="7920" w:hanging="360"/>
      </w:pPr>
      <w:rPr>
        <w:rFonts w:hint="default"/>
        <w:lang w:val="en-US" w:eastAsia="en-US" w:bidi="ar-SA"/>
      </w:rPr>
    </w:lvl>
  </w:abstractNum>
  <w:abstractNum w:abstractNumId="9" w15:restartNumberingAfterBreak="0">
    <w:nsid w:val="72F60EE2"/>
    <w:multiLevelType w:val="hybridMultilevel"/>
    <w:tmpl w:val="36B05562"/>
    <w:lvl w:ilvl="0" w:tplc="EF7619A0">
      <w:numFmt w:val="bullet"/>
      <w:lvlText w:val=""/>
      <w:lvlJc w:val="left"/>
      <w:pPr>
        <w:ind w:left="1080" w:hanging="361"/>
      </w:pPr>
      <w:rPr>
        <w:rFonts w:ascii="Symbol" w:eastAsia="Symbol" w:hAnsi="Symbol" w:cs="Symbol" w:hint="default"/>
        <w:spacing w:val="0"/>
        <w:w w:val="100"/>
        <w:lang w:val="en-US" w:eastAsia="en-US" w:bidi="ar-SA"/>
      </w:rPr>
    </w:lvl>
    <w:lvl w:ilvl="1" w:tplc="509C09C2">
      <w:numFmt w:val="bullet"/>
      <w:lvlText w:val="•"/>
      <w:lvlJc w:val="left"/>
      <w:pPr>
        <w:ind w:left="1980" w:hanging="361"/>
      </w:pPr>
      <w:rPr>
        <w:rFonts w:hint="default"/>
        <w:lang w:val="en-US" w:eastAsia="en-US" w:bidi="ar-SA"/>
      </w:rPr>
    </w:lvl>
    <w:lvl w:ilvl="2" w:tplc="BC72D6A2">
      <w:numFmt w:val="bullet"/>
      <w:lvlText w:val="•"/>
      <w:lvlJc w:val="left"/>
      <w:pPr>
        <w:ind w:left="2880" w:hanging="361"/>
      </w:pPr>
      <w:rPr>
        <w:rFonts w:hint="default"/>
        <w:lang w:val="en-US" w:eastAsia="en-US" w:bidi="ar-SA"/>
      </w:rPr>
    </w:lvl>
    <w:lvl w:ilvl="3" w:tplc="BD247D2E">
      <w:numFmt w:val="bullet"/>
      <w:lvlText w:val="•"/>
      <w:lvlJc w:val="left"/>
      <w:pPr>
        <w:ind w:left="3780" w:hanging="361"/>
      </w:pPr>
      <w:rPr>
        <w:rFonts w:hint="default"/>
        <w:lang w:val="en-US" w:eastAsia="en-US" w:bidi="ar-SA"/>
      </w:rPr>
    </w:lvl>
    <w:lvl w:ilvl="4" w:tplc="C4A0C76A">
      <w:numFmt w:val="bullet"/>
      <w:lvlText w:val="•"/>
      <w:lvlJc w:val="left"/>
      <w:pPr>
        <w:ind w:left="4680" w:hanging="361"/>
      </w:pPr>
      <w:rPr>
        <w:rFonts w:hint="default"/>
        <w:lang w:val="en-US" w:eastAsia="en-US" w:bidi="ar-SA"/>
      </w:rPr>
    </w:lvl>
    <w:lvl w:ilvl="5" w:tplc="BBC8756C">
      <w:numFmt w:val="bullet"/>
      <w:lvlText w:val="•"/>
      <w:lvlJc w:val="left"/>
      <w:pPr>
        <w:ind w:left="5580" w:hanging="361"/>
      </w:pPr>
      <w:rPr>
        <w:rFonts w:hint="default"/>
        <w:lang w:val="en-US" w:eastAsia="en-US" w:bidi="ar-SA"/>
      </w:rPr>
    </w:lvl>
    <w:lvl w:ilvl="6" w:tplc="543C1792">
      <w:numFmt w:val="bullet"/>
      <w:lvlText w:val="•"/>
      <w:lvlJc w:val="left"/>
      <w:pPr>
        <w:ind w:left="6480" w:hanging="361"/>
      </w:pPr>
      <w:rPr>
        <w:rFonts w:hint="default"/>
        <w:lang w:val="en-US" w:eastAsia="en-US" w:bidi="ar-SA"/>
      </w:rPr>
    </w:lvl>
    <w:lvl w:ilvl="7" w:tplc="BF94403E">
      <w:numFmt w:val="bullet"/>
      <w:lvlText w:val="•"/>
      <w:lvlJc w:val="left"/>
      <w:pPr>
        <w:ind w:left="7380" w:hanging="361"/>
      </w:pPr>
      <w:rPr>
        <w:rFonts w:hint="default"/>
        <w:lang w:val="en-US" w:eastAsia="en-US" w:bidi="ar-SA"/>
      </w:rPr>
    </w:lvl>
    <w:lvl w:ilvl="8" w:tplc="F5B24BC4">
      <w:numFmt w:val="bullet"/>
      <w:lvlText w:val="•"/>
      <w:lvlJc w:val="left"/>
      <w:pPr>
        <w:ind w:left="8280" w:hanging="361"/>
      </w:pPr>
      <w:rPr>
        <w:rFonts w:hint="default"/>
        <w:lang w:val="en-US" w:eastAsia="en-US" w:bidi="ar-SA"/>
      </w:rPr>
    </w:lvl>
  </w:abstractNum>
  <w:num w:numId="1" w16cid:durableId="2100591494">
    <w:abstractNumId w:val="9"/>
  </w:num>
  <w:num w:numId="2" w16cid:durableId="1005598536">
    <w:abstractNumId w:val="6"/>
  </w:num>
  <w:num w:numId="3" w16cid:durableId="66735637">
    <w:abstractNumId w:val="0"/>
  </w:num>
  <w:num w:numId="4" w16cid:durableId="208567678">
    <w:abstractNumId w:val="8"/>
  </w:num>
  <w:num w:numId="5" w16cid:durableId="713653503">
    <w:abstractNumId w:val="1"/>
  </w:num>
  <w:num w:numId="6" w16cid:durableId="1274943229">
    <w:abstractNumId w:val="3"/>
  </w:num>
  <w:num w:numId="7" w16cid:durableId="1668171665">
    <w:abstractNumId w:val="7"/>
  </w:num>
  <w:num w:numId="8" w16cid:durableId="316962637">
    <w:abstractNumId w:val="2"/>
  </w:num>
  <w:num w:numId="9" w16cid:durableId="59837919">
    <w:abstractNumId w:val="5"/>
  </w:num>
  <w:num w:numId="10" w16cid:durableId="664169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44"/>
    <w:rsid w:val="00022678"/>
    <w:rsid w:val="00027E0C"/>
    <w:rsid w:val="0008198D"/>
    <w:rsid w:val="000E7F1D"/>
    <w:rsid w:val="00133EFE"/>
    <w:rsid w:val="00147030"/>
    <w:rsid w:val="0017114E"/>
    <w:rsid w:val="00177A5E"/>
    <w:rsid w:val="001D5E69"/>
    <w:rsid w:val="001D7107"/>
    <w:rsid w:val="001E4D6C"/>
    <w:rsid w:val="0024651D"/>
    <w:rsid w:val="00250C89"/>
    <w:rsid w:val="00293963"/>
    <w:rsid w:val="002A2AEF"/>
    <w:rsid w:val="00367B96"/>
    <w:rsid w:val="003B77A3"/>
    <w:rsid w:val="003C4F68"/>
    <w:rsid w:val="004B5106"/>
    <w:rsid w:val="004C5492"/>
    <w:rsid w:val="004E7E5F"/>
    <w:rsid w:val="005559C1"/>
    <w:rsid w:val="005960B8"/>
    <w:rsid w:val="005C59C3"/>
    <w:rsid w:val="005D554E"/>
    <w:rsid w:val="005F425B"/>
    <w:rsid w:val="0062390B"/>
    <w:rsid w:val="00634555"/>
    <w:rsid w:val="00657395"/>
    <w:rsid w:val="00660279"/>
    <w:rsid w:val="006650D0"/>
    <w:rsid w:val="006A7AD4"/>
    <w:rsid w:val="007B1981"/>
    <w:rsid w:val="007B3CF1"/>
    <w:rsid w:val="00842FEC"/>
    <w:rsid w:val="00871800"/>
    <w:rsid w:val="00891A1C"/>
    <w:rsid w:val="008F36CF"/>
    <w:rsid w:val="00953724"/>
    <w:rsid w:val="00954DA7"/>
    <w:rsid w:val="009A5C39"/>
    <w:rsid w:val="00A32425"/>
    <w:rsid w:val="00A420B4"/>
    <w:rsid w:val="00A5382C"/>
    <w:rsid w:val="00A56F9C"/>
    <w:rsid w:val="00A75259"/>
    <w:rsid w:val="00AD71ED"/>
    <w:rsid w:val="00B34B7C"/>
    <w:rsid w:val="00B5388B"/>
    <w:rsid w:val="00BA0F56"/>
    <w:rsid w:val="00BC3EAB"/>
    <w:rsid w:val="00C42966"/>
    <w:rsid w:val="00C53A44"/>
    <w:rsid w:val="00C6254D"/>
    <w:rsid w:val="00CB129A"/>
    <w:rsid w:val="00CF6E0F"/>
    <w:rsid w:val="00D00967"/>
    <w:rsid w:val="00D07BB5"/>
    <w:rsid w:val="00D12E93"/>
    <w:rsid w:val="00D2522B"/>
    <w:rsid w:val="00D374D0"/>
    <w:rsid w:val="00D676E4"/>
    <w:rsid w:val="00D71ECE"/>
    <w:rsid w:val="00D859D8"/>
    <w:rsid w:val="00DA3752"/>
    <w:rsid w:val="00FF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1D9A8"/>
  <w15:chartTrackingRefBased/>
  <w15:docId w15:val="{373AB4CF-E874-4B5A-8810-50C3FCE9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A44"/>
    <w:pPr>
      <w:widowControl w:val="0"/>
      <w:autoSpaceDE w:val="0"/>
      <w:autoSpaceDN w:val="0"/>
      <w:spacing w:after="0" w:line="240" w:lineRule="auto"/>
    </w:pPr>
    <w:rPr>
      <w:rFonts w:ascii="Palatino Linotype" w:eastAsia="Palatino Linotype" w:hAnsi="Palatino Linotype" w:cs="Palatino Linotype"/>
      <w:kern w:val="0"/>
      <w:sz w:val="22"/>
      <w:szCs w:val="22"/>
      <w14:ligatures w14:val="none"/>
    </w:rPr>
  </w:style>
  <w:style w:type="paragraph" w:styleId="Heading1">
    <w:name w:val="heading 1"/>
    <w:basedOn w:val="Normal"/>
    <w:next w:val="Normal"/>
    <w:link w:val="Heading1Char"/>
    <w:uiPriority w:val="9"/>
    <w:qFormat/>
    <w:rsid w:val="00C53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A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A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A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A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A44"/>
    <w:rPr>
      <w:rFonts w:eastAsiaTheme="majorEastAsia" w:cstheme="majorBidi"/>
      <w:color w:val="272727" w:themeColor="text1" w:themeTint="D8"/>
    </w:rPr>
  </w:style>
  <w:style w:type="paragraph" w:styleId="Title">
    <w:name w:val="Title"/>
    <w:basedOn w:val="Normal"/>
    <w:next w:val="Normal"/>
    <w:link w:val="TitleChar"/>
    <w:uiPriority w:val="10"/>
    <w:qFormat/>
    <w:rsid w:val="00C53A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A44"/>
    <w:pPr>
      <w:spacing w:before="160"/>
      <w:jc w:val="center"/>
    </w:pPr>
    <w:rPr>
      <w:i/>
      <w:iCs/>
      <w:color w:val="404040" w:themeColor="text1" w:themeTint="BF"/>
    </w:rPr>
  </w:style>
  <w:style w:type="character" w:customStyle="1" w:styleId="QuoteChar">
    <w:name w:val="Quote Char"/>
    <w:basedOn w:val="DefaultParagraphFont"/>
    <w:link w:val="Quote"/>
    <w:uiPriority w:val="29"/>
    <w:rsid w:val="00C53A44"/>
    <w:rPr>
      <w:i/>
      <w:iCs/>
      <w:color w:val="404040" w:themeColor="text1" w:themeTint="BF"/>
    </w:rPr>
  </w:style>
  <w:style w:type="paragraph" w:styleId="ListParagraph">
    <w:name w:val="List Paragraph"/>
    <w:basedOn w:val="Normal"/>
    <w:uiPriority w:val="1"/>
    <w:qFormat/>
    <w:rsid w:val="00C53A44"/>
    <w:pPr>
      <w:ind w:left="720"/>
      <w:contextualSpacing/>
    </w:pPr>
  </w:style>
  <w:style w:type="character" w:styleId="IntenseEmphasis">
    <w:name w:val="Intense Emphasis"/>
    <w:basedOn w:val="DefaultParagraphFont"/>
    <w:uiPriority w:val="21"/>
    <w:qFormat/>
    <w:rsid w:val="00C53A44"/>
    <w:rPr>
      <w:i/>
      <w:iCs/>
      <w:color w:val="0F4761" w:themeColor="accent1" w:themeShade="BF"/>
    </w:rPr>
  </w:style>
  <w:style w:type="paragraph" w:styleId="IntenseQuote">
    <w:name w:val="Intense Quote"/>
    <w:basedOn w:val="Normal"/>
    <w:next w:val="Normal"/>
    <w:link w:val="IntenseQuoteChar"/>
    <w:uiPriority w:val="30"/>
    <w:qFormat/>
    <w:rsid w:val="00C53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A44"/>
    <w:rPr>
      <w:i/>
      <w:iCs/>
      <w:color w:val="0F4761" w:themeColor="accent1" w:themeShade="BF"/>
    </w:rPr>
  </w:style>
  <w:style w:type="character" w:styleId="IntenseReference">
    <w:name w:val="Intense Reference"/>
    <w:basedOn w:val="DefaultParagraphFont"/>
    <w:uiPriority w:val="32"/>
    <w:qFormat/>
    <w:rsid w:val="00C53A44"/>
    <w:rPr>
      <w:b/>
      <w:bCs/>
      <w:smallCaps/>
      <w:color w:val="0F4761" w:themeColor="accent1" w:themeShade="BF"/>
      <w:spacing w:val="5"/>
    </w:rPr>
  </w:style>
  <w:style w:type="paragraph" w:styleId="Header">
    <w:name w:val="header"/>
    <w:basedOn w:val="Normal"/>
    <w:link w:val="HeaderChar"/>
    <w:uiPriority w:val="99"/>
    <w:unhideWhenUsed/>
    <w:rsid w:val="00C53A44"/>
    <w:pPr>
      <w:tabs>
        <w:tab w:val="center" w:pos="4680"/>
        <w:tab w:val="right" w:pos="9360"/>
      </w:tabs>
    </w:pPr>
  </w:style>
  <w:style w:type="character" w:customStyle="1" w:styleId="HeaderChar">
    <w:name w:val="Header Char"/>
    <w:basedOn w:val="DefaultParagraphFont"/>
    <w:link w:val="Header"/>
    <w:uiPriority w:val="99"/>
    <w:rsid w:val="00C53A44"/>
  </w:style>
  <w:style w:type="paragraph" w:styleId="Footer">
    <w:name w:val="footer"/>
    <w:basedOn w:val="Normal"/>
    <w:link w:val="FooterChar"/>
    <w:uiPriority w:val="99"/>
    <w:unhideWhenUsed/>
    <w:rsid w:val="00C53A44"/>
    <w:pPr>
      <w:tabs>
        <w:tab w:val="center" w:pos="4680"/>
        <w:tab w:val="right" w:pos="9360"/>
      </w:tabs>
    </w:pPr>
  </w:style>
  <w:style w:type="character" w:customStyle="1" w:styleId="FooterChar">
    <w:name w:val="Footer Char"/>
    <w:basedOn w:val="DefaultParagraphFont"/>
    <w:link w:val="Footer"/>
    <w:uiPriority w:val="99"/>
    <w:rsid w:val="00C53A44"/>
  </w:style>
  <w:style w:type="paragraph" w:styleId="BodyText">
    <w:name w:val="Body Text"/>
    <w:basedOn w:val="Normal"/>
    <w:link w:val="BodyTextChar"/>
    <w:uiPriority w:val="1"/>
    <w:qFormat/>
    <w:rsid w:val="00C53A44"/>
    <w:pPr>
      <w:ind w:left="1170" w:hanging="360"/>
      <w:jc w:val="both"/>
    </w:pPr>
  </w:style>
  <w:style w:type="character" w:customStyle="1" w:styleId="BodyTextChar">
    <w:name w:val="Body Text Char"/>
    <w:basedOn w:val="DefaultParagraphFont"/>
    <w:link w:val="BodyText"/>
    <w:uiPriority w:val="1"/>
    <w:rsid w:val="00C53A44"/>
    <w:rPr>
      <w:rFonts w:ascii="Palatino Linotype" w:eastAsia="Palatino Linotype" w:hAnsi="Palatino Linotype" w:cs="Palatino Linotype"/>
      <w:kern w:val="0"/>
      <w:sz w:val="22"/>
      <w:szCs w:val="22"/>
      <w14:ligatures w14:val="none"/>
    </w:rPr>
  </w:style>
  <w:style w:type="character" w:styleId="Hyperlink">
    <w:name w:val="Hyperlink"/>
    <w:basedOn w:val="DefaultParagraphFont"/>
    <w:uiPriority w:val="99"/>
    <w:unhideWhenUsed/>
    <w:rsid w:val="00B34B7C"/>
    <w:rPr>
      <w:color w:val="467886" w:themeColor="hyperlink"/>
      <w:u w:val="single"/>
    </w:rPr>
  </w:style>
  <w:style w:type="character" w:styleId="UnresolvedMention">
    <w:name w:val="Unresolved Mention"/>
    <w:basedOn w:val="DefaultParagraphFont"/>
    <w:uiPriority w:val="99"/>
    <w:semiHidden/>
    <w:unhideWhenUsed/>
    <w:rsid w:val="00B34B7C"/>
    <w:rPr>
      <w:color w:val="605E5C"/>
      <w:shd w:val="clear" w:color="auto" w:fill="E1DFDD"/>
    </w:rPr>
  </w:style>
  <w:style w:type="paragraph" w:styleId="Revision">
    <w:name w:val="Revision"/>
    <w:hidden/>
    <w:uiPriority w:val="99"/>
    <w:semiHidden/>
    <w:rsid w:val="00367B96"/>
    <w:pPr>
      <w:spacing w:after="0" w:line="240" w:lineRule="auto"/>
    </w:pPr>
    <w:rPr>
      <w:rFonts w:ascii="Palatino Linotype" w:eastAsia="Palatino Linotype" w:hAnsi="Palatino Linotype" w:cs="Palatino Linotype"/>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c.ca.gov/-/media/cpuc-website/divisions/communications-division/documents/licensing-compliance/contact-information-update-request-form.pdf" TargetMode="External"/><Relationship Id="rId13" Type="http://schemas.openxmlformats.org/officeDocument/2006/relationships/hyperlink" Target="https://www.cpuc.ca.gov/-/media/cpuc-website/divisions/administrative-law-judge-division/documents/2024-filing-fees.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CDCOMPLIANCE@CPUC.CA.GOV" TargetMode="External"/><Relationship Id="rId12" Type="http://schemas.openxmlformats.org/officeDocument/2006/relationships/hyperlink" Target="https://www.cpuc.ca.gov/-/media/cpuc-website/divisions/communications-division/documents/licensing-compliance/licensing-and-registration/createpdfa.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Compliance@cpuc.ca.gov" TargetMode="External"/><Relationship Id="rId5" Type="http://schemas.openxmlformats.org/officeDocument/2006/relationships/footnotes" Target="footnotes.xml"/><Relationship Id="rId15" Type="http://schemas.openxmlformats.org/officeDocument/2006/relationships/hyperlink" Target="https://www.cpuc.ca.gov/-/media/cpuc-website/divisions/administrative-law-judge-division/documents/2024-filing-fees.pdf" TargetMode="External"/><Relationship Id="rId23" Type="http://schemas.openxmlformats.org/officeDocument/2006/relationships/theme" Target="theme/theme1.xml"/><Relationship Id="rId10" Type="http://schemas.openxmlformats.org/officeDocument/2006/relationships/hyperlink" Target="https://www.cpuc.ca.gov/-/media/cpuc-website/divisions/communications-division/documents/licensing-compliance/contact-information-update-request-form.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puc.ca.gov/-/media/cpuc-website/divisions/communications-division/documents/licensing-compliance/contact-information-update-request-form.pdf" TargetMode="External"/><Relationship Id="rId14" Type="http://schemas.openxmlformats.org/officeDocument/2006/relationships/hyperlink" Target="https://www.cpuc.ca.gov/-/media/cpuc-website/divisions/administrative-law-judge-division/documents/2024-filing-fee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Tan-Walsh, Llela</dc:creator>
  <cp:keywords/>
  <dc:description/>
  <cp:lastModifiedBy>Tan-Walsh, Llela</cp:lastModifiedBy>
  <cp:revision>69</cp:revision>
  <dcterms:created xsi:type="dcterms:W3CDTF">2025-06-21T00:50:00Z</dcterms:created>
  <dcterms:modified xsi:type="dcterms:W3CDTF">2025-06-24T16:25:00Z</dcterms:modified>
</cp:coreProperties>
</file>