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3A172" w14:textId="77777777" w:rsidR="005833B3" w:rsidRPr="00186DBB" w:rsidRDefault="005833B3" w:rsidP="005833B3">
      <w:pPr>
        <w:pStyle w:val="Title"/>
        <w:jc w:val="center"/>
        <w:rPr>
          <w:rFonts w:ascii="Palatino Linotype" w:hAnsi="Palatino Linotype"/>
          <w:b/>
          <w:bCs/>
          <w:spacing w:val="0"/>
          <w:sz w:val="28"/>
          <w:szCs w:val="28"/>
        </w:rPr>
      </w:pPr>
      <w:r w:rsidRPr="00186DBB">
        <w:rPr>
          <w:rFonts w:ascii="Palatino Linotype" w:hAnsi="Palatino Linotype"/>
          <w:b/>
          <w:bCs/>
          <w:spacing w:val="0"/>
          <w:sz w:val="28"/>
          <w:szCs w:val="28"/>
        </w:rPr>
        <w:t>APPLICANT INSTRUCTIONS FOR CPCN APPLICATION FORM</w:t>
      </w:r>
    </w:p>
    <w:p w14:paraId="1E6557A6" w14:textId="2577AB95" w:rsidR="005833B3" w:rsidRPr="00186DBB" w:rsidRDefault="005833B3" w:rsidP="00186DBB">
      <w:pPr>
        <w:pStyle w:val="ListParagraph"/>
        <w:numPr>
          <w:ilvl w:val="0"/>
          <w:numId w:val="3"/>
        </w:numPr>
        <w:tabs>
          <w:tab w:val="left" w:pos="360"/>
        </w:tabs>
        <w:spacing w:before="240" w:after="240"/>
        <w:ind w:left="360"/>
        <w:contextualSpacing w:val="0"/>
        <w:jc w:val="both"/>
        <w:rPr>
          <w:sz w:val="24"/>
          <w:szCs w:val="24"/>
        </w:rPr>
      </w:pPr>
      <w:r w:rsidRPr="00186DBB">
        <w:rPr>
          <w:sz w:val="24"/>
          <w:szCs w:val="24"/>
        </w:rPr>
        <w:t xml:space="preserve">READ </w:t>
      </w:r>
      <w:r w:rsidR="00704A2A">
        <w:rPr>
          <w:sz w:val="24"/>
          <w:szCs w:val="24"/>
        </w:rPr>
        <w:t xml:space="preserve">THESE </w:t>
      </w:r>
      <w:r w:rsidRPr="00186DBB">
        <w:rPr>
          <w:sz w:val="24"/>
          <w:szCs w:val="24"/>
        </w:rPr>
        <w:t xml:space="preserve">INSTRUCTIONS BEFORE COMPLETING </w:t>
      </w:r>
      <w:r w:rsidR="00C7537E" w:rsidRPr="00186DBB">
        <w:rPr>
          <w:sz w:val="24"/>
          <w:szCs w:val="24"/>
        </w:rPr>
        <w:t xml:space="preserve">AND/OR SUBMITTING </w:t>
      </w:r>
      <w:r w:rsidR="004E5CB8">
        <w:rPr>
          <w:sz w:val="24"/>
          <w:szCs w:val="24"/>
        </w:rPr>
        <w:t xml:space="preserve">THE CPCN APPLICATION PACKAGE </w:t>
      </w:r>
      <w:r w:rsidR="00D83316" w:rsidRPr="00186DBB">
        <w:rPr>
          <w:sz w:val="24"/>
          <w:szCs w:val="24"/>
        </w:rPr>
        <w:t xml:space="preserve">TO </w:t>
      </w:r>
      <w:r w:rsidR="00704A2A">
        <w:rPr>
          <w:sz w:val="24"/>
          <w:szCs w:val="24"/>
        </w:rPr>
        <w:t xml:space="preserve">THE </w:t>
      </w:r>
      <w:r w:rsidR="004E5CB8" w:rsidRPr="00186DBB">
        <w:rPr>
          <w:sz w:val="24"/>
          <w:szCs w:val="24"/>
        </w:rPr>
        <w:t xml:space="preserve">CPUC VIA </w:t>
      </w:r>
      <w:r w:rsidR="00704A2A">
        <w:rPr>
          <w:sz w:val="24"/>
          <w:szCs w:val="24"/>
        </w:rPr>
        <w:t xml:space="preserve">THE </w:t>
      </w:r>
      <w:r w:rsidR="004E5CB8" w:rsidRPr="00186DBB">
        <w:rPr>
          <w:sz w:val="24"/>
          <w:szCs w:val="24"/>
        </w:rPr>
        <w:t>CPUC ELECTRONIC FILING SYSTEM</w:t>
      </w:r>
      <w:r w:rsidR="00C7537E" w:rsidRPr="00186DBB">
        <w:rPr>
          <w:sz w:val="24"/>
          <w:szCs w:val="24"/>
        </w:rPr>
        <w:t>.</w:t>
      </w:r>
      <w:r w:rsidR="00C7537E" w:rsidRPr="00186DBB">
        <w:rPr>
          <w:rStyle w:val="FootnoteReference"/>
          <w:sz w:val="24"/>
          <w:szCs w:val="24"/>
        </w:rPr>
        <w:footnoteReference w:id="1"/>
      </w:r>
    </w:p>
    <w:p w14:paraId="30E04EDA" w14:textId="77777777" w:rsidR="005833B3" w:rsidRPr="00186DBB" w:rsidRDefault="005833B3" w:rsidP="00186DBB">
      <w:pPr>
        <w:pStyle w:val="ListParagraph"/>
        <w:numPr>
          <w:ilvl w:val="0"/>
          <w:numId w:val="3"/>
        </w:numPr>
        <w:tabs>
          <w:tab w:val="left" w:pos="360"/>
        </w:tabs>
        <w:spacing w:before="240" w:after="240"/>
        <w:ind w:left="360"/>
        <w:contextualSpacing w:val="0"/>
        <w:jc w:val="both"/>
        <w:rPr>
          <w:sz w:val="24"/>
          <w:szCs w:val="24"/>
        </w:rPr>
      </w:pPr>
      <w:r w:rsidRPr="00186DBB">
        <w:rPr>
          <w:sz w:val="24"/>
          <w:szCs w:val="24"/>
        </w:rPr>
        <w:t>Complete the Cover page and save as a PDF/A compliant document. Leave the application number blank. The ALJ docket office will provide an application number when they accept the filing into the CPUC system.</w:t>
      </w:r>
    </w:p>
    <w:p w14:paraId="283DC8FA" w14:textId="77777777" w:rsidR="005833B3" w:rsidRPr="00186DBB" w:rsidRDefault="005833B3" w:rsidP="00186DBB">
      <w:pPr>
        <w:pStyle w:val="ListParagraph"/>
        <w:numPr>
          <w:ilvl w:val="0"/>
          <w:numId w:val="3"/>
        </w:numPr>
        <w:tabs>
          <w:tab w:val="left" w:pos="360"/>
        </w:tabs>
        <w:spacing w:before="240" w:after="240"/>
        <w:ind w:left="360"/>
        <w:contextualSpacing w:val="0"/>
        <w:jc w:val="both"/>
        <w:rPr>
          <w:sz w:val="24"/>
          <w:szCs w:val="24"/>
        </w:rPr>
      </w:pPr>
      <w:r w:rsidRPr="00186DBB">
        <w:rPr>
          <w:sz w:val="24"/>
          <w:szCs w:val="24"/>
        </w:rPr>
        <w:t>Complete the CPCN Application Form and save as a PDF/A compliant document. Do not leave fields blank. If no response, mark “Not Applicable” or “N/A.”</w:t>
      </w:r>
    </w:p>
    <w:p w14:paraId="006983F7" w14:textId="77777777" w:rsidR="005833B3" w:rsidRPr="00186DBB" w:rsidRDefault="005833B3" w:rsidP="00186DBB">
      <w:pPr>
        <w:pStyle w:val="ListParagraph"/>
        <w:numPr>
          <w:ilvl w:val="1"/>
          <w:numId w:val="2"/>
        </w:numPr>
        <w:tabs>
          <w:tab w:val="left" w:pos="360"/>
        </w:tabs>
        <w:spacing w:before="161"/>
        <w:ind w:left="720"/>
        <w:contextualSpacing w:val="0"/>
        <w:jc w:val="both"/>
        <w:rPr>
          <w:sz w:val="24"/>
          <w:szCs w:val="24"/>
        </w:rPr>
      </w:pPr>
      <w:r w:rsidRPr="00186DBB">
        <w:rPr>
          <w:sz w:val="24"/>
          <w:szCs w:val="24"/>
        </w:rPr>
        <w:t xml:space="preserve">In Section 1 of the form, the Applicant must enter its complete legal name exactly as it appears </w:t>
      </w:r>
      <w:proofErr w:type="gramStart"/>
      <w:r w:rsidRPr="00186DBB">
        <w:rPr>
          <w:sz w:val="24"/>
          <w:szCs w:val="24"/>
        </w:rPr>
        <w:t>on</w:t>
      </w:r>
      <w:proofErr w:type="gramEnd"/>
      <w:r w:rsidRPr="00186DBB">
        <w:rPr>
          <w:sz w:val="24"/>
          <w:szCs w:val="24"/>
        </w:rPr>
        <w:t xml:space="preserve"> its articles or certificate of incorporation or similar charter document. The Applicant must also include its business address, telephone number and email address. </w:t>
      </w:r>
    </w:p>
    <w:p w14:paraId="3A953589" w14:textId="0D0AE171" w:rsidR="005833B3" w:rsidRPr="00186DBB" w:rsidRDefault="005833B3" w:rsidP="00186DBB">
      <w:pPr>
        <w:pStyle w:val="ListParagraph"/>
        <w:numPr>
          <w:ilvl w:val="0"/>
          <w:numId w:val="4"/>
        </w:numPr>
        <w:tabs>
          <w:tab w:val="left" w:pos="360"/>
        </w:tabs>
        <w:spacing w:before="161"/>
        <w:contextualSpacing w:val="0"/>
        <w:jc w:val="both"/>
        <w:rPr>
          <w:sz w:val="24"/>
          <w:szCs w:val="24"/>
        </w:rPr>
      </w:pPr>
      <w:r w:rsidRPr="00186DBB">
        <w:rPr>
          <w:sz w:val="24"/>
          <w:szCs w:val="24"/>
        </w:rPr>
        <w:t>In Section 1.a. of the form, the Applicant may enter its principal place of business if it is different from the business address provided above. If the principal place of business is the same as above, please enter “Same as Above.” Do not leave it blank.</w:t>
      </w:r>
    </w:p>
    <w:p w14:paraId="31871AE1" w14:textId="40ADC224" w:rsidR="005833B3" w:rsidRPr="00186DBB" w:rsidRDefault="005833B3" w:rsidP="00186DBB">
      <w:pPr>
        <w:pStyle w:val="ListParagraph"/>
        <w:numPr>
          <w:ilvl w:val="0"/>
          <w:numId w:val="4"/>
        </w:numPr>
        <w:tabs>
          <w:tab w:val="left" w:pos="360"/>
        </w:tabs>
        <w:spacing w:before="161"/>
        <w:contextualSpacing w:val="0"/>
        <w:jc w:val="both"/>
        <w:rPr>
          <w:sz w:val="24"/>
          <w:szCs w:val="24"/>
        </w:rPr>
      </w:pPr>
      <w:r w:rsidRPr="00186DBB">
        <w:rPr>
          <w:sz w:val="24"/>
          <w:szCs w:val="24"/>
        </w:rPr>
        <w:t>In Section 1.b. of the form, the Applicant must list all fictitious business names under which it has done business in the last five years. If the Applicant does not have any fictitious business names or “doing business as” (DBA) names, please enter “Not Applicable.” Do not leave it blank.</w:t>
      </w:r>
    </w:p>
    <w:p w14:paraId="37D63DB5" w14:textId="71C1A015" w:rsidR="005833B3" w:rsidRPr="00186DBB" w:rsidRDefault="005833B3" w:rsidP="00186DBB">
      <w:pPr>
        <w:pStyle w:val="ListParagraph"/>
        <w:numPr>
          <w:ilvl w:val="0"/>
          <w:numId w:val="4"/>
        </w:numPr>
        <w:tabs>
          <w:tab w:val="left" w:pos="360"/>
        </w:tabs>
        <w:spacing w:before="161"/>
        <w:contextualSpacing w:val="0"/>
        <w:jc w:val="both"/>
        <w:rPr>
          <w:sz w:val="24"/>
          <w:szCs w:val="24"/>
        </w:rPr>
      </w:pPr>
      <w:r w:rsidRPr="00186DBB">
        <w:rPr>
          <w:sz w:val="24"/>
          <w:szCs w:val="24"/>
        </w:rPr>
        <w:t xml:space="preserve">In Section 1.c. of the form, select only one type of organization and </w:t>
      </w:r>
      <w:proofErr w:type="gramStart"/>
      <w:r w:rsidRPr="00186DBB">
        <w:rPr>
          <w:sz w:val="24"/>
          <w:szCs w:val="24"/>
        </w:rPr>
        <w:t>attach Appendix</w:t>
      </w:r>
      <w:proofErr w:type="gramEnd"/>
      <w:r w:rsidRPr="00186DBB">
        <w:rPr>
          <w:sz w:val="24"/>
          <w:szCs w:val="24"/>
        </w:rPr>
        <w:t xml:space="preserve"> A to the completed application form</w:t>
      </w:r>
      <w:r w:rsidR="00EB0447" w:rsidRPr="00186DBB">
        <w:rPr>
          <w:sz w:val="24"/>
          <w:szCs w:val="24"/>
        </w:rPr>
        <w:t xml:space="preserve"> and provide</w:t>
      </w:r>
      <w:r w:rsidRPr="00186DBB">
        <w:rPr>
          <w:sz w:val="24"/>
          <w:szCs w:val="24"/>
        </w:rPr>
        <w:t>: (1) a copy of the entity’s organizing documents; and (2) a copy of its Certificate of Good Standing Status certified by the California Secretary of State and/or additional evidence of the Applicant’s qualification to transact business in California. If current documentation has previously been filed with the Commission, the application needs only to make specific reference to such filing. A Certificate of Good Standing is available from the office of the California Secretary of State and should be dated not more than 60 days prior to the date of filing the application.</w:t>
      </w:r>
    </w:p>
    <w:p w14:paraId="0B56D18F" w14:textId="27DF6F4E" w:rsidR="005833B3" w:rsidRPr="00186DBB" w:rsidRDefault="005833B3" w:rsidP="00186DBB">
      <w:pPr>
        <w:pStyle w:val="ListParagraph"/>
        <w:numPr>
          <w:ilvl w:val="0"/>
          <w:numId w:val="4"/>
        </w:numPr>
        <w:tabs>
          <w:tab w:val="left" w:pos="360"/>
        </w:tabs>
        <w:spacing w:before="161"/>
        <w:contextualSpacing w:val="0"/>
        <w:jc w:val="both"/>
        <w:rPr>
          <w:sz w:val="24"/>
          <w:szCs w:val="24"/>
        </w:rPr>
      </w:pPr>
      <w:r w:rsidRPr="00186DBB">
        <w:rPr>
          <w:sz w:val="24"/>
          <w:szCs w:val="24"/>
        </w:rPr>
        <w:t xml:space="preserve">In Section 1.d. of the form, enter the </w:t>
      </w:r>
      <w:r w:rsidR="00841AC0" w:rsidRPr="00186DBB">
        <w:rPr>
          <w:sz w:val="24"/>
          <w:szCs w:val="24"/>
        </w:rPr>
        <w:t>A</w:t>
      </w:r>
      <w:r w:rsidRPr="00186DBB">
        <w:rPr>
          <w:sz w:val="24"/>
          <w:szCs w:val="24"/>
        </w:rPr>
        <w:t>pplicant’s Federal Communications Commission (FCC) Registration Number</w:t>
      </w:r>
      <w:r w:rsidR="00841AC0" w:rsidRPr="00186DBB">
        <w:rPr>
          <w:sz w:val="24"/>
          <w:szCs w:val="24"/>
        </w:rPr>
        <w:t xml:space="preserve"> (FRN)</w:t>
      </w:r>
      <w:r w:rsidRPr="00186DBB">
        <w:rPr>
          <w:sz w:val="24"/>
          <w:szCs w:val="24"/>
        </w:rPr>
        <w:t>. The FRN</w:t>
      </w:r>
      <w:r w:rsidR="00605AE9">
        <w:rPr>
          <w:sz w:val="24"/>
          <w:szCs w:val="24"/>
        </w:rPr>
        <w:t xml:space="preserve"> must be provided if the Applicant </w:t>
      </w:r>
      <w:r w:rsidRPr="00186DBB">
        <w:rPr>
          <w:sz w:val="24"/>
          <w:szCs w:val="24"/>
        </w:rPr>
        <w:t xml:space="preserve">is required </w:t>
      </w:r>
      <w:r w:rsidR="00605AE9">
        <w:rPr>
          <w:sz w:val="24"/>
          <w:szCs w:val="24"/>
        </w:rPr>
        <w:t xml:space="preserve">to register with the </w:t>
      </w:r>
      <w:r w:rsidRPr="00186DBB">
        <w:rPr>
          <w:sz w:val="24"/>
          <w:szCs w:val="24"/>
        </w:rPr>
        <w:t xml:space="preserve">FCC. </w:t>
      </w:r>
    </w:p>
    <w:p w14:paraId="5E563E71" w14:textId="73D97347" w:rsidR="005833B3" w:rsidRPr="00186DBB" w:rsidRDefault="005833B3" w:rsidP="00186DBB">
      <w:pPr>
        <w:pStyle w:val="ListParagraph"/>
        <w:numPr>
          <w:ilvl w:val="0"/>
          <w:numId w:val="4"/>
        </w:numPr>
        <w:tabs>
          <w:tab w:val="left" w:pos="360"/>
        </w:tabs>
        <w:spacing w:before="161"/>
        <w:contextualSpacing w:val="0"/>
        <w:jc w:val="both"/>
        <w:rPr>
          <w:sz w:val="24"/>
          <w:szCs w:val="24"/>
        </w:rPr>
      </w:pPr>
      <w:r w:rsidRPr="00186DBB">
        <w:rPr>
          <w:sz w:val="24"/>
          <w:szCs w:val="24"/>
        </w:rPr>
        <w:lastRenderedPageBreak/>
        <w:t>In Section 1.e. of the form, enter the applicant’s active California Secretary of State (CSOS) Entity Number.</w:t>
      </w:r>
      <w:r w:rsidR="00232FB1" w:rsidRPr="00186DBB">
        <w:rPr>
          <w:sz w:val="24"/>
          <w:szCs w:val="24"/>
        </w:rPr>
        <w:t xml:space="preserve"> This CSOS Entity no. is required if the Applicant is doing business in the State of California.</w:t>
      </w:r>
    </w:p>
    <w:p w14:paraId="0C535BE3" w14:textId="79E0C6FA" w:rsidR="005833B3" w:rsidRPr="00186DBB" w:rsidRDefault="005833B3" w:rsidP="00186DBB">
      <w:pPr>
        <w:pStyle w:val="ListParagraph"/>
        <w:numPr>
          <w:ilvl w:val="0"/>
          <w:numId w:val="4"/>
        </w:numPr>
        <w:tabs>
          <w:tab w:val="left" w:pos="360"/>
        </w:tabs>
        <w:spacing w:before="161"/>
        <w:contextualSpacing w:val="0"/>
        <w:jc w:val="both"/>
        <w:rPr>
          <w:sz w:val="24"/>
          <w:szCs w:val="24"/>
        </w:rPr>
      </w:pPr>
      <w:r w:rsidRPr="00186DBB">
        <w:rPr>
          <w:sz w:val="24"/>
          <w:szCs w:val="24"/>
        </w:rPr>
        <w:t xml:space="preserve">In Section 1.f. of the form, </w:t>
      </w:r>
      <w:r w:rsidR="00232FB1" w:rsidRPr="00186DBB">
        <w:rPr>
          <w:sz w:val="24"/>
          <w:szCs w:val="24"/>
        </w:rPr>
        <w:t xml:space="preserve">the Applicant must select </w:t>
      </w:r>
      <w:r w:rsidR="008B1849" w:rsidRPr="00186DBB">
        <w:rPr>
          <w:sz w:val="24"/>
          <w:szCs w:val="24"/>
        </w:rPr>
        <w:t>one</w:t>
      </w:r>
      <w:r w:rsidR="00232FB1" w:rsidRPr="00186DBB">
        <w:rPr>
          <w:sz w:val="24"/>
          <w:szCs w:val="24"/>
        </w:rPr>
        <w:t xml:space="preserve"> of the options provided to identify if it has a foreign ownership interest. I</w:t>
      </w:r>
      <w:r w:rsidRPr="00186DBB">
        <w:rPr>
          <w:sz w:val="24"/>
          <w:szCs w:val="24"/>
        </w:rPr>
        <w:t xml:space="preserve">f </w:t>
      </w:r>
      <w:r w:rsidR="00232FB1" w:rsidRPr="00186DBB">
        <w:rPr>
          <w:sz w:val="24"/>
          <w:szCs w:val="24"/>
        </w:rPr>
        <w:t xml:space="preserve">option selected </w:t>
      </w:r>
      <w:r w:rsidRPr="00186DBB">
        <w:rPr>
          <w:sz w:val="24"/>
          <w:szCs w:val="24"/>
        </w:rPr>
        <w:t xml:space="preserve">is “Yes,” </w:t>
      </w:r>
      <w:r w:rsidR="00232FB1" w:rsidRPr="00186DBB">
        <w:rPr>
          <w:sz w:val="24"/>
          <w:szCs w:val="24"/>
        </w:rPr>
        <w:t xml:space="preserve">identify and </w:t>
      </w:r>
      <w:r w:rsidRPr="00186DBB">
        <w:rPr>
          <w:sz w:val="24"/>
          <w:szCs w:val="24"/>
        </w:rPr>
        <w:t>list</w:t>
      </w:r>
      <w:r w:rsidR="00232FB1" w:rsidRPr="00186DBB">
        <w:rPr>
          <w:sz w:val="24"/>
          <w:szCs w:val="24"/>
        </w:rPr>
        <w:t xml:space="preserve"> the</w:t>
      </w:r>
      <w:r w:rsidRPr="00186DBB">
        <w:rPr>
          <w:sz w:val="24"/>
          <w:szCs w:val="24"/>
        </w:rPr>
        <w:t xml:space="preserve"> foreign entity interest.</w:t>
      </w:r>
    </w:p>
    <w:p w14:paraId="74F8D6E6" w14:textId="77777777" w:rsidR="005833B3" w:rsidRPr="00186DBB" w:rsidRDefault="005833B3" w:rsidP="00186DBB">
      <w:pPr>
        <w:pStyle w:val="ListParagraph"/>
        <w:numPr>
          <w:ilvl w:val="1"/>
          <w:numId w:val="2"/>
        </w:numPr>
        <w:tabs>
          <w:tab w:val="left" w:pos="360"/>
        </w:tabs>
        <w:spacing w:before="161"/>
        <w:ind w:left="720"/>
        <w:contextualSpacing w:val="0"/>
        <w:jc w:val="both"/>
        <w:rPr>
          <w:sz w:val="24"/>
          <w:szCs w:val="24"/>
        </w:rPr>
      </w:pPr>
      <w:r w:rsidRPr="00186DBB">
        <w:rPr>
          <w:sz w:val="24"/>
          <w:szCs w:val="24"/>
        </w:rPr>
        <w:t>In Section 2 of the form, provide the name, mailing address, and telephone number of Applicant’s registered agent for service of process.</w:t>
      </w:r>
    </w:p>
    <w:p w14:paraId="095921AE" w14:textId="01766EAD" w:rsidR="005833B3" w:rsidRPr="00186DBB" w:rsidRDefault="005833B3" w:rsidP="00186DBB">
      <w:pPr>
        <w:pStyle w:val="ListParagraph"/>
        <w:numPr>
          <w:ilvl w:val="1"/>
          <w:numId w:val="2"/>
        </w:numPr>
        <w:tabs>
          <w:tab w:val="left" w:pos="360"/>
        </w:tabs>
        <w:spacing w:before="161"/>
        <w:ind w:left="720"/>
        <w:contextualSpacing w:val="0"/>
        <w:jc w:val="both"/>
        <w:rPr>
          <w:sz w:val="24"/>
          <w:szCs w:val="24"/>
        </w:rPr>
      </w:pPr>
      <w:r w:rsidRPr="00186DBB">
        <w:rPr>
          <w:sz w:val="24"/>
          <w:szCs w:val="24"/>
        </w:rPr>
        <w:t xml:space="preserve">In Section 3 of the form, the Applicant must </w:t>
      </w:r>
      <w:r w:rsidR="00232FB1" w:rsidRPr="00186DBB">
        <w:rPr>
          <w:sz w:val="24"/>
          <w:szCs w:val="24"/>
        </w:rPr>
        <w:t>select</w:t>
      </w:r>
      <w:r w:rsidRPr="00186DBB">
        <w:rPr>
          <w:sz w:val="24"/>
          <w:szCs w:val="24"/>
        </w:rPr>
        <w:t xml:space="preserve"> one of the options provided to identify Applicant’s Legal Domicile. For individuals, domicile is the place of legal residence; for entities, it is the state of incorporation or organization.</w:t>
      </w:r>
    </w:p>
    <w:p w14:paraId="3B6DC7E2" w14:textId="1E5B2B53" w:rsidR="005833B3" w:rsidRPr="00186DBB" w:rsidRDefault="005833B3" w:rsidP="00186DBB">
      <w:pPr>
        <w:pStyle w:val="ListParagraph"/>
        <w:numPr>
          <w:ilvl w:val="1"/>
          <w:numId w:val="2"/>
        </w:numPr>
        <w:tabs>
          <w:tab w:val="left" w:pos="360"/>
        </w:tabs>
        <w:spacing w:before="161"/>
        <w:ind w:left="720"/>
        <w:contextualSpacing w:val="0"/>
        <w:jc w:val="both"/>
        <w:rPr>
          <w:sz w:val="24"/>
          <w:szCs w:val="24"/>
        </w:rPr>
      </w:pPr>
      <w:r w:rsidRPr="00186DBB">
        <w:rPr>
          <w:sz w:val="24"/>
          <w:szCs w:val="24"/>
        </w:rPr>
        <w:t>In Section 4 of the form, the Applicant must provide a proposed schedule and include dates for all items listed in Section 4 not marked as optional.</w:t>
      </w:r>
      <w:r w:rsidR="00E114AF" w:rsidRPr="00186DBB">
        <w:rPr>
          <w:sz w:val="24"/>
          <w:szCs w:val="24"/>
        </w:rPr>
        <w:t xml:space="preserve"> The CPCN application is immediately categorized as </w:t>
      </w:r>
      <w:proofErr w:type="spellStart"/>
      <w:r w:rsidR="00E114AF" w:rsidRPr="00186DBB">
        <w:rPr>
          <w:sz w:val="24"/>
          <w:szCs w:val="24"/>
        </w:rPr>
        <w:t>Ratesetting</w:t>
      </w:r>
      <w:proofErr w:type="spellEnd"/>
      <w:r w:rsidR="00E114AF" w:rsidRPr="00186DBB">
        <w:rPr>
          <w:sz w:val="24"/>
          <w:szCs w:val="24"/>
        </w:rPr>
        <w:t>.</w:t>
      </w:r>
      <w:r w:rsidRPr="00186DBB">
        <w:rPr>
          <w:sz w:val="24"/>
          <w:szCs w:val="24"/>
        </w:rPr>
        <w:t xml:space="preserve"> If an</w:t>
      </w:r>
      <w:r w:rsidR="00232FB1" w:rsidRPr="00186DBB">
        <w:rPr>
          <w:sz w:val="24"/>
          <w:szCs w:val="24"/>
        </w:rPr>
        <w:t>y</w:t>
      </w:r>
      <w:r w:rsidRPr="00186DBB">
        <w:rPr>
          <w:sz w:val="24"/>
          <w:szCs w:val="24"/>
        </w:rPr>
        <w:t xml:space="preserve"> optional item</w:t>
      </w:r>
      <w:r w:rsidR="00232FB1" w:rsidRPr="00186DBB">
        <w:rPr>
          <w:sz w:val="24"/>
          <w:szCs w:val="24"/>
        </w:rPr>
        <w:t>s</w:t>
      </w:r>
      <w:r w:rsidRPr="00186DBB">
        <w:rPr>
          <w:sz w:val="24"/>
          <w:szCs w:val="24"/>
        </w:rPr>
        <w:t xml:space="preserve"> </w:t>
      </w:r>
      <w:r w:rsidR="00232FB1" w:rsidRPr="00186DBB">
        <w:rPr>
          <w:sz w:val="24"/>
          <w:szCs w:val="24"/>
        </w:rPr>
        <w:t>are</w:t>
      </w:r>
      <w:r w:rsidRPr="00186DBB">
        <w:rPr>
          <w:sz w:val="24"/>
          <w:szCs w:val="24"/>
        </w:rPr>
        <w:t xml:space="preserve"> selected, you must </w:t>
      </w:r>
      <w:r w:rsidR="00E114AF" w:rsidRPr="00186DBB">
        <w:rPr>
          <w:sz w:val="24"/>
          <w:szCs w:val="24"/>
        </w:rPr>
        <w:t>specify</w:t>
      </w:r>
      <w:r w:rsidRPr="00186DBB">
        <w:rPr>
          <w:sz w:val="24"/>
          <w:szCs w:val="24"/>
        </w:rPr>
        <w:t xml:space="preserve"> a date. </w:t>
      </w:r>
      <w:r w:rsidR="00E114AF" w:rsidRPr="00186DBB">
        <w:rPr>
          <w:sz w:val="24"/>
          <w:szCs w:val="24"/>
        </w:rPr>
        <w:t xml:space="preserve">Evidentiary Hearing is optional and if selected, the Applicant must attach Appendix B and provide a description of the issues which require hearing and length of hearing needed. Under ‘Other Proposed Schedule’, identify the item being proposed that requires a schedule and specify the date in the space provided. </w:t>
      </w:r>
    </w:p>
    <w:p w14:paraId="7D9A015D" w14:textId="7F1EECAA" w:rsidR="005833B3" w:rsidRPr="00186DBB" w:rsidRDefault="005833B3" w:rsidP="00186DBB">
      <w:pPr>
        <w:pStyle w:val="ListParagraph"/>
        <w:numPr>
          <w:ilvl w:val="1"/>
          <w:numId w:val="2"/>
        </w:numPr>
        <w:tabs>
          <w:tab w:val="left" w:pos="360"/>
        </w:tabs>
        <w:spacing w:before="161"/>
        <w:ind w:left="720"/>
        <w:contextualSpacing w:val="0"/>
        <w:jc w:val="both"/>
        <w:rPr>
          <w:sz w:val="24"/>
          <w:szCs w:val="24"/>
        </w:rPr>
      </w:pPr>
      <w:r w:rsidRPr="00186DBB">
        <w:rPr>
          <w:sz w:val="24"/>
          <w:szCs w:val="24"/>
        </w:rPr>
        <w:t xml:space="preserve">In Section 5 of the form, </w:t>
      </w:r>
      <w:r w:rsidR="00232FB1" w:rsidRPr="00186DBB">
        <w:rPr>
          <w:sz w:val="24"/>
          <w:szCs w:val="24"/>
        </w:rPr>
        <w:t xml:space="preserve">the Applicant must </w:t>
      </w:r>
      <w:r w:rsidRPr="00186DBB">
        <w:rPr>
          <w:sz w:val="24"/>
          <w:szCs w:val="24"/>
        </w:rPr>
        <w:t xml:space="preserve">select </w:t>
      </w:r>
      <w:r w:rsidR="00232FB1" w:rsidRPr="00186DBB">
        <w:rPr>
          <w:sz w:val="24"/>
          <w:szCs w:val="24"/>
        </w:rPr>
        <w:t xml:space="preserve">all </w:t>
      </w:r>
      <w:r w:rsidRPr="00186DBB">
        <w:rPr>
          <w:sz w:val="24"/>
          <w:szCs w:val="24"/>
        </w:rPr>
        <w:t>the issues to be considered, and if applicable, provide a description in the space provided.</w:t>
      </w:r>
    </w:p>
    <w:p w14:paraId="18334BF1" w14:textId="7AA0E2BC" w:rsidR="005833B3" w:rsidRPr="00186DBB" w:rsidRDefault="005833B3" w:rsidP="00186DBB">
      <w:pPr>
        <w:pStyle w:val="ListParagraph"/>
        <w:numPr>
          <w:ilvl w:val="1"/>
          <w:numId w:val="2"/>
        </w:numPr>
        <w:tabs>
          <w:tab w:val="left" w:pos="360"/>
        </w:tabs>
        <w:spacing w:before="161"/>
        <w:ind w:left="720"/>
        <w:contextualSpacing w:val="0"/>
        <w:jc w:val="both"/>
        <w:rPr>
          <w:sz w:val="24"/>
          <w:szCs w:val="24"/>
        </w:rPr>
      </w:pPr>
      <w:r w:rsidRPr="00186DBB">
        <w:rPr>
          <w:sz w:val="24"/>
          <w:szCs w:val="24"/>
        </w:rPr>
        <w:t>In Section 6 of the form, the Applicant must select the appropriate boxes to clearly describe the operating authority it is seeking approval for. The Applicant should select all types of service(s) it proposes to provide</w:t>
      </w:r>
      <w:r w:rsidR="00F17AA1" w:rsidRPr="00186DBB">
        <w:rPr>
          <w:sz w:val="24"/>
          <w:szCs w:val="24"/>
        </w:rPr>
        <w:t xml:space="preserve">. Under each respective type, select </w:t>
      </w:r>
      <w:r w:rsidRPr="00186DBB">
        <w:rPr>
          <w:sz w:val="24"/>
          <w:szCs w:val="24"/>
        </w:rPr>
        <w:t>the type of proposed facilities, and the service territories it proposes to offer its services. If applicant selects the Service Territories option “In specific portions of the state only,” attach Appendix C to include a list of the specific portion(s) or geographical location(s) of the State, and/or ILEC territory(</w:t>
      </w:r>
      <w:proofErr w:type="spellStart"/>
      <w:r w:rsidRPr="00186DBB">
        <w:rPr>
          <w:sz w:val="24"/>
          <w:szCs w:val="24"/>
        </w:rPr>
        <w:t>ies</w:t>
      </w:r>
      <w:proofErr w:type="spellEnd"/>
      <w:r w:rsidRPr="00186DBB">
        <w:rPr>
          <w:sz w:val="24"/>
          <w:szCs w:val="24"/>
        </w:rPr>
        <w:t>); and a copy of the map(s).</w:t>
      </w:r>
    </w:p>
    <w:p w14:paraId="02F51979" w14:textId="2A62EEE8" w:rsidR="005833B3" w:rsidRPr="00186DBB" w:rsidRDefault="005833B3" w:rsidP="00186DBB">
      <w:pPr>
        <w:pStyle w:val="ListParagraph"/>
        <w:numPr>
          <w:ilvl w:val="2"/>
          <w:numId w:val="2"/>
        </w:numPr>
        <w:tabs>
          <w:tab w:val="left" w:pos="360"/>
        </w:tabs>
        <w:spacing w:before="161"/>
        <w:ind w:left="1349"/>
        <w:contextualSpacing w:val="0"/>
        <w:jc w:val="both"/>
        <w:rPr>
          <w:sz w:val="24"/>
          <w:szCs w:val="24"/>
        </w:rPr>
      </w:pPr>
      <w:r w:rsidRPr="00186DBB">
        <w:rPr>
          <w:sz w:val="24"/>
          <w:szCs w:val="24"/>
        </w:rPr>
        <w:t>Facilities-based service providers are defined as service providers that own, or control facilities used to provide communications for compensation, including the line to the end-user’s location. Full facilities-based service providers install telecommunications facilities, other than equipment in or on existing buildings or structures; whereas limited facilities-based service providers install telecommunications facilities in or on existing structures.</w:t>
      </w:r>
      <w:r w:rsidRPr="00186DBB">
        <w:rPr>
          <w:rStyle w:val="FootnoteReference"/>
          <w:sz w:val="24"/>
          <w:szCs w:val="24"/>
        </w:rPr>
        <w:footnoteReference w:id="2"/>
      </w:r>
      <w:r w:rsidRPr="00186DBB">
        <w:rPr>
          <w:position w:val="7"/>
          <w:sz w:val="24"/>
          <w:szCs w:val="24"/>
        </w:rPr>
        <w:t xml:space="preserve"> </w:t>
      </w:r>
      <w:r w:rsidRPr="00186DBB">
        <w:rPr>
          <w:sz w:val="24"/>
          <w:szCs w:val="24"/>
        </w:rPr>
        <w:t xml:space="preserve">Full facilities-based </w:t>
      </w:r>
      <w:r w:rsidRPr="00186DBB">
        <w:rPr>
          <w:sz w:val="24"/>
          <w:szCs w:val="24"/>
        </w:rPr>
        <w:lastRenderedPageBreak/>
        <w:t xml:space="preserve">service is subject to </w:t>
      </w:r>
      <w:r w:rsidR="00841AC0" w:rsidRPr="00186DBB">
        <w:rPr>
          <w:sz w:val="24"/>
          <w:szCs w:val="24"/>
        </w:rPr>
        <w:t>the California</w:t>
      </w:r>
      <w:r w:rsidRPr="00186DBB">
        <w:rPr>
          <w:sz w:val="24"/>
          <w:szCs w:val="24"/>
        </w:rPr>
        <w:t xml:space="preserve"> Environmental Quality Act (CEQA) review, while limited facilities-based service is not subject to CEQA.</w:t>
      </w:r>
    </w:p>
    <w:p w14:paraId="0FDEDDEC" w14:textId="77777777" w:rsidR="005833B3" w:rsidRPr="00186DBB" w:rsidRDefault="005833B3" w:rsidP="00186DBB">
      <w:pPr>
        <w:pStyle w:val="ListParagraph"/>
        <w:numPr>
          <w:ilvl w:val="2"/>
          <w:numId w:val="2"/>
        </w:numPr>
        <w:tabs>
          <w:tab w:val="left" w:pos="360"/>
        </w:tabs>
        <w:spacing w:before="161"/>
        <w:ind w:left="1349"/>
        <w:contextualSpacing w:val="0"/>
        <w:jc w:val="both"/>
        <w:rPr>
          <w:sz w:val="24"/>
          <w:szCs w:val="24"/>
        </w:rPr>
      </w:pPr>
      <w:r w:rsidRPr="00186DBB">
        <w:rPr>
          <w:sz w:val="24"/>
          <w:szCs w:val="24"/>
        </w:rPr>
        <w:t>Non-facilities-based service is now equivalent to the legacy term “switchless reseller” and the general term “reseller;” and is defined as a service provider which does not directly own, control, operate, or manage conduits, ducts, poles, wires, cables, instruments, switches, appurtenances, or appliances in connection with or to facilitate communications within the local exchange portion of the public switched network.</w:t>
      </w:r>
      <w:r w:rsidRPr="00186DBB">
        <w:rPr>
          <w:rStyle w:val="FootnoteReference"/>
          <w:sz w:val="24"/>
          <w:szCs w:val="24"/>
        </w:rPr>
        <w:footnoteReference w:id="3"/>
      </w:r>
      <w:r w:rsidRPr="00186DBB">
        <w:rPr>
          <w:sz w:val="24"/>
          <w:szCs w:val="24"/>
        </w:rPr>
        <w:t xml:space="preserve"> </w:t>
      </w:r>
    </w:p>
    <w:p w14:paraId="73F46B98" w14:textId="041E551F" w:rsidR="005833B3" w:rsidRPr="00186DBB" w:rsidRDefault="005833B3" w:rsidP="00186DBB">
      <w:pPr>
        <w:tabs>
          <w:tab w:val="left" w:pos="360"/>
        </w:tabs>
        <w:spacing w:before="161"/>
        <w:ind w:left="720"/>
        <w:jc w:val="both"/>
        <w:rPr>
          <w:sz w:val="24"/>
          <w:szCs w:val="24"/>
        </w:rPr>
      </w:pPr>
      <w:r w:rsidRPr="00186DBB">
        <w:rPr>
          <w:sz w:val="24"/>
          <w:szCs w:val="24"/>
        </w:rPr>
        <w:t xml:space="preserve">For additional information regarding service provider type definitions </w:t>
      </w:r>
      <w:r w:rsidR="00C7537E" w:rsidRPr="00186DBB">
        <w:rPr>
          <w:sz w:val="24"/>
          <w:szCs w:val="24"/>
        </w:rPr>
        <w:t>is available at the CPUC website at</w:t>
      </w:r>
      <w:r w:rsidRPr="00186DBB">
        <w:rPr>
          <w:sz w:val="24"/>
          <w:szCs w:val="24"/>
        </w:rPr>
        <w:t xml:space="preserve">: </w:t>
      </w:r>
      <w:r w:rsidRPr="00186DBB">
        <w:rPr>
          <w:color w:val="467885"/>
          <w:sz w:val="24"/>
          <w:szCs w:val="24"/>
          <w:u w:val="single" w:color="467885"/>
        </w:rPr>
        <w:t>https://www.cpuc.ca.gov/industries-and-topics/internet-and-</w:t>
      </w:r>
      <w:hyperlink r:id="rId8">
        <w:r w:rsidRPr="00186DBB">
          <w:rPr>
            <w:color w:val="467885"/>
            <w:sz w:val="24"/>
            <w:szCs w:val="24"/>
            <w:u w:val="single" w:color="467885"/>
          </w:rPr>
          <w:t>phone/telecommunications-carrier-types-with-definition</w:t>
        </w:r>
      </w:hyperlink>
      <w:r w:rsidRPr="00186DBB">
        <w:rPr>
          <w:sz w:val="24"/>
          <w:szCs w:val="24"/>
        </w:rPr>
        <w:t>.</w:t>
      </w:r>
    </w:p>
    <w:p w14:paraId="02D0944B" w14:textId="41BDDB9A" w:rsidR="005833B3" w:rsidRPr="00186DBB" w:rsidRDefault="005833B3" w:rsidP="00186DBB">
      <w:pPr>
        <w:pStyle w:val="ListParagraph"/>
        <w:numPr>
          <w:ilvl w:val="1"/>
          <w:numId w:val="2"/>
        </w:numPr>
        <w:tabs>
          <w:tab w:val="left" w:pos="360"/>
        </w:tabs>
        <w:spacing w:before="161"/>
        <w:ind w:left="720"/>
        <w:contextualSpacing w:val="0"/>
        <w:jc w:val="both"/>
        <w:rPr>
          <w:sz w:val="24"/>
          <w:szCs w:val="24"/>
        </w:rPr>
      </w:pPr>
      <w:bookmarkStart w:id="0" w:name="_bookmark0"/>
      <w:bookmarkStart w:id="1" w:name="_bookmark1"/>
      <w:bookmarkEnd w:id="0"/>
      <w:bookmarkEnd w:id="1"/>
      <w:r w:rsidRPr="00186DBB">
        <w:rPr>
          <w:sz w:val="24"/>
          <w:szCs w:val="24"/>
        </w:rPr>
        <w:t xml:space="preserve">In Section 7 of the form, </w:t>
      </w:r>
      <w:bookmarkStart w:id="2" w:name="_Hlk201330464"/>
      <w:r w:rsidRPr="00186DBB">
        <w:rPr>
          <w:sz w:val="24"/>
          <w:szCs w:val="24"/>
        </w:rPr>
        <w:t>enter the date that Applicant expects to begin offering service in California.</w:t>
      </w:r>
      <w:r w:rsidR="00612CB4" w:rsidRPr="00186DBB">
        <w:rPr>
          <w:sz w:val="24"/>
          <w:szCs w:val="24"/>
        </w:rPr>
        <w:t xml:space="preserve"> </w:t>
      </w:r>
      <w:r w:rsidR="008D270D" w:rsidRPr="00186DBB">
        <w:rPr>
          <w:sz w:val="24"/>
          <w:szCs w:val="24"/>
        </w:rPr>
        <w:t xml:space="preserve">The </w:t>
      </w:r>
      <w:r w:rsidR="00612CB4" w:rsidRPr="00186DBB">
        <w:rPr>
          <w:sz w:val="24"/>
          <w:szCs w:val="24"/>
        </w:rPr>
        <w:t xml:space="preserve">Applicant </w:t>
      </w:r>
      <w:r w:rsidR="008D270D" w:rsidRPr="00186DBB">
        <w:rPr>
          <w:sz w:val="24"/>
          <w:szCs w:val="24"/>
        </w:rPr>
        <w:t xml:space="preserve">may enter a future estimated start date that considers the review and approval time of the application (e.g., 6 -12 months from file date of Application). </w:t>
      </w:r>
      <w:r w:rsidRPr="00186DBB">
        <w:rPr>
          <w:sz w:val="24"/>
          <w:szCs w:val="24"/>
        </w:rPr>
        <w:t xml:space="preserve"> </w:t>
      </w:r>
      <w:bookmarkEnd w:id="2"/>
      <w:r w:rsidRPr="00186DBB">
        <w:rPr>
          <w:sz w:val="24"/>
          <w:szCs w:val="24"/>
        </w:rPr>
        <w:t xml:space="preserve">If Applicant has already begun offering </w:t>
      </w:r>
      <w:r w:rsidR="008D270D" w:rsidRPr="00186DBB">
        <w:rPr>
          <w:sz w:val="24"/>
          <w:szCs w:val="24"/>
        </w:rPr>
        <w:t xml:space="preserve">regulated voice </w:t>
      </w:r>
      <w:r w:rsidRPr="00186DBB">
        <w:rPr>
          <w:sz w:val="24"/>
          <w:szCs w:val="24"/>
        </w:rPr>
        <w:t>service in California, indicate the date the Applicant commenced providing service and provide Appendix D with the reason for operating prior to obtaining authority in California.</w:t>
      </w:r>
    </w:p>
    <w:p w14:paraId="16D5AE48" w14:textId="458FE34E" w:rsidR="005833B3" w:rsidRPr="00186DBB" w:rsidRDefault="005833B3" w:rsidP="00186DBB">
      <w:pPr>
        <w:pStyle w:val="ListParagraph"/>
        <w:numPr>
          <w:ilvl w:val="1"/>
          <w:numId w:val="2"/>
        </w:numPr>
        <w:tabs>
          <w:tab w:val="left" w:pos="360"/>
        </w:tabs>
        <w:spacing w:before="161"/>
        <w:ind w:left="720"/>
        <w:contextualSpacing w:val="0"/>
        <w:jc w:val="both"/>
        <w:rPr>
          <w:sz w:val="24"/>
          <w:szCs w:val="24"/>
        </w:rPr>
      </w:pPr>
      <w:r w:rsidRPr="00186DBB">
        <w:rPr>
          <w:sz w:val="24"/>
          <w:szCs w:val="24"/>
        </w:rPr>
        <w:t>In Section 8 of the form, the Applicant must select the type of services that</w:t>
      </w:r>
      <w:r w:rsidR="008D270D" w:rsidRPr="00186DBB">
        <w:rPr>
          <w:sz w:val="24"/>
          <w:szCs w:val="24"/>
        </w:rPr>
        <w:t xml:space="preserve"> it will</w:t>
      </w:r>
      <w:r w:rsidRPr="00186DBB">
        <w:rPr>
          <w:sz w:val="24"/>
          <w:szCs w:val="24"/>
        </w:rPr>
        <w:t xml:space="preserve"> provide in California.</w:t>
      </w:r>
    </w:p>
    <w:p w14:paraId="7964A1C8" w14:textId="2B9E7BBD" w:rsidR="00841AC0" w:rsidRPr="00186DBB" w:rsidRDefault="005833B3" w:rsidP="00186DBB">
      <w:pPr>
        <w:pStyle w:val="ListParagraph"/>
        <w:numPr>
          <w:ilvl w:val="1"/>
          <w:numId w:val="2"/>
        </w:numPr>
        <w:tabs>
          <w:tab w:val="left" w:pos="360"/>
        </w:tabs>
        <w:spacing w:before="161"/>
        <w:ind w:left="720"/>
        <w:contextualSpacing w:val="0"/>
        <w:jc w:val="both"/>
        <w:rPr>
          <w:sz w:val="24"/>
          <w:szCs w:val="24"/>
        </w:rPr>
      </w:pPr>
      <w:r w:rsidRPr="00186DBB">
        <w:rPr>
          <w:sz w:val="24"/>
          <w:szCs w:val="24"/>
        </w:rPr>
        <w:t xml:space="preserve">In Section 9 of the form, </w:t>
      </w:r>
      <w:r w:rsidR="008D270D" w:rsidRPr="00186DBB">
        <w:rPr>
          <w:sz w:val="24"/>
          <w:szCs w:val="24"/>
        </w:rPr>
        <w:t xml:space="preserve">the Applicant must provide a “True” or “Not True” response to the </w:t>
      </w:r>
      <w:proofErr w:type="gramStart"/>
      <w:r w:rsidR="008D270D" w:rsidRPr="00186DBB">
        <w:rPr>
          <w:sz w:val="24"/>
          <w:szCs w:val="24"/>
        </w:rPr>
        <w:t>sworn affidavit</w:t>
      </w:r>
      <w:proofErr w:type="gramEnd"/>
      <w:r w:rsidR="008D270D" w:rsidRPr="00186DBB">
        <w:rPr>
          <w:sz w:val="24"/>
          <w:szCs w:val="24"/>
        </w:rPr>
        <w:t xml:space="preserve"> statement. </w:t>
      </w:r>
      <w:r w:rsidRPr="00186DBB">
        <w:rPr>
          <w:sz w:val="24"/>
          <w:szCs w:val="24"/>
        </w:rPr>
        <w:t xml:space="preserve">If the Applicant’s response is anything other than an unqualified “True,” attach Appendix E </w:t>
      </w:r>
      <w:r w:rsidR="00535A12">
        <w:rPr>
          <w:sz w:val="24"/>
          <w:szCs w:val="24"/>
        </w:rPr>
        <w:t xml:space="preserve">with </w:t>
      </w:r>
      <w:r w:rsidRPr="00186DBB">
        <w:rPr>
          <w:sz w:val="24"/>
          <w:szCs w:val="24"/>
        </w:rPr>
        <w:t>all documentation and describe any such bankruptcies, findings, judgments, convictions, referrals, denials, suspensions, revocations, limitations, settlements, voluntary payments or any other type of monetary forfeitures.</w:t>
      </w:r>
    </w:p>
    <w:p w14:paraId="716B8B88" w14:textId="79C4267F" w:rsidR="005833B3" w:rsidRPr="00186DBB" w:rsidRDefault="005833B3" w:rsidP="00186DBB">
      <w:pPr>
        <w:pStyle w:val="ListParagraph"/>
        <w:numPr>
          <w:ilvl w:val="0"/>
          <w:numId w:val="5"/>
        </w:numPr>
        <w:tabs>
          <w:tab w:val="left" w:pos="360"/>
        </w:tabs>
        <w:spacing w:before="161"/>
        <w:contextualSpacing w:val="0"/>
        <w:jc w:val="both"/>
        <w:rPr>
          <w:sz w:val="24"/>
          <w:szCs w:val="24"/>
        </w:rPr>
      </w:pPr>
      <w:r w:rsidRPr="00186DBB">
        <w:rPr>
          <w:sz w:val="24"/>
          <w:szCs w:val="24"/>
        </w:rPr>
        <w:t xml:space="preserve">In Section 9.a. of the form, the Applicant must attach Appendix F </w:t>
      </w:r>
      <w:r w:rsidR="00270ED2">
        <w:rPr>
          <w:sz w:val="24"/>
          <w:szCs w:val="24"/>
        </w:rPr>
        <w:t xml:space="preserve">with a </w:t>
      </w:r>
      <w:r w:rsidRPr="00186DBB">
        <w:rPr>
          <w:sz w:val="24"/>
          <w:szCs w:val="24"/>
        </w:rPr>
        <w:t xml:space="preserve">list of all affiliates. If an affiliate is a regulated entity in California, indicate the Utility ID Number assigned by the Commission to the entity. If no affiliates exist, it must clearly be identified in Appendix F. An affiliated entity is any entity under </w:t>
      </w:r>
      <w:r w:rsidRPr="00186DBB">
        <w:rPr>
          <w:sz w:val="24"/>
          <w:szCs w:val="24"/>
        </w:rPr>
        <w:lastRenderedPageBreak/>
        <w:t>common control with the Applicant. Common control exists if the same individuals or entities have the direct or indirect power to determine the action of Applicant and such entity</w:t>
      </w:r>
      <w:r w:rsidR="00005C86">
        <w:rPr>
          <w:sz w:val="24"/>
          <w:szCs w:val="24"/>
        </w:rPr>
        <w:t>,</w:t>
      </w:r>
      <w:r w:rsidRPr="00186DBB">
        <w:rPr>
          <w:sz w:val="24"/>
          <w:szCs w:val="24"/>
        </w:rPr>
        <w:t xml:space="preserve"> through right to vote shares, by contract or agreement, or otherwise. Note whether any such entity is a reporting company for purposes of the Securities Exchange Act of 1934, as amended.</w:t>
      </w:r>
    </w:p>
    <w:p w14:paraId="45D4D213" w14:textId="47FFB089" w:rsidR="005833B3" w:rsidRPr="00186DBB" w:rsidRDefault="005833B3" w:rsidP="00186DBB">
      <w:pPr>
        <w:pStyle w:val="ListParagraph"/>
        <w:numPr>
          <w:ilvl w:val="1"/>
          <w:numId w:val="2"/>
        </w:numPr>
        <w:tabs>
          <w:tab w:val="left" w:pos="360"/>
        </w:tabs>
        <w:spacing w:before="161"/>
        <w:ind w:left="720"/>
        <w:contextualSpacing w:val="0"/>
        <w:jc w:val="both"/>
        <w:rPr>
          <w:sz w:val="24"/>
          <w:szCs w:val="24"/>
        </w:rPr>
      </w:pPr>
      <w:r w:rsidRPr="00186DBB">
        <w:rPr>
          <w:sz w:val="24"/>
          <w:szCs w:val="24"/>
        </w:rPr>
        <w:t xml:space="preserve">In Section 10 of the form, </w:t>
      </w:r>
      <w:bookmarkStart w:id="3" w:name="_Hlk201330930"/>
      <w:bookmarkStart w:id="4" w:name="_Hlk201336408"/>
      <w:r w:rsidRPr="00186DBB">
        <w:rPr>
          <w:sz w:val="24"/>
          <w:szCs w:val="24"/>
        </w:rPr>
        <w:t xml:space="preserve">the Applicant must demonstrate </w:t>
      </w:r>
      <w:r w:rsidR="003A15F4" w:rsidRPr="00186DBB">
        <w:rPr>
          <w:sz w:val="24"/>
          <w:szCs w:val="24"/>
        </w:rPr>
        <w:t xml:space="preserve">by marking “True” </w:t>
      </w:r>
      <w:r w:rsidRPr="00186DBB">
        <w:rPr>
          <w:sz w:val="24"/>
          <w:szCs w:val="24"/>
        </w:rPr>
        <w:t>that it has the managerial and technical qualifications necessary to provide the proposed services in its service territory</w:t>
      </w:r>
      <w:r w:rsidR="003A15F4" w:rsidRPr="00186DBB">
        <w:rPr>
          <w:sz w:val="24"/>
          <w:szCs w:val="24"/>
        </w:rPr>
        <w:t>.</w:t>
      </w:r>
      <w:r w:rsidRPr="00186DBB">
        <w:rPr>
          <w:sz w:val="24"/>
          <w:szCs w:val="24"/>
        </w:rPr>
        <w:t xml:space="preserve"> </w:t>
      </w:r>
      <w:bookmarkEnd w:id="3"/>
      <w:r w:rsidRPr="00186DBB">
        <w:rPr>
          <w:sz w:val="24"/>
          <w:szCs w:val="24"/>
        </w:rPr>
        <w:t xml:space="preserve">The Applicant must attach Appendix G </w:t>
      </w:r>
      <w:bookmarkStart w:id="5" w:name="_Hlk201331027"/>
      <w:r w:rsidRPr="00186DBB">
        <w:rPr>
          <w:sz w:val="24"/>
          <w:szCs w:val="24"/>
        </w:rPr>
        <w:t>with the following: 1) List of the names, titles, and street addresses of all officers, directors, partners, agents, or owners (directly or indirectly) of more than 10% of Applicant, or any person acting in such capacity whether or not formally appointed, and 2) all resumes for each personnel identified listing all employment for each officer, director, partner, agent, or owner (directly or indirectly) of more than 10% of Applicant, or any person acting in such capacity whether or not formally appointed. Website links to online profiles (e.g., LinkedIn and Facebook) are not acceptable.</w:t>
      </w:r>
      <w:bookmarkEnd w:id="5"/>
    </w:p>
    <w:p w14:paraId="108BEB83" w14:textId="3521DB5D" w:rsidR="005833B3" w:rsidRPr="00186DBB" w:rsidRDefault="005833B3" w:rsidP="00186DBB">
      <w:pPr>
        <w:pStyle w:val="ListParagraph"/>
        <w:numPr>
          <w:ilvl w:val="0"/>
          <w:numId w:val="5"/>
        </w:numPr>
        <w:tabs>
          <w:tab w:val="left" w:pos="360"/>
        </w:tabs>
        <w:spacing w:before="161"/>
        <w:contextualSpacing w:val="0"/>
        <w:jc w:val="both"/>
        <w:rPr>
          <w:sz w:val="24"/>
          <w:szCs w:val="24"/>
        </w:rPr>
      </w:pPr>
      <w:r w:rsidRPr="00186DBB">
        <w:rPr>
          <w:sz w:val="24"/>
          <w:szCs w:val="24"/>
        </w:rPr>
        <w:t>In Section 10.a. of the form, the Applicant must attest to the statement</w:t>
      </w:r>
      <w:r w:rsidR="003A15F4" w:rsidRPr="00186DBB">
        <w:rPr>
          <w:sz w:val="24"/>
          <w:szCs w:val="24"/>
        </w:rPr>
        <w:t xml:space="preserve"> by marking “True” or “Not True.”</w:t>
      </w:r>
      <w:r w:rsidRPr="00186DBB">
        <w:rPr>
          <w:sz w:val="24"/>
          <w:szCs w:val="24"/>
        </w:rPr>
        <w:t xml:space="preserve"> If the response is anything other than an unqualified “</w:t>
      </w:r>
      <w:r w:rsidR="00CB69F6" w:rsidRPr="00186DBB">
        <w:rPr>
          <w:sz w:val="24"/>
          <w:szCs w:val="24"/>
        </w:rPr>
        <w:t>T</w:t>
      </w:r>
      <w:r w:rsidRPr="00186DBB">
        <w:rPr>
          <w:sz w:val="24"/>
          <w:szCs w:val="24"/>
        </w:rPr>
        <w:t>rue”</w:t>
      </w:r>
      <w:r w:rsidR="00CB69F6" w:rsidRPr="00186DBB">
        <w:rPr>
          <w:sz w:val="24"/>
          <w:szCs w:val="24"/>
        </w:rPr>
        <w:t>,</w:t>
      </w:r>
      <w:r w:rsidRPr="00186DBB">
        <w:rPr>
          <w:sz w:val="24"/>
          <w:szCs w:val="24"/>
        </w:rPr>
        <w:t xml:space="preserve"> </w:t>
      </w:r>
      <w:r w:rsidR="003A15F4" w:rsidRPr="00186DBB">
        <w:rPr>
          <w:sz w:val="24"/>
          <w:szCs w:val="24"/>
        </w:rPr>
        <w:t xml:space="preserve">the Applicant must </w:t>
      </w:r>
      <w:r w:rsidRPr="00186DBB">
        <w:rPr>
          <w:sz w:val="24"/>
          <w:szCs w:val="24"/>
        </w:rPr>
        <w:t>attach Appendix H with documentation listing all exceptions and describing all such investigations, whether pending, settled voluntarily, or resolved in another manner.</w:t>
      </w:r>
    </w:p>
    <w:bookmarkEnd w:id="4"/>
    <w:p w14:paraId="62D6B470" w14:textId="7505D849" w:rsidR="005833B3" w:rsidRPr="00186DBB" w:rsidRDefault="005833B3" w:rsidP="00186DBB">
      <w:pPr>
        <w:pStyle w:val="ListParagraph"/>
        <w:numPr>
          <w:ilvl w:val="1"/>
          <w:numId w:val="2"/>
        </w:numPr>
        <w:tabs>
          <w:tab w:val="left" w:pos="360"/>
        </w:tabs>
        <w:spacing w:before="161"/>
        <w:ind w:left="720"/>
        <w:contextualSpacing w:val="0"/>
        <w:jc w:val="both"/>
        <w:rPr>
          <w:sz w:val="24"/>
          <w:szCs w:val="24"/>
        </w:rPr>
      </w:pPr>
      <w:r w:rsidRPr="00186DBB">
        <w:rPr>
          <w:sz w:val="24"/>
          <w:szCs w:val="24"/>
        </w:rPr>
        <w:t>In Section 11 of the form, Applicants that identified Full and/or limited facilities based service providers in Section 6.a., 6.b., and 6.c. must indicate whether they propose to construct facilities. See instructions 2.f for a definition of limited and full facilities. Applicants must include responses to all listed items as an attachment in Appendix I.</w:t>
      </w:r>
      <w:r w:rsidRPr="00186DBB">
        <w:rPr>
          <w:sz w:val="24"/>
          <w:szCs w:val="24"/>
          <w:vertAlign w:val="superscript"/>
        </w:rPr>
        <w:footnoteReference w:id="4"/>
      </w:r>
      <w:r w:rsidRPr="00186DBB">
        <w:rPr>
          <w:sz w:val="24"/>
          <w:szCs w:val="24"/>
        </w:rPr>
        <w:t xml:space="preserve"> Non</w:t>
      </w:r>
      <w:r w:rsidR="00964D6F">
        <w:rPr>
          <w:sz w:val="24"/>
          <w:szCs w:val="24"/>
        </w:rPr>
        <w:t xml:space="preserve"> </w:t>
      </w:r>
      <w:r w:rsidRPr="00186DBB">
        <w:rPr>
          <w:sz w:val="24"/>
          <w:szCs w:val="24"/>
        </w:rPr>
        <w:t xml:space="preserve">rate regulated Applicants can indicate that the proposed rates are </w:t>
      </w:r>
      <w:r w:rsidR="009337A3">
        <w:rPr>
          <w:sz w:val="24"/>
          <w:szCs w:val="24"/>
        </w:rPr>
        <w:t xml:space="preserve">not </w:t>
      </w:r>
      <w:r w:rsidRPr="00186DBB">
        <w:rPr>
          <w:sz w:val="24"/>
          <w:szCs w:val="24"/>
        </w:rPr>
        <w:t>applicable to their application.</w:t>
      </w:r>
      <w:r w:rsidR="003A15F4" w:rsidRPr="00186DBB">
        <w:rPr>
          <w:sz w:val="24"/>
          <w:szCs w:val="24"/>
        </w:rPr>
        <w:t xml:space="preserve"> </w:t>
      </w:r>
      <w:r w:rsidRPr="00186DBB">
        <w:rPr>
          <w:sz w:val="24"/>
          <w:szCs w:val="24"/>
        </w:rPr>
        <w:t>Refer to the</w:t>
      </w:r>
      <w:r w:rsidRPr="00186DBB">
        <w:rPr>
          <w:b/>
          <w:bCs/>
          <w:sz w:val="24"/>
          <w:szCs w:val="24"/>
        </w:rPr>
        <w:t xml:space="preserve"> Special Instructions for Filing </w:t>
      </w:r>
      <w:r w:rsidR="003A15F4" w:rsidRPr="00186DBB">
        <w:rPr>
          <w:b/>
          <w:bCs/>
          <w:sz w:val="24"/>
          <w:szCs w:val="24"/>
        </w:rPr>
        <w:t xml:space="preserve">Presumptively </w:t>
      </w:r>
      <w:r w:rsidRPr="00186DBB">
        <w:rPr>
          <w:b/>
          <w:bCs/>
          <w:sz w:val="24"/>
          <w:szCs w:val="24"/>
        </w:rPr>
        <w:t xml:space="preserve">Confidential Information </w:t>
      </w:r>
      <w:r w:rsidR="003A15F4" w:rsidRPr="00186DBB">
        <w:rPr>
          <w:b/>
          <w:bCs/>
          <w:sz w:val="24"/>
          <w:szCs w:val="24"/>
        </w:rPr>
        <w:t xml:space="preserve">pursuant to D.24-11-003 </w:t>
      </w:r>
      <w:r w:rsidRPr="00186DBB">
        <w:rPr>
          <w:b/>
          <w:bCs/>
          <w:sz w:val="24"/>
          <w:szCs w:val="24"/>
        </w:rPr>
        <w:t>for CPCN applications.</w:t>
      </w:r>
      <w:r w:rsidR="00C7537E" w:rsidRPr="00186DBB">
        <w:rPr>
          <w:rStyle w:val="FootnoteReference"/>
          <w:b/>
          <w:bCs/>
          <w:sz w:val="24"/>
          <w:szCs w:val="24"/>
        </w:rPr>
        <w:footnoteReference w:id="5"/>
      </w:r>
      <w:r w:rsidR="003A15F4" w:rsidRPr="00186DBB">
        <w:rPr>
          <w:b/>
          <w:bCs/>
          <w:sz w:val="24"/>
          <w:szCs w:val="24"/>
        </w:rPr>
        <w:t xml:space="preserve"> </w:t>
      </w:r>
      <w:r w:rsidR="003A15F4" w:rsidRPr="00186DBB">
        <w:rPr>
          <w:sz w:val="24"/>
          <w:szCs w:val="24"/>
        </w:rPr>
        <w:t>A</w:t>
      </w:r>
      <w:r w:rsidR="00C66DEF">
        <w:rPr>
          <w:sz w:val="24"/>
          <w:szCs w:val="24"/>
        </w:rPr>
        <w:t>n A</w:t>
      </w:r>
      <w:r w:rsidR="003A15F4" w:rsidRPr="00186DBB">
        <w:rPr>
          <w:sz w:val="24"/>
          <w:szCs w:val="24"/>
        </w:rPr>
        <w:t xml:space="preserve">pplicant </w:t>
      </w:r>
      <w:r w:rsidR="004D63BA" w:rsidRPr="00186DBB">
        <w:rPr>
          <w:sz w:val="24"/>
          <w:szCs w:val="24"/>
        </w:rPr>
        <w:t xml:space="preserve">that is </w:t>
      </w:r>
      <w:r w:rsidR="003A15F4" w:rsidRPr="00186DBB">
        <w:rPr>
          <w:sz w:val="24"/>
          <w:szCs w:val="24"/>
        </w:rPr>
        <w:t>only requesting to operate as a non-facilities</w:t>
      </w:r>
      <w:r w:rsidR="004D63BA" w:rsidRPr="00186DBB">
        <w:rPr>
          <w:sz w:val="24"/>
          <w:szCs w:val="24"/>
        </w:rPr>
        <w:t>-</w:t>
      </w:r>
      <w:r w:rsidR="003A15F4" w:rsidRPr="00186DBB">
        <w:rPr>
          <w:sz w:val="24"/>
          <w:szCs w:val="24"/>
        </w:rPr>
        <w:t xml:space="preserve">based provider for any services identified in Section 6 of the form </w:t>
      </w:r>
      <w:r w:rsidR="004D63BA" w:rsidRPr="00186DBB">
        <w:rPr>
          <w:sz w:val="24"/>
          <w:szCs w:val="24"/>
        </w:rPr>
        <w:t>is</w:t>
      </w:r>
      <w:r w:rsidR="003A15F4" w:rsidRPr="00186DBB">
        <w:rPr>
          <w:sz w:val="24"/>
          <w:szCs w:val="24"/>
        </w:rPr>
        <w:t xml:space="preserve"> not required to complete this section.</w:t>
      </w:r>
    </w:p>
    <w:p w14:paraId="61D52133" w14:textId="57BAB349" w:rsidR="005833B3" w:rsidRPr="00186DBB" w:rsidRDefault="005833B3" w:rsidP="00186DBB">
      <w:pPr>
        <w:pStyle w:val="ListParagraph"/>
        <w:numPr>
          <w:ilvl w:val="1"/>
          <w:numId w:val="2"/>
        </w:numPr>
        <w:tabs>
          <w:tab w:val="left" w:pos="360"/>
        </w:tabs>
        <w:spacing w:before="161"/>
        <w:ind w:left="720"/>
        <w:contextualSpacing w:val="0"/>
        <w:jc w:val="both"/>
        <w:rPr>
          <w:sz w:val="24"/>
          <w:szCs w:val="24"/>
        </w:rPr>
      </w:pPr>
      <w:r w:rsidRPr="00186DBB">
        <w:rPr>
          <w:sz w:val="24"/>
          <w:szCs w:val="24"/>
        </w:rPr>
        <w:t xml:space="preserve">In Section 12 of the form, an Applicant proposing to provide full facilities-based service must indicate whether eligible for a categorical exemption from CEQA and whether the Applicant requests to utilize the 21-day expedited CEQA review process. If Applicant </w:t>
      </w:r>
      <w:r w:rsidRPr="00186DBB">
        <w:rPr>
          <w:sz w:val="24"/>
          <w:szCs w:val="24"/>
        </w:rPr>
        <w:lastRenderedPageBreak/>
        <w:t>marked “Y</w:t>
      </w:r>
      <w:r w:rsidR="003F4BD6" w:rsidRPr="00186DBB">
        <w:rPr>
          <w:sz w:val="24"/>
          <w:szCs w:val="24"/>
        </w:rPr>
        <w:t>es</w:t>
      </w:r>
      <w:r w:rsidRPr="00186DBB">
        <w:rPr>
          <w:sz w:val="24"/>
          <w:szCs w:val="24"/>
        </w:rPr>
        <w:t xml:space="preserve">”, attach Appendix J with list of categorical exemptions and briefly explain the applicability of each exemption to the proposed construction. If Applicant marked “NO”, attach Appendix J </w:t>
      </w:r>
      <w:r w:rsidR="003E7418">
        <w:rPr>
          <w:sz w:val="24"/>
          <w:szCs w:val="24"/>
        </w:rPr>
        <w:t xml:space="preserve">with </w:t>
      </w:r>
      <w:r w:rsidRPr="00186DBB">
        <w:rPr>
          <w:sz w:val="24"/>
          <w:szCs w:val="24"/>
        </w:rPr>
        <w:t>the Preliminary Environmental Assessment (Rule 2.4(b)) and all documents required pursuant to Rule 3.1.</w:t>
      </w:r>
      <w:r w:rsidR="003A15F4" w:rsidRPr="00186DBB">
        <w:rPr>
          <w:sz w:val="24"/>
          <w:szCs w:val="24"/>
        </w:rPr>
        <w:t xml:space="preserve"> </w:t>
      </w:r>
      <w:r w:rsidR="003E7418">
        <w:rPr>
          <w:sz w:val="24"/>
          <w:szCs w:val="24"/>
        </w:rPr>
        <w:t xml:space="preserve">An </w:t>
      </w:r>
      <w:r w:rsidR="003A15F4" w:rsidRPr="00186DBB">
        <w:rPr>
          <w:sz w:val="24"/>
          <w:szCs w:val="24"/>
        </w:rPr>
        <w:t xml:space="preserve">Applicant </w:t>
      </w:r>
      <w:r w:rsidR="004D63BA" w:rsidRPr="00186DBB">
        <w:rPr>
          <w:sz w:val="24"/>
          <w:szCs w:val="24"/>
        </w:rPr>
        <w:t xml:space="preserve">that is </w:t>
      </w:r>
      <w:r w:rsidR="003A15F4" w:rsidRPr="00186DBB">
        <w:rPr>
          <w:sz w:val="24"/>
          <w:szCs w:val="24"/>
          <w:u w:val="single"/>
        </w:rPr>
        <w:t>only</w:t>
      </w:r>
      <w:r w:rsidR="003A15F4" w:rsidRPr="00186DBB">
        <w:rPr>
          <w:sz w:val="24"/>
          <w:szCs w:val="24"/>
        </w:rPr>
        <w:t xml:space="preserve"> requesting to operate as a non-facilities</w:t>
      </w:r>
      <w:r w:rsidR="004D63BA" w:rsidRPr="00186DBB">
        <w:rPr>
          <w:sz w:val="24"/>
          <w:szCs w:val="24"/>
        </w:rPr>
        <w:t>-</w:t>
      </w:r>
      <w:r w:rsidR="003A15F4" w:rsidRPr="00186DBB">
        <w:rPr>
          <w:sz w:val="24"/>
          <w:szCs w:val="24"/>
        </w:rPr>
        <w:t xml:space="preserve">based provider for any services identified in Section 6 of the form is not required to complete this section. </w:t>
      </w:r>
    </w:p>
    <w:p w14:paraId="48678CAD" w14:textId="307CD269" w:rsidR="005833B3" w:rsidRPr="00186DBB" w:rsidRDefault="005833B3" w:rsidP="00186DBB">
      <w:pPr>
        <w:pStyle w:val="ListParagraph"/>
        <w:numPr>
          <w:ilvl w:val="1"/>
          <w:numId w:val="2"/>
        </w:numPr>
        <w:tabs>
          <w:tab w:val="left" w:pos="360"/>
        </w:tabs>
        <w:spacing w:before="161"/>
        <w:ind w:left="720"/>
        <w:contextualSpacing w:val="0"/>
        <w:jc w:val="both"/>
        <w:rPr>
          <w:sz w:val="24"/>
          <w:szCs w:val="24"/>
        </w:rPr>
      </w:pPr>
      <w:r w:rsidRPr="00186DBB">
        <w:rPr>
          <w:sz w:val="24"/>
          <w:szCs w:val="24"/>
        </w:rPr>
        <w:t xml:space="preserve">In Section 13 of the form, </w:t>
      </w:r>
      <w:bookmarkStart w:id="6" w:name="_Hlk201331166"/>
      <w:r w:rsidRPr="00186DBB">
        <w:rPr>
          <w:sz w:val="24"/>
          <w:szCs w:val="24"/>
        </w:rPr>
        <w:t xml:space="preserve">the Applicant must </w:t>
      </w:r>
      <w:r w:rsidR="004D63BA" w:rsidRPr="00186DBB">
        <w:rPr>
          <w:sz w:val="24"/>
          <w:szCs w:val="24"/>
        </w:rPr>
        <w:t xml:space="preserve">mark “True” and </w:t>
      </w:r>
      <w:r w:rsidRPr="00186DBB">
        <w:rPr>
          <w:sz w:val="24"/>
          <w:szCs w:val="24"/>
        </w:rPr>
        <w:t xml:space="preserve">attach Appendix K with </w:t>
      </w:r>
      <w:r w:rsidR="008A72D4">
        <w:rPr>
          <w:sz w:val="24"/>
          <w:szCs w:val="24"/>
        </w:rPr>
        <w:t xml:space="preserve">a </w:t>
      </w:r>
      <w:r w:rsidRPr="00186DBB">
        <w:rPr>
          <w:sz w:val="24"/>
          <w:szCs w:val="24"/>
        </w:rPr>
        <w:t xml:space="preserve">financial instrument that demonstrates </w:t>
      </w:r>
      <w:r w:rsidR="004D63BA" w:rsidRPr="00186DBB">
        <w:rPr>
          <w:sz w:val="24"/>
          <w:szCs w:val="24"/>
        </w:rPr>
        <w:t xml:space="preserve">that </w:t>
      </w:r>
      <w:r w:rsidRPr="00186DBB">
        <w:rPr>
          <w:sz w:val="24"/>
          <w:szCs w:val="24"/>
        </w:rPr>
        <w:t xml:space="preserve">the Applicant meets </w:t>
      </w:r>
      <w:r w:rsidR="008A72D4">
        <w:rPr>
          <w:sz w:val="24"/>
          <w:szCs w:val="24"/>
        </w:rPr>
        <w:t xml:space="preserve">the </w:t>
      </w:r>
      <w:r w:rsidRPr="00186DBB">
        <w:rPr>
          <w:sz w:val="24"/>
          <w:szCs w:val="24"/>
        </w:rPr>
        <w:t>financial requirements as set forth in Appendix F of D.24-11-003. Refer to the</w:t>
      </w:r>
      <w:r w:rsidRPr="00186DBB">
        <w:rPr>
          <w:b/>
          <w:bCs/>
          <w:sz w:val="24"/>
          <w:szCs w:val="24"/>
        </w:rPr>
        <w:t xml:space="preserve"> Special Instructions for </w:t>
      </w:r>
      <w:r w:rsidR="003A15F4" w:rsidRPr="00186DBB">
        <w:rPr>
          <w:b/>
          <w:bCs/>
          <w:sz w:val="24"/>
          <w:szCs w:val="24"/>
        </w:rPr>
        <w:t>Filing Presumptively Confidential Information pursuant to D.24-11-003 for CPCN applications</w:t>
      </w:r>
      <w:r w:rsidRPr="00186DBB">
        <w:rPr>
          <w:b/>
          <w:bCs/>
          <w:sz w:val="24"/>
          <w:szCs w:val="24"/>
        </w:rPr>
        <w:t>.</w:t>
      </w:r>
      <w:r w:rsidR="00C7537E" w:rsidRPr="00186DBB">
        <w:rPr>
          <w:rStyle w:val="FootnoteReference"/>
          <w:b/>
          <w:bCs/>
          <w:sz w:val="24"/>
          <w:szCs w:val="24"/>
        </w:rPr>
        <w:footnoteReference w:id="6"/>
      </w:r>
    </w:p>
    <w:bookmarkEnd w:id="6"/>
    <w:p w14:paraId="478C98F2" w14:textId="40F11EE1" w:rsidR="005833B3" w:rsidRPr="00186DBB" w:rsidRDefault="005833B3" w:rsidP="00186DBB">
      <w:pPr>
        <w:pStyle w:val="ListParagraph"/>
        <w:numPr>
          <w:ilvl w:val="1"/>
          <w:numId w:val="2"/>
        </w:numPr>
        <w:tabs>
          <w:tab w:val="left" w:pos="360"/>
        </w:tabs>
        <w:spacing w:before="161"/>
        <w:ind w:left="720"/>
        <w:contextualSpacing w:val="0"/>
        <w:jc w:val="both"/>
        <w:rPr>
          <w:sz w:val="24"/>
          <w:szCs w:val="24"/>
        </w:rPr>
      </w:pPr>
      <w:r w:rsidRPr="00186DBB">
        <w:rPr>
          <w:sz w:val="24"/>
          <w:szCs w:val="24"/>
        </w:rPr>
        <w:t xml:space="preserve">In Section 14 of the form, </w:t>
      </w:r>
      <w:bookmarkStart w:id="7" w:name="_Hlk201331260"/>
      <w:r w:rsidRPr="00186DBB">
        <w:rPr>
          <w:sz w:val="24"/>
          <w:szCs w:val="24"/>
        </w:rPr>
        <w:t xml:space="preserve">the Applicant must </w:t>
      </w:r>
      <w:r w:rsidR="004D63BA" w:rsidRPr="00186DBB">
        <w:rPr>
          <w:sz w:val="24"/>
          <w:szCs w:val="24"/>
        </w:rPr>
        <w:t>select</w:t>
      </w:r>
      <w:r w:rsidRPr="00186DBB">
        <w:rPr>
          <w:sz w:val="24"/>
          <w:szCs w:val="24"/>
        </w:rPr>
        <w:t xml:space="preserve"> one of the options provided</w:t>
      </w:r>
      <w:r w:rsidR="004D63BA" w:rsidRPr="00186DBB">
        <w:rPr>
          <w:sz w:val="24"/>
          <w:szCs w:val="24"/>
        </w:rPr>
        <w:t xml:space="preserve"> if </w:t>
      </w:r>
      <w:r w:rsidR="00571ADD" w:rsidRPr="00186DBB">
        <w:rPr>
          <w:sz w:val="24"/>
          <w:szCs w:val="24"/>
        </w:rPr>
        <w:t>the A</w:t>
      </w:r>
      <w:r w:rsidR="004D63BA" w:rsidRPr="00186DBB">
        <w:rPr>
          <w:sz w:val="24"/>
          <w:szCs w:val="24"/>
        </w:rPr>
        <w:t xml:space="preserve">pplicant is eligible and seeks exemption from </w:t>
      </w:r>
      <w:r w:rsidR="00C343C6" w:rsidRPr="00186DBB">
        <w:rPr>
          <w:sz w:val="24"/>
          <w:szCs w:val="24"/>
        </w:rPr>
        <w:t xml:space="preserve">the </w:t>
      </w:r>
      <w:r w:rsidR="004D63BA" w:rsidRPr="00186DBB">
        <w:rPr>
          <w:sz w:val="24"/>
          <w:szCs w:val="24"/>
        </w:rPr>
        <w:t>Tariffing requirements</w:t>
      </w:r>
      <w:r w:rsidRPr="00186DBB">
        <w:rPr>
          <w:sz w:val="24"/>
          <w:szCs w:val="24"/>
        </w:rPr>
        <w:t xml:space="preserve">. If Applicant </w:t>
      </w:r>
      <w:r w:rsidR="004D63BA" w:rsidRPr="00186DBB">
        <w:rPr>
          <w:sz w:val="24"/>
          <w:szCs w:val="24"/>
        </w:rPr>
        <w:t>selected “True”</w:t>
      </w:r>
      <w:r w:rsidRPr="00186DBB">
        <w:rPr>
          <w:sz w:val="24"/>
          <w:szCs w:val="24"/>
        </w:rPr>
        <w:t xml:space="preserve">, it must comply with the Consumer Protection Rules adopted in D.98-08-031. If Applicant </w:t>
      </w:r>
      <w:r w:rsidR="004D63BA" w:rsidRPr="00186DBB">
        <w:rPr>
          <w:sz w:val="24"/>
          <w:szCs w:val="24"/>
        </w:rPr>
        <w:t xml:space="preserve">selected “Not True”, </w:t>
      </w:r>
      <w:r w:rsidRPr="00186DBB">
        <w:rPr>
          <w:sz w:val="24"/>
          <w:szCs w:val="24"/>
        </w:rPr>
        <w:t xml:space="preserve">it must attach Appendix L </w:t>
      </w:r>
      <w:r w:rsidR="004D63BA" w:rsidRPr="00186DBB">
        <w:rPr>
          <w:sz w:val="24"/>
          <w:szCs w:val="24"/>
        </w:rPr>
        <w:t xml:space="preserve">with a copy if its </w:t>
      </w:r>
      <w:r w:rsidRPr="00186DBB">
        <w:rPr>
          <w:sz w:val="24"/>
          <w:szCs w:val="24"/>
        </w:rPr>
        <w:t>draft Tariff. Refer to General Order 96-B for Tariff Format and/or refer to the Commission website at:</w:t>
      </w:r>
      <w:r w:rsidR="00C07335" w:rsidRPr="00186DBB">
        <w:rPr>
          <w:sz w:val="24"/>
          <w:szCs w:val="24"/>
        </w:rPr>
        <w:t xml:space="preserve"> </w:t>
      </w:r>
      <w:hyperlink r:id="rId9" w:history="1">
        <w:r w:rsidRPr="00186DBB">
          <w:rPr>
            <w:rStyle w:val="Hyperlink"/>
            <w:sz w:val="24"/>
            <w:szCs w:val="24"/>
          </w:rPr>
          <w:t>https://www.cpuc.ca.gov/industries-and-topics/internet-and-phone/carrier-reporting-requirements/tariff-filing-requirements</w:t>
        </w:r>
      </w:hyperlink>
      <w:r w:rsidRPr="00186DBB">
        <w:rPr>
          <w:sz w:val="24"/>
          <w:szCs w:val="24"/>
        </w:rPr>
        <w:t>.</w:t>
      </w:r>
    </w:p>
    <w:bookmarkEnd w:id="7"/>
    <w:p w14:paraId="4F9DB3FD" w14:textId="10C91126" w:rsidR="00B90261" w:rsidRPr="00186DBB" w:rsidRDefault="005833B3" w:rsidP="00186DBB">
      <w:pPr>
        <w:pStyle w:val="ListParagraph"/>
        <w:numPr>
          <w:ilvl w:val="1"/>
          <w:numId w:val="2"/>
        </w:numPr>
        <w:tabs>
          <w:tab w:val="left" w:pos="360"/>
        </w:tabs>
        <w:spacing w:before="161"/>
        <w:ind w:left="720"/>
        <w:contextualSpacing w:val="0"/>
        <w:jc w:val="both"/>
        <w:rPr>
          <w:sz w:val="24"/>
          <w:szCs w:val="24"/>
        </w:rPr>
      </w:pPr>
      <w:r w:rsidRPr="00186DBB">
        <w:rPr>
          <w:sz w:val="24"/>
          <w:szCs w:val="24"/>
        </w:rPr>
        <w:t xml:space="preserve">In Section 15 of the form, </w:t>
      </w:r>
      <w:bookmarkStart w:id="8" w:name="_Hlk201336572"/>
      <w:r w:rsidR="000E6782" w:rsidRPr="00186DBB">
        <w:rPr>
          <w:sz w:val="24"/>
          <w:szCs w:val="24"/>
        </w:rPr>
        <w:t xml:space="preserve">the </w:t>
      </w:r>
      <w:r w:rsidRPr="00186DBB">
        <w:rPr>
          <w:sz w:val="24"/>
          <w:szCs w:val="24"/>
        </w:rPr>
        <w:t>Applicant must</w:t>
      </w:r>
      <w:r w:rsidR="004D63BA" w:rsidRPr="00186DBB">
        <w:rPr>
          <w:sz w:val="24"/>
          <w:szCs w:val="24"/>
        </w:rPr>
        <w:t xml:space="preserve"> select one of the options. </w:t>
      </w:r>
      <w:bookmarkStart w:id="9" w:name="_bookmark2"/>
      <w:bookmarkEnd w:id="9"/>
      <w:r w:rsidR="00B90261" w:rsidRPr="00186DBB">
        <w:rPr>
          <w:sz w:val="24"/>
          <w:szCs w:val="24"/>
        </w:rPr>
        <w:t>The Applicant must list other licenses in the space provided, whether current (active) and/or prior (not active), which the Applicant obtained from the Commission. The list must include all previously held operating authority(</w:t>
      </w:r>
      <w:proofErr w:type="spellStart"/>
      <w:r w:rsidR="00B90261" w:rsidRPr="00186DBB">
        <w:rPr>
          <w:sz w:val="24"/>
          <w:szCs w:val="24"/>
        </w:rPr>
        <w:t>ies</w:t>
      </w:r>
      <w:proofErr w:type="spellEnd"/>
      <w:r w:rsidR="00B90261" w:rsidRPr="00186DBB">
        <w:rPr>
          <w:sz w:val="24"/>
          <w:szCs w:val="24"/>
        </w:rPr>
        <w:t xml:space="preserve">) or approval(s) issued by </w:t>
      </w:r>
      <w:r w:rsidR="002866A7">
        <w:rPr>
          <w:sz w:val="24"/>
          <w:szCs w:val="24"/>
        </w:rPr>
        <w:t xml:space="preserve">the </w:t>
      </w:r>
      <w:r w:rsidR="00B90261" w:rsidRPr="00186DBB">
        <w:rPr>
          <w:sz w:val="24"/>
          <w:szCs w:val="24"/>
        </w:rPr>
        <w:t xml:space="preserve">CPUC that </w:t>
      </w:r>
      <w:r w:rsidR="002866A7">
        <w:rPr>
          <w:sz w:val="24"/>
          <w:szCs w:val="24"/>
        </w:rPr>
        <w:t xml:space="preserve">were </w:t>
      </w:r>
      <w:r w:rsidR="00B90261" w:rsidRPr="00186DBB">
        <w:rPr>
          <w:sz w:val="24"/>
          <w:szCs w:val="24"/>
        </w:rPr>
        <w:t>revoked due to a violation of Commission Rules and Requirements</w:t>
      </w:r>
      <w:r w:rsidR="00B779A4" w:rsidRPr="00186DBB">
        <w:rPr>
          <w:sz w:val="24"/>
          <w:szCs w:val="24"/>
        </w:rPr>
        <w:t>.</w:t>
      </w:r>
      <w:r w:rsidR="00B90261" w:rsidRPr="00186DBB">
        <w:rPr>
          <w:sz w:val="24"/>
          <w:szCs w:val="24"/>
        </w:rPr>
        <w:t xml:space="preserve"> </w:t>
      </w:r>
      <w:bookmarkEnd w:id="8"/>
    </w:p>
    <w:p w14:paraId="28EA7347" w14:textId="473D85F9" w:rsidR="005833B3" w:rsidRPr="00186DBB" w:rsidRDefault="005833B3" w:rsidP="00186DBB">
      <w:pPr>
        <w:pStyle w:val="ListParagraph"/>
        <w:numPr>
          <w:ilvl w:val="1"/>
          <w:numId w:val="2"/>
        </w:numPr>
        <w:tabs>
          <w:tab w:val="left" w:pos="360"/>
        </w:tabs>
        <w:spacing w:before="161"/>
        <w:ind w:left="720"/>
        <w:contextualSpacing w:val="0"/>
        <w:jc w:val="both"/>
        <w:rPr>
          <w:sz w:val="24"/>
          <w:szCs w:val="24"/>
        </w:rPr>
      </w:pPr>
      <w:r w:rsidRPr="00186DBB">
        <w:rPr>
          <w:sz w:val="24"/>
          <w:szCs w:val="24"/>
        </w:rPr>
        <w:t>In Section 16</w:t>
      </w:r>
      <w:r w:rsidR="00B779A4" w:rsidRPr="00186DBB">
        <w:rPr>
          <w:sz w:val="24"/>
          <w:szCs w:val="24"/>
        </w:rPr>
        <w:t xml:space="preserve"> of the form</w:t>
      </w:r>
      <w:r w:rsidRPr="00186DBB">
        <w:rPr>
          <w:sz w:val="24"/>
          <w:szCs w:val="24"/>
        </w:rPr>
        <w:t xml:space="preserve">, </w:t>
      </w:r>
      <w:bookmarkStart w:id="10" w:name="_Hlk201333539"/>
      <w:bookmarkStart w:id="11" w:name="_Hlk201336750"/>
      <w:r w:rsidRPr="00186DBB">
        <w:rPr>
          <w:sz w:val="24"/>
          <w:szCs w:val="24"/>
        </w:rPr>
        <w:t xml:space="preserve">the Applicant must </w:t>
      </w:r>
      <w:r w:rsidR="00143F11" w:rsidRPr="00186DBB">
        <w:rPr>
          <w:sz w:val="24"/>
          <w:szCs w:val="24"/>
        </w:rPr>
        <w:t xml:space="preserve">mark “True” to </w:t>
      </w:r>
      <w:r w:rsidRPr="00186DBB">
        <w:rPr>
          <w:sz w:val="24"/>
          <w:szCs w:val="24"/>
        </w:rPr>
        <w:t>attest that, upon approval of its request, it will comply with the California Public Utilities Commission’s performance bond requirements in accordance with D.10-09-017, D.11-09-026, D.13-05-035, and D.24-11-003.</w:t>
      </w:r>
      <w:bookmarkEnd w:id="10"/>
      <w:r w:rsidR="00143F11" w:rsidRPr="00186DBB">
        <w:rPr>
          <w:sz w:val="24"/>
          <w:szCs w:val="24"/>
        </w:rPr>
        <w:t xml:space="preserve"> </w:t>
      </w:r>
    </w:p>
    <w:p w14:paraId="0C4E41BF" w14:textId="59B1E383" w:rsidR="00143F11" w:rsidRPr="00186DBB" w:rsidRDefault="00143F11" w:rsidP="00186DBB">
      <w:pPr>
        <w:pStyle w:val="ListParagraph"/>
        <w:numPr>
          <w:ilvl w:val="1"/>
          <w:numId w:val="2"/>
        </w:numPr>
        <w:tabs>
          <w:tab w:val="left" w:pos="360"/>
        </w:tabs>
        <w:spacing w:before="161" w:after="240"/>
        <w:ind w:left="720"/>
        <w:contextualSpacing w:val="0"/>
        <w:jc w:val="both"/>
        <w:rPr>
          <w:sz w:val="24"/>
          <w:szCs w:val="24"/>
        </w:rPr>
      </w:pPr>
      <w:bookmarkStart w:id="12" w:name="_Hlk201333553"/>
      <w:bookmarkEnd w:id="11"/>
      <w:r w:rsidRPr="00186DBB">
        <w:rPr>
          <w:sz w:val="24"/>
          <w:szCs w:val="24"/>
        </w:rPr>
        <w:t xml:space="preserve">The Authorized filer of the CPCN Application </w:t>
      </w:r>
      <w:r w:rsidR="00D94D82">
        <w:rPr>
          <w:sz w:val="24"/>
          <w:szCs w:val="24"/>
        </w:rPr>
        <w:t xml:space="preserve">must </w:t>
      </w:r>
      <w:r w:rsidRPr="00186DBB">
        <w:rPr>
          <w:sz w:val="24"/>
          <w:szCs w:val="24"/>
        </w:rPr>
        <w:t xml:space="preserve">complete all the information </w:t>
      </w:r>
      <w:r w:rsidR="00D94D82">
        <w:rPr>
          <w:sz w:val="24"/>
          <w:szCs w:val="24"/>
        </w:rPr>
        <w:t xml:space="preserve">on </w:t>
      </w:r>
      <w:r w:rsidRPr="00186DBB">
        <w:rPr>
          <w:sz w:val="24"/>
          <w:szCs w:val="24"/>
        </w:rPr>
        <w:t xml:space="preserve">the last page of the CPCN application form. </w:t>
      </w:r>
    </w:p>
    <w:bookmarkEnd w:id="12"/>
    <w:p w14:paraId="45552EC1" w14:textId="62A2C21B" w:rsidR="005833B3" w:rsidRPr="00186DBB" w:rsidRDefault="005833B3" w:rsidP="00186DBB">
      <w:pPr>
        <w:pStyle w:val="ListParagraph"/>
        <w:numPr>
          <w:ilvl w:val="1"/>
          <w:numId w:val="2"/>
        </w:numPr>
        <w:tabs>
          <w:tab w:val="left" w:pos="360"/>
        </w:tabs>
        <w:spacing w:before="161" w:after="240"/>
        <w:ind w:left="720"/>
        <w:contextualSpacing w:val="0"/>
        <w:jc w:val="both"/>
        <w:rPr>
          <w:sz w:val="24"/>
          <w:szCs w:val="24"/>
        </w:rPr>
      </w:pPr>
      <w:r w:rsidRPr="00186DBB">
        <w:rPr>
          <w:sz w:val="24"/>
          <w:szCs w:val="24"/>
        </w:rPr>
        <w:t>Appendices that do not apply to Applicant must be included and identified as “Not Applicable.” Applicant may include an additional Appendix to provide additional supporting information.</w:t>
      </w:r>
    </w:p>
    <w:p w14:paraId="6FEF7249" w14:textId="77777777" w:rsidR="005833B3" w:rsidRPr="00186DBB" w:rsidRDefault="005833B3" w:rsidP="00186DBB">
      <w:pPr>
        <w:pStyle w:val="ListParagraph"/>
        <w:numPr>
          <w:ilvl w:val="0"/>
          <w:numId w:val="3"/>
        </w:numPr>
        <w:tabs>
          <w:tab w:val="left" w:pos="360"/>
        </w:tabs>
        <w:ind w:left="360"/>
        <w:contextualSpacing w:val="0"/>
        <w:jc w:val="both"/>
        <w:rPr>
          <w:sz w:val="24"/>
          <w:szCs w:val="24"/>
        </w:rPr>
      </w:pPr>
      <w:bookmarkStart w:id="13" w:name="_Hlk201336779"/>
      <w:r w:rsidRPr="00186DBB">
        <w:rPr>
          <w:sz w:val="24"/>
          <w:szCs w:val="24"/>
        </w:rPr>
        <w:lastRenderedPageBreak/>
        <w:t xml:space="preserve">Complete Attachment A of the form: </w:t>
      </w:r>
      <w:proofErr w:type="gramStart"/>
      <w:r w:rsidRPr="00186DBB">
        <w:rPr>
          <w:sz w:val="24"/>
          <w:szCs w:val="24"/>
        </w:rPr>
        <w:t>Sworn Affidavit</w:t>
      </w:r>
      <w:proofErr w:type="gramEnd"/>
      <w:r w:rsidRPr="00186DBB">
        <w:rPr>
          <w:sz w:val="24"/>
          <w:szCs w:val="24"/>
        </w:rPr>
        <w:t xml:space="preserve"> and save as a PDF/A compliant document. The document must be signed by an officer of the Applicant.</w:t>
      </w:r>
    </w:p>
    <w:p w14:paraId="3B9CC87F" w14:textId="20A83427" w:rsidR="009F41FA" w:rsidRPr="00186DBB" w:rsidRDefault="00EB0447" w:rsidP="00186DBB">
      <w:pPr>
        <w:pStyle w:val="ListParagraph"/>
        <w:numPr>
          <w:ilvl w:val="0"/>
          <w:numId w:val="3"/>
        </w:numPr>
        <w:tabs>
          <w:tab w:val="left" w:pos="360"/>
        </w:tabs>
        <w:spacing w:before="240" w:after="240"/>
        <w:ind w:left="360"/>
        <w:contextualSpacing w:val="0"/>
        <w:jc w:val="both"/>
        <w:rPr>
          <w:sz w:val="24"/>
          <w:szCs w:val="24"/>
        </w:rPr>
      </w:pPr>
      <w:bookmarkStart w:id="14" w:name="_Hlk201333579"/>
      <w:bookmarkEnd w:id="13"/>
      <w:r w:rsidRPr="00186DBB">
        <w:rPr>
          <w:sz w:val="24"/>
          <w:szCs w:val="24"/>
        </w:rPr>
        <w:t xml:space="preserve">Combine </w:t>
      </w:r>
      <w:r w:rsidR="009F41FA" w:rsidRPr="00186DBB">
        <w:rPr>
          <w:sz w:val="24"/>
          <w:szCs w:val="24"/>
        </w:rPr>
        <w:t xml:space="preserve">all required documents </w:t>
      </w:r>
      <w:r w:rsidRPr="00186DBB">
        <w:rPr>
          <w:sz w:val="24"/>
          <w:szCs w:val="24"/>
        </w:rPr>
        <w:t xml:space="preserve">into one PDF/A compliant document </w:t>
      </w:r>
      <w:r w:rsidR="009F41FA" w:rsidRPr="00186DBB">
        <w:rPr>
          <w:sz w:val="24"/>
          <w:szCs w:val="24"/>
        </w:rPr>
        <w:t>which includes</w:t>
      </w:r>
      <w:r w:rsidRPr="00186DBB">
        <w:rPr>
          <w:sz w:val="24"/>
          <w:szCs w:val="24"/>
        </w:rPr>
        <w:t>: (1) Cover Page, (2) CPCN Application Form with all the required Appendices, and (3) Attachment A</w:t>
      </w:r>
      <w:r w:rsidR="009F41FA" w:rsidRPr="00186DBB">
        <w:rPr>
          <w:sz w:val="24"/>
          <w:szCs w:val="24"/>
        </w:rPr>
        <w:t xml:space="preserve"> </w:t>
      </w:r>
      <w:r w:rsidRPr="00186DBB">
        <w:rPr>
          <w:sz w:val="24"/>
          <w:szCs w:val="24"/>
        </w:rPr>
        <w:t>-</w:t>
      </w:r>
      <w:r w:rsidR="009F41FA" w:rsidRPr="00186DBB">
        <w:rPr>
          <w:sz w:val="24"/>
          <w:szCs w:val="24"/>
        </w:rPr>
        <w:t xml:space="preserve"> </w:t>
      </w:r>
      <w:r w:rsidRPr="00186DBB">
        <w:rPr>
          <w:sz w:val="24"/>
          <w:szCs w:val="24"/>
        </w:rPr>
        <w:t xml:space="preserve">Sworn Verification. Submit one PDF/A compliant document via </w:t>
      </w:r>
      <w:r w:rsidR="00B9428C">
        <w:rPr>
          <w:sz w:val="24"/>
          <w:szCs w:val="24"/>
        </w:rPr>
        <w:t xml:space="preserve">the </w:t>
      </w:r>
      <w:hyperlink r:id="rId10">
        <w:r w:rsidRPr="00186DBB">
          <w:rPr>
            <w:color w:val="467885"/>
            <w:sz w:val="24"/>
            <w:szCs w:val="24"/>
            <w:u w:val="single" w:color="467885"/>
          </w:rPr>
          <w:t>CPUC Electronic Filing System.</w:t>
        </w:r>
      </w:hyperlink>
      <w:r w:rsidRPr="00186DBB">
        <w:rPr>
          <w:color w:val="467885"/>
          <w:sz w:val="24"/>
          <w:szCs w:val="24"/>
        </w:rPr>
        <w:t xml:space="preserve"> </w:t>
      </w:r>
      <w:r w:rsidRPr="00186DBB">
        <w:rPr>
          <w:sz w:val="24"/>
          <w:szCs w:val="24"/>
        </w:rPr>
        <w:t>All documents must be saved as a PDF/A compliant document.</w:t>
      </w:r>
      <w:r w:rsidR="009F41FA" w:rsidRPr="00186DBB">
        <w:rPr>
          <w:sz w:val="24"/>
          <w:szCs w:val="24"/>
        </w:rPr>
        <w:t xml:space="preserve"> Refer to </w:t>
      </w:r>
      <w:hyperlink r:id="rId11" w:history="1">
        <w:r w:rsidR="009F41FA" w:rsidRPr="00186DBB">
          <w:rPr>
            <w:rStyle w:val="Hyperlink"/>
            <w:sz w:val="24"/>
            <w:szCs w:val="24"/>
          </w:rPr>
          <w:t>Special Instruction to create a PDF/A compliant package</w:t>
        </w:r>
      </w:hyperlink>
      <w:r w:rsidR="009F41FA" w:rsidRPr="00186DBB">
        <w:rPr>
          <w:sz w:val="24"/>
          <w:szCs w:val="24"/>
        </w:rPr>
        <w:t xml:space="preserve">. </w:t>
      </w:r>
    </w:p>
    <w:p w14:paraId="54352CAE" w14:textId="77777777" w:rsidR="009F41FA" w:rsidRPr="00186DBB" w:rsidRDefault="00EB0447" w:rsidP="00186DBB">
      <w:pPr>
        <w:pStyle w:val="ListParagraph"/>
        <w:numPr>
          <w:ilvl w:val="0"/>
          <w:numId w:val="3"/>
        </w:numPr>
        <w:tabs>
          <w:tab w:val="left" w:pos="360"/>
        </w:tabs>
        <w:spacing w:before="240" w:after="240"/>
        <w:ind w:left="360"/>
        <w:contextualSpacing w:val="0"/>
        <w:jc w:val="both"/>
        <w:rPr>
          <w:sz w:val="24"/>
          <w:szCs w:val="24"/>
        </w:rPr>
      </w:pPr>
      <w:bookmarkStart w:id="15" w:name="_Hlk201333593"/>
      <w:bookmarkStart w:id="16" w:name="_Hlk201336915"/>
      <w:bookmarkEnd w:id="14"/>
      <w:r w:rsidRPr="00186DBB">
        <w:rPr>
          <w:sz w:val="24"/>
          <w:szCs w:val="24"/>
        </w:rPr>
        <w:t xml:space="preserve">Refer to the </w:t>
      </w:r>
      <w:hyperlink r:id="rId12">
        <w:r w:rsidRPr="00186DBB">
          <w:rPr>
            <w:color w:val="467885"/>
            <w:sz w:val="24"/>
            <w:szCs w:val="24"/>
            <w:u w:val="single" w:color="467885"/>
          </w:rPr>
          <w:t>Practitioner’s Page</w:t>
        </w:r>
      </w:hyperlink>
      <w:r w:rsidRPr="00186DBB">
        <w:rPr>
          <w:color w:val="467885"/>
          <w:sz w:val="24"/>
          <w:szCs w:val="24"/>
        </w:rPr>
        <w:t xml:space="preserve"> </w:t>
      </w:r>
      <w:r w:rsidRPr="00186DBB">
        <w:rPr>
          <w:sz w:val="24"/>
          <w:szCs w:val="24"/>
        </w:rPr>
        <w:t>for additional filing instructions and guidelines</w:t>
      </w:r>
      <w:r w:rsidR="00C7537E" w:rsidRPr="00186DBB">
        <w:rPr>
          <w:sz w:val="24"/>
          <w:szCs w:val="24"/>
        </w:rPr>
        <w:t xml:space="preserve"> including how to create a Public Version and Confidential Version of the completed Application Form.</w:t>
      </w:r>
    </w:p>
    <w:bookmarkEnd w:id="15"/>
    <w:p w14:paraId="4807CC50" w14:textId="35BFF71A" w:rsidR="009F41FA" w:rsidRPr="00186DBB" w:rsidRDefault="005833B3" w:rsidP="00186DBB">
      <w:pPr>
        <w:pStyle w:val="ListParagraph"/>
        <w:numPr>
          <w:ilvl w:val="0"/>
          <w:numId w:val="3"/>
        </w:numPr>
        <w:tabs>
          <w:tab w:val="left" w:pos="360"/>
        </w:tabs>
        <w:spacing w:before="240" w:after="240"/>
        <w:ind w:left="360"/>
        <w:contextualSpacing w:val="0"/>
        <w:jc w:val="both"/>
        <w:rPr>
          <w:sz w:val="24"/>
          <w:szCs w:val="24"/>
        </w:rPr>
      </w:pPr>
      <w:r w:rsidRPr="00186DBB">
        <w:rPr>
          <w:sz w:val="24"/>
          <w:szCs w:val="24"/>
        </w:rPr>
        <w:t>Pay</w:t>
      </w:r>
      <w:r w:rsidR="00E5787C" w:rsidRPr="00186DBB">
        <w:rPr>
          <w:sz w:val="24"/>
          <w:szCs w:val="24"/>
        </w:rPr>
        <w:t xml:space="preserve"> and submit</w:t>
      </w:r>
      <w:r w:rsidRPr="00186DBB">
        <w:rPr>
          <w:sz w:val="24"/>
          <w:szCs w:val="24"/>
        </w:rPr>
        <w:t xml:space="preserve"> the CPCN Application Filing Fee</w:t>
      </w:r>
      <w:r w:rsidR="00E5787C" w:rsidRPr="00186DBB">
        <w:rPr>
          <w:sz w:val="24"/>
          <w:szCs w:val="24"/>
        </w:rPr>
        <w:t xml:space="preserve"> to </w:t>
      </w:r>
      <w:r w:rsidR="00B9428C">
        <w:rPr>
          <w:sz w:val="24"/>
          <w:szCs w:val="24"/>
        </w:rPr>
        <w:t xml:space="preserve">the </w:t>
      </w:r>
      <w:r w:rsidR="00E5787C" w:rsidRPr="00186DBB">
        <w:rPr>
          <w:sz w:val="24"/>
          <w:szCs w:val="24"/>
        </w:rPr>
        <w:t>CPUC</w:t>
      </w:r>
      <w:r w:rsidR="009F41FA" w:rsidRPr="00186DBB">
        <w:rPr>
          <w:sz w:val="24"/>
          <w:szCs w:val="24"/>
        </w:rPr>
        <w:t xml:space="preserve">. </w:t>
      </w:r>
      <w:bookmarkStart w:id="17" w:name="_Hlk201333632"/>
      <w:r w:rsidRPr="00186DBB">
        <w:rPr>
          <w:sz w:val="24"/>
          <w:szCs w:val="24"/>
        </w:rPr>
        <w:t>Refer to the filing fee schedule</w:t>
      </w:r>
      <w:r w:rsidR="00186DBB">
        <w:rPr>
          <w:sz w:val="24"/>
          <w:szCs w:val="24"/>
        </w:rPr>
        <w:t xml:space="preserve"> </w:t>
      </w:r>
      <w:r w:rsidRPr="00186DBB">
        <w:rPr>
          <w:sz w:val="24"/>
          <w:szCs w:val="24"/>
        </w:rPr>
        <w:t xml:space="preserve">posted at </w:t>
      </w:r>
      <w:hyperlink r:id="rId13">
        <w:r w:rsidRPr="00186DBB">
          <w:rPr>
            <w:color w:val="467885"/>
            <w:sz w:val="24"/>
            <w:szCs w:val="24"/>
            <w:u w:val="single" w:color="467885"/>
          </w:rPr>
          <w:t>https://www.cpuc.ca.gov/-/media/cpuc-</w:t>
        </w:r>
      </w:hyperlink>
      <w:hyperlink r:id="rId14">
        <w:r w:rsidRPr="00186DBB">
          <w:rPr>
            <w:color w:val="467885"/>
            <w:sz w:val="24"/>
            <w:szCs w:val="24"/>
            <w:u w:val="single" w:color="467885"/>
          </w:rPr>
          <w:t>website/divisions/administrative-law-judge-division/documents/2024-filing-</w:t>
        </w:r>
      </w:hyperlink>
      <w:hyperlink r:id="rId15">
        <w:r w:rsidRPr="00186DBB">
          <w:rPr>
            <w:color w:val="467885"/>
            <w:sz w:val="24"/>
            <w:szCs w:val="24"/>
            <w:u w:val="single" w:color="467885"/>
          </w:rPr>
          <w:t>fees.pdf</w:t>
        </w:r>
      </w:hyperlink>
      <w:r w:rsidR="009F41FA" w:rsidRPr="00186DBB">
        <w:rPr>
          <w:sz w:val="24"/>
          <w:szCs w:val="24"/>
        </w:rPr>
        <w:t xml:space="preserve">. </w:t>
      </w:r>
      <w:r w:rsidRPr="00186DBB">
        <w:rPr>
          <w:sz w:val="24"/>
          <w:szCs w:val="24"/>
        </w:rPr>
        <w:t>Application Fees do not include fees related to CEQA Review.</w:t>
      </w:r>
      <w:r w:rsidR="009F41FA" w:rsidRPr="00186DBB">
        <w:rPr>
          <w:sz w:val="24"/>
          <w:szCs w:val="24"/>
        </w:rPr>
        <w:t xml:space="preserve"> Failure to include the filing fee may result in a delay or rejection of the filing.</w:t>
      </w:r>
      <w:bookmarkEnd w:id="17"/>
    </w:p>
    <w:p w14:paraId="4D719031" w14:textId="52BAF5EA" w:rsidR="005833B3" w:rsidRPr="00186DBB" w:rsidRDefault="005833B3" w:rsidP="00186DBB">
      <w:pPr>
        <w:pStyle w:val="ListParagraph"/>
        <w:numPr>
          <w:ilvl w:val="0"/>
          <w:numId w:val="1"/>
        </w:numPr>
        <w:tabs>
          <w:tab w:val="left" w:pos="1079"/>
          <w:tab w:val="left" w:pos="3959"/>
        </w:tabs>
        <w:spacing w:line="323" w:lineRule="exact"/>
        <w:ind w:left="1079" w:hanging="359"/>
        <w:contextualSpacing w:val="0"/>
        <w:jc w:val="both"/>
        <w:rPr>
          <w:sz w:val="24"/>
          <w:szCs w:val="24"/>
        </w:rPr>
      </w:pPr>
      <w:bookmarkStart w:id="18" w:name="_Hlk201337098"/>
      <w:r w:rsidRPr="00186DBB">
        <w:rPr>
          <w:sz w:val="24"/>
          <w:szCs w:val="24"/>
        </w:rPr>
        <w:t>Payee</w:t>
      </w:r>
      <w:proofErr w:type="gramStart"/>
      <w:r w:rsidRPr="00186DBB">
        <w:rPr>
          <w:sz w:val="24"/>
          <w:szCs w:val="24"/>
        </w:rPr>
        <w:t>:</w:t>
      </w:r>
      <w:r w:rsidR="00245375" w:rsidRPr="00186DBB">
        <w:rPr>
          <w:sz w:val="24"/>
          <w:szCs w:val="24"/>
        </w:rPr>
        <w:t xml:space="preserve"> </w:t>
      </w:r>
      <w:r w:rsidR="00245375" w:rsidRPr="00186DBB">
        <w:rPr>
          <w:sz w:val="24"/>
          <w:szCs w:val="24"/>
        </w:rPr>
        <w:tab/>
      </w:r>
      <w:r w:rsidRPr="00186DBB">
        <w:rPr>
          <w:sz w:val="24"/>
          <w:szCs w:val="24"/>
        </w:rPr>
        <w:t>California</w:t>
      </w:r>
      <w:proofErr w:type="gramEnd"/>
      <w:r w:rsidRPr="00186DBB">
        <w:rPr>
          <w:sz w:val="24"/>
          <w:szCs w:val="24"/>
        </w:rPr>
        <w:t xml:space="preserve"> Public Utilities Commission</w:t>
      </w:r>
    </w:p>
    <w:p w14:paraId="18B57F2B" w14:textId="4B929DC2" w:rsidR="005833B3" w:rsidRPr="00186DBB" w:rsidRDefault="005833B3" w:rsidP="00186DBB">
      <w:pPr>
        <w:pStyle w:val="ListParagraph"/>
        <w:numPr>
          <w:ilvl w:val="0"/>
          <w:numId w:val="1"/>
        </w:numPr>
        <w:tabs>
          <w:tab w:val="left" w:pos="1079"/>
          <w:tab w:val="left" w:pos="3959"/>
        </w:tabs>
        <w:spacing w:line="323" w:lineRule="exact"/>
        <w:ind w:left="1079" w:hanging="359"/>
        <w:contextualSpacing w:val="0"/>
        <w:jc w:val="both"/>
        <w:rPr>
          <w:sz w:val="24"/>
          <w:szCs w:val="24"/>
        </w:rPr>
      </w:pPr>
      <w:r w:rsidRPr="00186DBB">
        <w:rPr>
          <w:sz w:val="24"/>
          <w:szCs w:val="24"/>
        </w:rPr>
        <w:t>Memo line</w:t>
      </w:r>
      <w:proofErr w:type="gramStart"/>
      <w:r w:rsidRPr="00186DBB">
        <w:rPr>
          <w:sz w:val="24"/>
          <w:szCs w:val="24"/>
        </w:rPr>
        <w:t>:</w:t>
      </w:r>
      <w:r w:rsidR="00245375" w:rsidRPr="00186DBB">
        <w:rPr>
          <w:sz w:val="24"/>
          <w:szCs w:val="24"/>
        </w:rPr>
        <w:t xml:space="preserve"> </w:t>
      </w:r>
      <w:r w:rsidR="00245375" w:rsidRPr="00186DBB">
        <w:rPr>
          <w:sz w:val="24"/>
          <w:szCs w:val="24"/>
        </w:rPr>
        <w:tab/>
      </w:r>
      <w:r w:rsidRPr="00186DBB">
        <w:rPr>
          <w:sz w:val="24"/>
          <w:szCs w:val="24"/>
        </w:rPr>
        <w:t>CPCN</w:t>
      </w:r>
      <w:proofErr w:type="gramEnd"/>
      <w:r w:rsidRPr="00186DBB">
        <w:rPr>
          <w:sz w:val="24"/>
          <w:szCs w:val="24"/>
        </w:rPr>
        <w:t xml:space="preserve"> Application Fee of [Name of Applicant]</w:t>
      </w:r>
    </w:p>
    <w:p w14:paraId="7355C43F" w14:textId="5EDC7C1F" w:rsidR="005833B3" w:rsidRPr="00186DBB" w:rsidRDefault="005833B3" w:rsidP="00186DBB">
      <w:pPr>
        <w:pStyle w:val="ListParagraph"/>
        <w:numPr>
          <w:ilvl w:val="0"/>
          <w:numId w:val="1"/>
        </w:numPr>
        <w:tabs>
          <w:tab w:val="left" w:pos="1079"/>
          <w:tab w:val="left" w:pos="3959"/>
        </w:tabs>
        <w:ind w:left="1079" w:hanging="359"/>
        <w:contextualSpacing w:val="0"/>
        <w:jc w:val="both"/>
        <w:rPr>
          <w:sz w:val="24"/>
          <w:szCs w:val="24"/>
        </w:rPr>
      </w:pPr>
      <w:r w:rsidRPr="00186DBB">
        <w:rPr>
          <w:sz w:val="24"/>
          <w:szCs w:val="24"/>
        </w:rPr>
        <w:t>Send Payment to:</w:t>
      </w:r>
      <w:r w:rsidR="00245375" w:rsidRPr="00186DBB">
        <w:rPr>
          <w:sz w:val="24"/>
          <w:szCs w:val="24"/>
        </w:rPr>
        <w:t xml:space="preserve"> </w:t>
      </w:r>
      <w:r w:rsidR="00245375" w:rsidRPr="00186DBB">
        <w:rPr>
          <w:sz w:val="24"/>
          <w:szCs w:val="24"/>
        </w:rPr>
        <w:tab/>
      </w:r>
      <w:r w:rsidRPr="00186DBB">
        <w:rPr>
          <w:sz w:val="24"/>
          <w:szCs w:val="24"/>
        </w:rPr>
        <w:t>ATTN: CPUC ALJ Docket Office –</w:t>
      </w:r>
      <w:r w:rsidR="000E6782" w:rsidRPr="00186DBB">
        <w:rPr>
          <w:sz w:val="24"/>
          <w:szCs w:val="24"/>
        </w:rPr>
        <w:t xml:space="preserve"> </w:t>
      </w:r>
      <w:r w:rsidRPr="00186DBB">
        <w:rPr>
          <w:sz w:val="24"/>
          <w:szCs w:val="24"/>
        </w:rPr>
        <w:t xml:space="preserve">CPCN Application </w:t>
      </w:r>
    </w:p>
    <w:p w14:paraId="3C568D1D" w14:textId="77777777" w:rsidR="005833B3" w:rsidRPr="00186DBB" w:rsidRDefault="005833B3" w:rsidP="00186DBB">
      <w:pPr>
        <w:pStyle w:val="BodyText"/>
        <w:ind w:left="3960" w:firstLine="0"/>
        <w:jc w:val="both"/>
      </w:pPr>
      <w:r w:rsidRPr="00186DBB">
        <w:t>505 Van Ness Avenue</w:t>
      </w:r>
    </w:p>
    <w:p w14:paraId="5F705E7C" w14:textId="77777777" w:rsidR="005833B3" w:rsidRPr="00186DBB" w:rsidRDefault="005833B3" w:rsidP="00186DBB">
      <w:pPr>
        <w:pStyle w:val="BodyText"/>
        <w:spacing w:before="1"/>
        <w:ind w:left="3960" w:firstLine="0"/>
        <w:jc w:val="both"/>
      </w:pPr>
      <w:r w:rsidRPr="00186DBB">
        <w:t>San Francisco, CA 94102</w:t>
      </w:r>
      <w:bookmarkEnd w:id="16"/>
      <w:bookmarkEnd w:id="18"/>
    </w:p>
    <w:sectPr w:rsidR="005833B3" w:rsidRPr="00186DBB" w:rsidSect="00245375">
      <w:headerReference w:type="default" r:id="rId16"/>
      <w:pgSz w:w="12240" w:h="15840"/>
      <w:pgMar w:top="1080" w:right="1080" w:bottom="1080" w:left="108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D098A" w14:textId="77777777" w:rsidR="00E55E40" w:rsidRDefault="00E55E40" w:rsidP="005833B3">
      <w:r>
        <w:separator/>
      </w:r>
    </w:p>
  </w:endnote>
  <w:endnote w:type="continuationSeparator" w:id="0">
    <w:p w14:paraId="0CA2F9CB" w14:textId="77777777" w:rsidR="00E55E40" w:rsidRDefault="00E55E40" w:rsidP="00583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ACF0D" w14:textId="77777777" w:rsidR="00E55E40" w:rsidRDefault="00E55E40" w:rsidP="005833B3">
      <w:r>
        <w:separator/>
      </w:r>
    </w:p>
  </w:footnote>
  <w:footnote w:type="continuationSeparator" w:id="0">
    <w:p w14:paraId="51A091B9" w14:textId="77777777" w:rsidR="00E55E40" w:rsidRDefault="00E55E40" w:rsidP="005833B3">
      <w:r>
        <w:continuationSeparator/>
      </w:r>
    </w:p>
  </w:footnote>
  <w:footnote w:id="1">
    <w:p w14:paraId="526686B2" w14:textId="62796FD3" w:rsidR="00C7537E" w:rsidRDefault="00C7537E">
      <w:pPr>
        <w:pStyle w:val="FootnoteText"/>
      </w:pPr>
      <w:r>
        <w:rPr>
          <w:rStyle w:val="FootnoteReference"/>
        </w:rPr>
        <w:footnoteRef/>
      </w:r>
      <w:r>
        <w:t xml:space="preserve"> The CPUC </w:t>
      </w:r>
      <w:r w:rsidRPr="00C7537E">
        <w:t xml:space="preserve">Step-by-step instructions for Electronically Filing a document is available at the CPUC Website: </w:t>
      </w:r>
      <w:hyperlink r:id="rId1" w:history="1">
        <w:r w:rsidRPr="00193D97">
          <w:rPr>
            <w:rStyle w:val="Hyperlink"/>
            <w:b/>
            <w:bCs/>
          </w:rPr>
          <w:t>https://www.cpuc.ca.gov/proceedings-and-rulemaking/e-file-a-document</w:t>
        </w:r>
      </w:hyperlink>
      <w:r>
        <w:rPr>
          <w:b/>
          <w:bCs/>
        </w:rPr>
        <w:t xml:space="preserve"> </w:t>
      </w:r>
    </w:p>
  </w:footnote>
  <w:footnote w:id="2">
    <w:p w14:paraId="6E41C479" w14:textId="554E5DDF" w:rsidR="005833B3" w:rsidRDefault="005833B3" w:rsidP="00C7537E">
      <w:pPr>
        <w:ind w:hanging="1"/>
      </w:pPr>
      <w:r>
        <w:rPr>
          <w:rStyle w:val="FootnoteReference"/>
        </w:rPr>
        <w:footnoteRef/>
      </w:r>
      <w:r>
        <w:t xml:space="preserve"> </w:t>
      </w:r>
      <w:r w:rsidRPr="00AD0AE6">
        <w:rPr>
          <w:sz w:val="20"/>
          <w:szCs w:val="20"/>
        </w:rPr>
        <w:t>Decision (D.) 08-04-018 (adopted April 10, 2008) available at</w:t>
      </w:r>
      <w:r w:rsidR="00C7537E">
        <w:rPr>
          <w:sz w:val="20"/>
          <w:szCs w:val="20"/>
        </w:rPr>
        <w:t xml:space="preserve"> the CPUC Website</w:t>
      </w:r>
      <w:r w:rsidRPr="00AD0AE6">
        <w:rPr>
          <w:sz w:val="20"/>
          <w:szCs w:val="20"/>
        </w:rPr>
        <w:t xml:space="preserve">: </w:t>
      </w:r>
      <w:hyperlink r:id="rId2">
        <w:r w:rsidRPr="00AD0AE6">
          <w:rPr>
            <w:color w:val="467885"/>
            <w:spacing w:val="-2"/>
            <w:sz w:val="20"/>
            <w:szCs w:val="20"/>
            <w:u w:val="single" w:color="467885"/>
          </w:rPr>
          <w:t>https://docs.cpuc.ca.gov/PublishedDocs/WORD_PDF/FINAL_DECISION/81277.PDF</w:t>
        </w:r>
        <w:r w:rsidRPr="00AD0AE6">
          <w:rPr>
            <w:spacing w:val="-2"/>
            <w:sz w:val="20"/>
            <w:szCs w:val="20"/>
          </w:rPr>
          <w:t>.</w:t>
        </w:r>
      </w:hyperlink>
    </w:p>
  </w:footnote>
  <w:footnote w:id="3">
    <w:p w14:paraId="6F46BA54" w14:textId="306AED58" w:rsidR="005833B3" w:rsidRPr="00C7537E" w:rsidRDefault="005833B3" w:rsidP="00C7537E">
      <w:pPr>
        <w:keepLines/>
        <w:jc w:val="both"/>
        <w:rPr>
          <w:sz w:val="20"/>
          <w:szCs w:val="20"/>
        </w:rPr>
      </w:pPr>
      <w:r>
        <w:rPr>
          <w:rStyle w:val="FootnoteReference"/>
        </w:rPr>
        <w:footnoteRef/>
      </w:r>
      <w:r>
        <w:t xml:space="preserve"> </w:t>
      </w:r>
      <w:r w:rsidRPr="00C7537E">
        <w:rPr>
          <w:sz w:val="20"/>
          <w:szCs w:val="20"/>
        </w:rPr>
        <w:t>The</w:t>
      </w:r>
      <w:r w:rsidRPr="00C7537E">
        <w:rPr>
          <w:spacing w:val="-1"/>
          <w:sz w:val="20"/>
          <w:szCs w:val="20"/>
        </w:rPr>
        <w:t xml:space="preserve"> </w:t>
      </w:r>
      <w:r w:rsidRPr="00C7537E">
        <w:rPr>
          <w:sz w:val="20"/>
          <w:szCs w:val="20"/>
        </w:rPr>
        <w:t>term</w:t>
      </w:r>
      <w:r w:rsidRPr="00C7537E">
        <w:rPr>
          <w:spacing w:val="-2"/>
          <w:sz w:val="20"/>
          <w:szCs w:val="20"/>
        </w:rPr>
        <w:t xml:space="preserve"> </w:t>
      </w:r>
      <w:r w:rsidRPr="00C7537E">
        <w:rPr>
          <w:sz w:val="20"/>
          <w:szCs w:val="20"/>
        </w:rPr>
        <w:t>switchless</w:t>
      </w:r>
      <w:r w:rsidRPr="00C7537E">
        <w:rPr>
          <w:spacing w:val="-1"/>
          <w:sz w:val="20"/>
          <w:szCs w:val="20"/>
        </w:rPr>
        <w:t xml:space="preserve"> </w:t>
      </w:r>
      <w:r w:rsidRPr="00C7537E">
        <w:rPr>
          <w:sz w:val="20"/>
          <w:szCs w:val="20"/>
        </w:rPr>
        <w:t>reseller</w:t>
      </w:r>
      <w:r w:rsidRPr="00C7537E">
        <w:rPr>
          <w:spacing w:val="-2"/>
          <w:sz w:val="20"/>
          <w:szCs w:val="20"/>
        </w:rPr>
        <w:t xml:space="preserve"> </w:t>
      </w:r>
      <w:r w:rsidRPr="00C7537E">
        <w:rPr>
          <w:sz w:val="20"/>
          <w:szCs w:val="20"/>
        </w:rPr>
        <w:t>originated</w:t>
      </w:r>
      <w:r w:rsidRPr="00C7537E">
        <w:rPr>
          <w:spacing w:val="-2"/>
          <w:sz w:val="20"/>
          <w:szCs w:val="20"/>
        </w:rPr>
        <w:t xml:space="preserve"> </w:t>
      </w:r>
      <w:r w:rsidRPr="00C7537E">
        <w:rPr>
          <w:sz w:val="20"/>
          <w:szCs w:val="20"/>
        </w:rPr>
        <w:t>in D.91-10-041,</w:t>
      </w:r>
      <w:r w:rsidRPr="00C7537E">
        <w:rPr>
          <w:spacing w:val="-1"/>
          <w:sz w:val="20"/>
          <w:szCs w:val="20"/>
        </w:rPr>
        <w:t xml:space="preserve"> </w:t>
      </w:r>
      <w:proofErr w:type="spellStart"/>
      <w:r w:rsidRPr="00C7537E">
        <w:rPr>
          <w:sz w:val="20"/>
          <w:szCs w:val="20"/>
        </w:rPr>
        <w:t>FoF</w:t>
      </w:r>
      <w:proofErr w:type="spellEnd"/>
      <w:r w:rsidRPr="00C7537E">
        <w:rPr>
          <w:spacing w:val="-2"/>
          <w:sz w:val="20"/>
          <w:szCs w:val="20"/>
        </w:rPr>
        <w:t xml:space="preserve"> </w:t>
      </w:r>
      <w:r w:rsidRPr="00C7537E">
        <w:rPr>
          <w:sz w:val="20"/>
          <w:szCs w:val="20"/>
        </w:rPr>
        <w:t>23,</w:t>
      </w:r>
      <w:r w:rsidRPr="00C7537E">
        <w:rPr>
          <w:spacing w:val="-1"/>
          <w:sz w:val="20"/>
          <w:szCs w:val="20"/>
        </w:rPr>
        <w:t xml:space="preserve"> </w:t>
      </w:r>
      <w:r w:rsidRPr="00C7537E">
        <w:rPr>
          <w:sz w:val="20"/>
          <w:szCs w:val="20"/>
        </w:rPr>
        <w:t>defined</w:t>
      </w:r>
      <w:r w:rsidRPr="00C7537E">
        <w:rPr>
          <w:spacing w:val="-4"/>
          <w:sz w:val="20"/>
          <w:szCs w:val="20"/>
        </w:rPr>
        <w:t xml:space="preserve"> </w:t>
      </w:r>
      <w:r w:rsidRPr="00C7537E">
        <w:rPr>
          <w:sz w:val="20"/>
          <w:szCs w:val="20"/>
        </w:rPr>
        <w:t>as</w:t>
      </w:r>
      <w:r w:rsidRPr="00C7537E">
        <w:rPr>
          <w:spacing w:val="-1"/>
          <w:sz w:val="20"/>
          <w:szCs w:val="20"/>
        </w:rPr>
        <w:t xml:space="preserve"> </w:t>
      </w:r>
      <w:r w:rsidRPr="00C7537E">
        <w:rPr>
          <w:sz w:val="20"/>
          <w:szCs w:val="20"/>
        </w:rPr>
        <w:t>“A switchless</w:t>
      </w:r>
      <w:r w:rsidRPr="00C7537E">
        <w:rPr>
          <w:spacing w:val="-1"/>
          <w:sz w:val="20"/>
          <w:szCs w:val="20"/>
        </w:rPr>
        <w:t xml:space="preserve"> </w:t>
      </w:r>
      <w:r w:rsidRPr="00C7537E">
        <w:rPr>
          <w:sz w:val="20"/>
          <w:szCs w:val="20"/>
        </w:rPr>
        <w:t>reseller only markets the services of underlying service providers who are certificated to construct and maintain</w:t>
      </w:r>
      <w:r w:rsidRPr="00C7537E">
        <w:rPr>
          <w:spacing w:val="-1"/>
          <w:sz w:val="20"/>
          <w:szCs w:val="20"/>
        </w:rPr>
        <w:t xml:space="preserve"> </w:t>
      </w:r>
      <w:r w:rsidRPr="00C7537E">
        <w:rPr>
          <w:sz w:val="20"/>
          <w:szCs w:val="20"/>
        </w:rPr>
        <w:t>the physical plant for</w:t>
      </w:r>
      <w:r w:rsidRPr="00C7537E">
        <w:rPr>
          <w:spacing w:val="-3"/>
          <w:sz w:val="20"/>
          <w:szCs w:val="20"/>
        </w:rPr>
        <w:t xml:space="preserve"> </w:t>
      </w:r>
      <w:r w:rsidRPr="00C7537E">
        <w:rPr>
          <w:sz w:val="20"/>
          <w:szCs w:val="20"/>
        </w:rPr>
        <w:t>intrastate communications services in California.” The</w:t>
      </w:r>
      <w:r w:rsidRPr="00C7537E">
        <w:rPr>
          <w:spacing w:val="-2"/>
          <w:sz w:val="20"/>
          <w:szCs w:val="20"/>
        </w:rPr>
        <w:t xml:space="preserve"> </w:t>
      </w:r>
      <w:r w:rsidRPr="00C7537E">
        <w:rPr>
          <w:sz w:val="20"/>
          <w:szCs w:val="20"/>
        </w:rPr>
        <w:t>following year, in D.92-06-069 the Commission defined reseller generally as “service providers who do</w:t>
      </w:r>
      <w:r w:rsidRPr="00C7537E">
        <w:rPr>
          <w:spacing w:val="40"/>
          <w:sz w:val="20"/>
          <w:szCs w:val="20"/>
        </w:rPr>
        <w:t xml:space="preserve"> </w:t>
      </w:r>
      <w:r w:rsidRPr="00C7537E">
        <w:rPr>
          <w:sz w:val="20"/>
          <w:szCs w:val="20"/>
        </w:rPr>
        <w:t>not own transmission facilities but provide service under their own name using the facilities of another provider. They do not directly own, control, operate, or manage any conduits, ducts, poles, wires, cables, instruments, and appliances in connection with or to facilitate communication</w:t>
      </w:r>
      <w:r w:rsidRPr="00C7537E">
        <w:rPr>
          <w:spacing w:val="-2"/>
          <w:sz w:val="20"/>
          <w:szCs w:val="20"/>
        </w:rPr>
        <w:t xml:space="preserve"> </w:t>
      </w:r>
      <w:r w:rsidRPr="00C7537E">
        <w:rPr>
          <w:sz w:val="20"/>
          <w:szCs w:val="20"/>
        </w:rPr>
        <w:t>by</w:t>
      </w:r>
      <w:r w:rsidRPr="00C7537E">
        <w:rPr>
          <w:spacing w:val="-4"/>
          <w:sz w:val="20"/>
          <w:szCs w:val="20"/>
        </w:rPr>
        <w:t xml:space="preserve"> </w:t>
      </w:r>
      <w:r w:rsidRPr="00C7537E">
        <w:rPr>
          <w:sz w:val="20"/>
          <w:szCs w:val="20"/>
        </w:rPr>
        <w:t>telephone.</w:t>
      </w:r>
      <w:r w:rsidRPr="00C7537E">
        <w:rPr>
          <w:spacing w:val="-6"/>
          <w:sz w:val="20"/>
          <w:szCs w:val="20"/>
        </w:rPr>
        <w:t xml:space="preserve"> </w:t>
      </w:r>
      <w:proofErr w:type="gramStart"/>
      <w:r w:rsidRPr="00C7537E">
        <w:rPr>
          <w:sz w:val="20"/>
          <w:szCs w:val="20"/>
        </w:rPr>
        <w:t>”Finally</w:t>
      </w:r>
      <w:proofErr w:type="gramEnd"/>
      <w:r w:rsidRPr="00C7537E">
        <w:rPr>
          <w:sz w:val="20"/>
          <w:szCs w:val="20"/>
        </w:rPr>
        <w:t>,</w:t>
      </w:r>
      <w:r w:rsidRPr="00C7537E">
        <w:rPr>
          <w:spacing w:val="-3"/>
          <w:sz w:val="20"/>
          <w:szCs w:val="20"/>
        </w:rPr>
        <w:t xml:space="preserve"> </w:t>
      </w:r>
      <w:r w:rsidRPr="00C7537E">
        <w:rPr>
          <w:sz w:val="20"/>
          <w:szCs w:val="20"/>
        </w:rPr>
        <w:t>in</w:t>
      </w:r>
      <w:r w:rsidRPr="00C7537E">
        <w:rPr>
          <w:spacing w:val="-2"/>
          <w:sz w:val="20"/>
          <w:szCs w:val="20"/>
        </w:rPr>
        <w:t xml:space="preserve"> </w:t>
      </w:r>
      <w:r w:rsidRPr="00C7537E">
        <w:rPr>
          <w:sz w:val="20"/>
          <w:szCs w:val="20"/>
        </w:rPr>
        <w:t>opening</w:t>
      </w:r>
      <w:r w:rsidRPr="00C7537E">
        <w:rPr>
          <w:spacing w:val="-4"/>
          <w:sz w:val="20"/>
          <w:szCs w:val="20"/>
        </w:rPr>
        <w:t xml:space="preserve"> </w:t>
      </w:r>
      <w:r w:rsidRPr="00C7537E">
        <w:rPr>
          <w:sz w:val="20"/>
          <w:szCs w:val="20"/>
        </w:rPr>
        <w:t>the</w:t>
      </w:r>
      <w:r w:rsidRPr="00C7537E">
        <w:rPr>
          <w:spacing w:val="-3"/>
          <w:sz w:val="20"/>
          <w:szCs w:val="20"/>
        </w:rPr>
        <w:t xml:space="preserve"> </w:t>
      </w:r>
      <w:r w:rsidRPr="00C7537E">
        <w:rPr>
          <w:sz w:val="20"/>
          <w:szCs w:val="20"/>
        </w:rPr>
        <w:t>local</w:t>
      </w:r>
      <w:r w:rsidRPr="00C7537E">
        <w:rPr>
          <w:spacing w:val="-3"/>
          <w:sz w:val="20"/>
          <w:szCs w:val="20"/>
        </w:rPr>
        <w:t xml:space="preserve"> </w:t>
      </w:r>
      <w:r w:rsidRPr="00C7537E">
        <w:rPr>
          <w:sz w:val="20"/>
          <w:szCs w:val="20"/>
        </w:rPr>
        <w:t>exchange</w:t>
      </w:r>
      <w:r w:rsidRPr="00C7537E">
        <w:rPr>
          <w:spacing w:val="-3"/>
          <w:sz w:val="20"/>
          <w:szCs w:val="20"/>
        </w:rPr>
        <w:t xml:space="preserve"> </w:t>
      </w:r>
      <w:r w:rsidRPr="00C7537E">
        <w:rPr>
          <w:sz w:val="20"/>
          <w:szCs w:val="20"/>
        </w:rPr>
        <w:t>market</w:t>
      </w:r>
      <w:r w:rsidRPr="00C7537E">
        <w:rPr>
          <w:spacing w:val="-3"/>
          <w:sz w:val="20"/>
          <w:szCs w:val="20"/>
        </w:rPr>
        <w:t xml:space="preserve"> </w:t>
      </w:r>
      <w:r w:rsidRPr="00C7537E">
        <w:rPr>
          <w:sz w:val="20"/>
          <w:szCs w:val="20"/>
        </w:rPr>
        <w:t>to</w:t>
      </w:r>
      <w:r w:rsidRPr="00C7537E">
        <w:rPr>
          <w:spacing w:val="-4"/>
          <w:sz w:val="20"/>
          <w:szCs w:val="20"/>
        </w:rPr>
        <w:t xml:space="preserve"> </w:t>
      </w:r>
      <w:r w:rsidRPr="00C7537E">
        <w:rPr>
          <w:sz w:val="20"/>
          <w:szCs w:val="20"/>
        </w:rPr>
        <w:t>competition,</w:t>
      </w:r>
      <w:r w:rsidRPr="00C7537E">
        <w:rPr>
          <w:spacing w:val="-3"/>
          <w:sz w:val="20"/>
          <w:szCs w:val="20"/>
        </w:rPr>
        <w:t xml:space="preserve"> </w:t>
      </w:r>
      <w:r w:rsidRPr="00C7537E">
        <w:rPr>
          <w:sz w:val="20"/>
          <w:szCs w:val="20"/>
        </w:rPr>
        <w:t>the Commission again defined non-facilities-based CLECs in D.95-07-054, Appendix A at 3.</w:t>
      </w:r>
    </w:p>
  </w:footnote>
  <w:footnote w:id="4">
    <w:p w14:paraId="076724D3" w14:textId="77777777" w:rsidR="005833B3" w:rsidRDefault="005833B3" w:rsidP="005833B3">
      <w:pPr>
        <w:pStyle w:val="FootnoteText"/>
      </w:pPr>
      <w:r>
        <w:rPr>
          <w:rStyle w:val="FootnoteReference"/>
        </w:rPr>
        <w:footnoteRef/>
      </w:r>
      <w:r>
        <w:t xml:space="preserve"> </w:t>
      </w:r>
      <w:r w:rsidRPr="004E5170">
        <w:t>Refer</w:t>
      </w:r>
      <w:r w:rsidRPr="004E5170">
        <w:rPr>
          <w:spacing w:val="-3"/>
        </w:rPr>
        <w:t xml:space="preserve"> </w:t>
      </w:r>
      <w:r w:rsidRPr="004E5170">
        <w:t>to</w:t>
      </w:r>
      <w:r w:rsidRPr="004E5170">
        <w:rPr>
          <w:spacing w:val="-3"/>
        </w:rPr>
        <w:t xml:space="preserve"> </w:t>
      </w:r>
      <w:r w:rsidRPr="004E5170">
        <w:t>Rule</w:t>
      </w:r>
      <w:r w:rsidRPr="004E5170">
        <w:rPr>
          <w:spacing w:val="-5"/>
        </w:rPr>
        <w:t xml:space="preserve"> </w:t>
      </w:r>
      <w:r w:rsidRPr="004E5170">
        <w:t>3.1</w:t>
      </w:r>
      <w:r w:rsidRPr="004E5170">
        <w:rPr>
          <w:spacing w:val="-2"/>
        </w:rPr>
        <w:t xml:space="preserve"> </w:t>
      </w:r>
      <w:r w:rsidRPr="004E5170">
        <w:t>items</w:t>
      </w:r>
      <w:r w:rsidRPr="004E5170">
        <w:rPr>
          <w:spacing w:val="-2"/>
        </w:rPr>
        <w:t xml:space="preserve"> </w:t>
      </w:r>
      <w:r w:rsidRPr="004E5170">
        <w:t>a-j</w:t>
      </w:r>
      <w:r w:rsidRPr="004E5170">
        <w:rPr>
          <w:spacing w:val="-1"/>
        </w:rPr>
        <w:t xml:space="preserve"> </w:t>
      </w:r>
      <w:r w:rsidRPr="004E5170">
        <w:t>of</w:t>
      </w:r>
      <w:r w:rsidRPr="004E5170">
        <w:rPr>
          <w:spacing w:val="-1"/>
        </w:rPr>
        <w:t xml:space="preserve"> </w:t>
      </w:r>
      <w:r w:rsidRPr="004E5170">
        <w:t>the</w:t>
      </w:r>
      <w:r w:rsidRPr="004E5170">
        <w:rPr>
          <w:spacing w:val="-5"/>
        </w:rPr>
        <w:t xml:space="preserve"> </w:t>
      </w:r>
      <w:r w:rsidRPr="004E5170">
        <w:t>Commission’s</w:t>
      </w:r>
      <w:r w:rsidRPr="004E5170">
        <w:rPr>
          <w:spacing w:val="-2"/>
        </w:rPr>
        <w:t xml:space="preserve"> </w:t>
      </w:r>
      <w:r w:rsidRPr="004E5170">
        <w:t>Rules</w:t>
      </w:r>
      <w:r w:rsidRPr="004E5170">
        <w:rPr>
          <w:spacing w:val="-2"/>
        </w:rPr>
        <w:t xml:space="preserve"> </w:t>
      </w:r>
      <w:r w:rsidRPr="004E5170">
        <w:t>of</w:t>
      </w:r>
      <w:r w:rsidRPr="004E5170">
        <w:rPr>
          <w:spacing w:val="-1"/>
        </w:rPr>
        <w:t xml:space="preserve"> </w:t>
      </w:r>
      <w:r w:rsidRPr="004E5170">
        <w:t>Practice</w:t>
      </w:r>
      <w:r w:rsidRPr="004E5170">
        <w:rPr>
          <w:spacing w:val="-2"/>
        </w:rPr>
        <w:t xml:space="preserve"> </w:t>
      </w:r>
      <w:r w:rsidRPr="004E5170">
        <w:t>and</w:t>
      </w:r>
      <w:r w:rsidRPr="004E5170">
        <w:rPr>
          <w:spacing w:val="-5"/>
        </w:rPr>
        <w:t xml:space="preserve"> </w:t>
      </w:r>
      <w:r w:rsidRPr="004E5170">
        <w:t>Procedure</w:t>
      </w:r>
      <w:r w:rsidRPr="004E5170">
        <w:rPr>
          <w:spacing w:val="-2"/>
        </w:rPr>
        <w:t xml:space="preserve"> </w:t>
      </w:r>
      <w:r w:rsidRPr="004E5170">
        <w:t>(Rules)</w:t>
      </w:r>
      <w:r w:rsidRPr="004E5170">
        <w:rPr>
          <w:spacing w:val="-1"/>
        </w:rPr>
        <w:t xml:space="preserve"> </w:t>
      </w:r>
      <w:r w:rsidRPr="004E5170">
        <w:t>and General Order 104-A Section 2</w:t>
      </w:r>
    </w:p>
  </w:footnote>
  <w:footnote w:id="5">
    <w:p w14:paraId="10066E9A" w14:textId="2C81B5B3" w:rsidR="00C7537E" w:rsidRDefault="00C7537E">
      <w:pPr>
        <w:pStyle w:val="FootnoteText"/>
      </w:pPr>
      <w:r>
        <w:rPr>
          <w:rStyle w:val="FootnoteReference"/>
        </w:rPr>
        <w:footnoteRef/>
      </w:r>
      <w:r>
        <w:t xml:space="preserve"> </w:t>
      </w:r>
      <w:r w:rsidR="00245375">
        <w:t>Guidance for f</w:t>
      </w:r>
      <w:r w:rsidR="00245375" w:rsidRPr="00245375">
        <w:t xml:space="preserve">iling </w:t>
      </w:r>
      <w:r w:rsidR="00245375">
        <w:t>p</w:t>
      </w:r>
      <w:r w:rsidR="00245375" w:rsidRPr="00245375">
        <w:t xml:space="preserve">resumptively </w:t>
      </w:r>
      <w:r w:rsidR="00245375">
        <w:t>c</w:t>
      </w:r>
      <w:r w:rsidR="00245375" w:rsidRPr="00245375">
        <w:t xml:space="preserve">onfidential </w:t>
      </w:r>
      <w:r w:rsidR="00245375">
        <w:t>i</w:t>
      </w:r>
      <w:r w:rsidR="00245375" w:rsidRPr="00245375">
        <w:t>nformation pursuant to D.24-11-003</w:t>
      </w:r>
      <w:r w:rsidR="00245375">
        <w:t xml:space="preserve"> is available at the CPUC Website: </w:t>
      </w:r>
      <w:hyperlink r:id="rId3" w:history="1">
        <w:r w:rsidR="00245375" w:rsidRPr="00193D97">
          <w:rPr>
            <w:rStyle w:val="Hyperlink"/>
          </w:rPr>
          <w:t>https://www.cpuc.ca.gov/industries-and-topics/internet-and-phone/information-for-telecommunications-applicants-and-registrants-in-california</w:t>
        </w:r>
      </w:hyperlink>
    </w:p>
  </w:footnote>
  <w:footnote w:id="6">
    <w:p w14:paraId="19F04640" w14:textId="75D06107" w:rsidR="00C7537E" w:rsidRDefault="00C7537E" w:rsidP="00C7537E">
      <w:pPr>
        <w:pStyle w:val="FootnoteText"/>
      </w:pPr>
      <w:r>
        <w:rPr>
          <w:rStyle w:val="FootnoteReference"/>
        </w:rPr>
        <w:footnoteRef/>
      </w:r>
      <w:r>
        <w:t xml:space="preserve"> </w:t>
      </w:r>
      <w:r w:rsidR="00245375">
        <w:t>Guidance for f</w:t>
      </w:r>
      <w:r w:rsidR="00245375" w:rsidRPr="00245375">
        <w:t xml:space="preserve">iling </w:t>
      </w:r>
      <w:r w:rsidR="00245375">
        <w:t>p</w:t>
      </w:r>
      <w:r w:rsidR="00245375" w:rsidRPr="00245375">
        <w:t xml:space="preserve">resumptively </w:t>
      </w:r>
      <w:r w:rsidR="00245375">
        <w:t>c</w:t>
      </w:r>
      <w:r w:rsidR="00245375" w:rsidRPr="00245375">
        <w:t xml:space="preserve">onfidential </w:t>
      </w:r>
      <w:r w:rsidR="00245375">
        <w:t>i</w:t>
      </w:r>
      <w:r w:rsidR="00245375" w:rsidRPr="00245375">
        <w:t>nformation pursuant to D.24-11-003</w:t>
      </w:r>
      <w:r>
        <w:t xml:space="preserve"> is available at the CPUC Website: </w:t>
      </w:r>
      <w:hyperlink r:id="rId4" w:history="1">
        <w:r w:rsidRPr="00193D97">
          <w:rPr>
            <w:rStyle w:val="Hyperlink"/>
          </w:rPr>
          <w:t>https://www.cpuc.ca.gov/industries-and-topics/internet-and-phone/information-for-telecommunications-applicants-and-registrants-in-california</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Content>
      <w:p w14:paraId="1AFC7351" w14:textId="77777777" w:rsidR="000738A9" w:rsidRPr="004E5170" w:rsidRDefault="00000000" w:rsidP="005F6AEA">
        <w:pPr>
          <w:spacing w:before="19" w:line="245" w:lineRule="exact"/>
          <w:ind w:left="20"/>
          <w:rPr>
            <w:rFonts w:ascii="Century Gothic" w:hAnsi="Century Gothic"/>
            <w:sz w:val="20"/>
            <w:szCs w:val="20"/>
          </w:rPr>
        </w:pPr>
        <w:r w:rsidRPr="004E5170">
          <w:rPr>
            <w:rFonts w:ascii="Century Gothic" w:hAnsi="Century Gothic"/>
            <w:sz w:val="20"/>
            <w:szCs w:val="20"/>
          </w:rPr>
          <w:t>California</w:t>
        </w:r>
        <w:r w:rsidRPr="004E5170">
          <w:rPr>
            <w:rFonts w:ascii="Century Gothic" w:hAnsi="Century Gothic"/>
            <w:spacing w:val="-7"/>
            <w:sz w:val="20"/>
            <w:szCs w:val="20"/>
          </w:rPr>
          <w:t xml:space="preserve"> </w:t>
        </w:r>
        <w:r w:rsidRPr="004E5170">
          <w:rPr>
            <w:rFonts w:ascii="Century Gothic" w:hAnsi="Century Gothic"/>
            <w:sz w:val="20"/>
            <w:szCs w:val="20"/>
          </w:rPr>
          <w:t>Public</w:t>
        </w:r>
        <w:r w:rsidRPr="004E5170">
          <w:rPr>
            <w:rFonts w:ascii="Century Gothic" w:hAnsi="Century Gothic"/>
            <w:spacing w:val="-7"/>
            <w:sz w:val="20"/>
            <w:szCs w:val="20"/>
          </w:rPr>
          <w:t xml:space="preserve"> </w:t>
        </w:r>
        <w:r w:rsidRPr="004E5170">
          <w:rPr>
            <w:rFonts w:ascii="Century Gothic" w:hAnsi="Century Gothic"/>
            <w:sz w:val="20"/>
            <w:szCs w:val="20"/>
          </w:rPr>
          <w:t>Utilities</w:t>
        </w:r>
        <w:r w:rsidRPr="004E5170">
          <w:rPr>
            <w:rFonts w:ascii="Century Gothic" w:hAnsi="Century Gothic"/>
            <w:spacing w:val="-7"/>
            <w:sz w:val="20"/>
            <w:szCs w:val="20"/>
          </w:rPr>
          <w:t xml:space="preserve"> </w:t>
        </w:r>
        <w:r w:rsidRPr="004E5170">
          <w:rPr>
            <w:rFonts w:ascii="Century Gothic" w:hAnsi="Century Gothic"/>
            <w:spacing w:val="-2"/>
            <w:sz w:val="20"/>
            <w:szCs w:val="20"/>
          </w:rPr>
          <w:t>Commission</w:t>
        </w:r>
      </w:p>
      <w:p w14:paraId="61E0BAE6" w14:textId="693D6DA7" w:rsidR="000738A9" w:rsidRPr="005F6AEA" w:rsidRDefault="00000000" w:rsidP="005F6AEA">
        <w:pPr>
          <w:ind w:left="20"/>
          <w:rPr>
            <w:rFonts w:ascii="Century Gothic" w:hAnsi="Century Gothic"/>
            <w:sz w:val="20"/>
            <w:szCs w:val="20"/>
          </w:rPr>
        </w:pPr>
        <w:r w:rsidRPr="005F6AEA">
          <w:rPr>
            <w:rFonts w:ascii="Century Gothic" w:hAnsi="Century Gothic"/>
            <w:sz w:val="20"/>
            <w:szCs w:val="20"/>
          </w:rPr>
          <w:t>Instruction</w:t>
        </w:r>
        <w:r w:rsidR="0083562B">
          <w:rPr>
            <w:rFonts w:ascii="Century Gothic" w:hAnsi="Century Gothic"/>
            <w:sz w:val="20"/>
            <w:szCs w:val="20"/>
          </w:rPr>
          <w:t>s</w:t>
        </w:r>
        <w:r w:rsidRPr="005F6AEA">
          <w:rPr>
            <w:rFonts w:ascii="Century Gothic" w:hAnsi="Century Gothic"/>
            <w:spacing w:val="-7"/>
            <w:sz w:val="20"/>
            <w:szCs w:val="20"/>
          </w:rPr>
          <w:t xml:space="preserve"> </w:t>
        </w:r>
        <w:r w:rsidRPr="005F6AEA">
          <w:rPr>
            <w:rFonts w:ascii="Century Gothic" w:hAnsi="Century Gothic"/>
            <w:sz w:val="20"/>
            <w:szCs w:val="20"/>
          </w:rPr>
          <w:t>for</w:t>
        </w:r>
        <w:r w:rsidRPr="005F6AEA">
          <w:rPr>
            <w:rFonts w:ascii="Century Gothic" w:hAnsi="Century Gothic"/>
            <w:spacing w:val="-7"/>
            <w:sz w:val="20"/>
            <w:szCs w:val="20"/>
          </w:rPr>
          <w:t xml:space="preserve"> </w:t>
        </w:r>
        <w:r w:rsidRPr="005F6AEA">
          <w:rPr>
            <w:rFonts w:ascii="Century Gothic" w:hAnsi="Century Gothic"/>
            <w:sz w:val="20"/>
            <w:szCs w:val="20"/>
          </w:rPr>
          <w:t>CPCN</w:t>
        </w:r>
        <w:r w:rsidRPr="005F6AEA">
          <w:rPr>
            <w:rFonts w:ascii="Century Gothic" w:hAnsi="Century Gothic"/>
            <w:spacing w:val="-8"/>
            <w:sz w:val="20"/>
            <w:szCs w:val="20"/>
          </w:rPr>
          <w:t xml:space="preserve"> </w:t>
        </w:r>
        <w:r w:rsidRPr="005F6AEA">
          <w:rPr>
            <w:rFonts w:ascii="Century Gothic" w:hAnsi="Century Gothic"/>
            <w:sz w:val="20"/>
            <w:szCs w:val="20"/>
          </w:rPr>
          <w:t>Application</w:t>
        </w:r>
        <w:r w:rsidRPr="005F6AEA">
          <w:rPr>
            <w:rFonts w:ascii="Century Gothic" w:hAnsi="Century Gothic"/>
            <w:spacing w:val="-7"/>
            <w:sz w:val="20"/>
            <w:szCs w:val="20"/>
          </w:rPr>
          <w:t xml:space="preserve"> </w:t>
        </w:r>
        <w:r w:rsidRPr="005F6AEA">
          <w:rPr>
            <w:rFonts w:ascii="Century Gothic" w:hAnsi="Century Gothic"/>
            <w:sz w:val="20"/>
            <w:szCs w:val="20"/>
          </w:rPr>
          <w:t>Form</w:t>
        </w:r>
        <w:r w:rsidRPr="005F6AEA">
          <w:rPr>
            <w:rFonts w:ascii="Century Gothic" w:hAnsi="Century Gothic"/>
            <w:spacing w:val="-7"/>
            <w:sz w:val="20"/>
            <w:szCs w:val="20"/>
          </w:rPr>
          <w:t xml:space="preserve"> </w:t>
        </w:r>
        <w:r w:rsidRPr="005F6AEA">
          <w:rPr>
            <w:rFonts w:ascii="Century Gothic" w:hAnsi="Century Gothic"/>
            <w:sz w:val="20"/>
            <w:szCs w:val="20"/>
          </w:rPr>
          <w:t>–</w:t>
        </w:r>
        <w:r w:rsidRPr="005F6AEA">
          <w:rPr>
            <w:rFonts w:ascii="Century Gothic" w:hAnsi="Century Gothic"/>
            <w:spacing w:val="-6"/>
            <w:sz w:val="20"/>
            <w:szCs w:val="20"/>
          </w:rPr>
          <w:t xml:space="preserve"> </w:t>
        </w:r>
        <w:r w:rsidRPr="005F6AEA">
          <w:rPr>
            <w:rFonts w:ascii="Century Gothic" w:hAnsi="Century Gothic"/>
            <w:sz w:val="20"/>
            <w:szCs w:val="20"/>
          </w:rPr>
          <w:t>Telephone</w:t>
        </w:r>
        <w:r w:rsidRPr="005F6AEA">
          <w:rPr>
            <w:rFonts w:ascii="Century Gothic" w:hAnsi="Century Gothic"/>
            <w:spacing w:val="-7"/>
            <w:sz w:val="20"/>
            <w:szCs w:val="20"/>
          </w:rPr>
          <w:t xml:space="preserve"> </w:t>
        </w:r>
        <w:r w:rsidRPr="005F6AEA">
          <w:rPr>
            <w:rFonts w:ascii="Century Gothic" w:hAnsi="Century Gothic"/>
            <w:spacing w:val="-2"/>
            <w:sz w:val="20"/>
            <w:szCs w:val="20"/>
          </w:rPr>
          <w:t>Corporation</w:t>
        </w:r>
      </w:p>
      <w:p w14:paraId="056EE68B" w14:textId="38421B3C" w:rsidR="000738A9" w:rsidRDefault="00000000">
        <w:pPr>
          <w:pStyle w:val="Header"/>
          <w:rPr>
            <w:rFonts w:ascii="Century Gothic" w:hAnsi="Century Gothic"/>
            <w:b/>
            <w:bCs/>
            <w:sz w:val="20"/>
            <w:szCs w:val="20"/>
          </w:rPr>
        </w:pPr>
        <w:r w:rsidRPr="004E5170">
          <w:rPr>
            <w:rFonts w:ascii="Century Gothic" w:hAnsi="Century Gothic"/>
            <w:sz w:val="20"/>
            <w:szCs w:val="20"/>
          </w:rPr>
          <w:t xml:space="preserve">Page </w:t>
        </w:r>
        <w:r w:rsidRPr="004E5170">
          <w:rPr>
            <w:rFonts w:ascii="Century Gothic" w:hAnsi="Century Gothic"/>
            <w:b/>
            <w:bCs/>
            <w:sz w:val="20"/>
            <w:szCs w:val="20"/>
          </w:rPr>
          <w:fldChar w:fldCharType="begin"/>
        </w:r>
        <w:r w:rsidRPr="004E5170">
          <w:rPr>
            <w:rFonts w:ascii="Century Gothic" w:hAnsi="Century Gothic"/>
            <w:b/>
            <w:bCs/>
            <w:sz w:val="20"/>
            <w:szCs w:val="20"/>
          </w:rPr>
          <w:instrText xml:space="preserve"> PAGE </w:instrText>
        </w:r>
        <w:r w:rsidRPr="004E5170">
          <w:rPr>
            <w:rFonts w:ascii="Century Gothic" w:hAnsi="Century Gothic"/>
            <w:b/>
            <w:bCs/>
            <w:sz w:val="20"/>
            <w:szCs w:val="20"/>
          </w:rPr>
          <w:fldChar w:fldCharType="separate"/>
        </w:r>
        <w:r w:rsidRPr="004E5170">
          <w:rPr>
            <w:rFonts w:ascii="Century Gothic" w:hAnsi="Century Gothic"/>
            <w:b/>
            <w:bCs/>
            <w:noProof/>
            <w:sz w:val="20"/>
            <w:szCs w:val="20"/>
          </w:rPr>
          <w:t>2</w:t>
        </w:r>
        <w:r w:rsidRPr="004E5170">
          <w:rPr>
            <w:rFonts w:ascii="Century Gothic" w:hAnsi="Century Gothic"/>
            <w:b/>
            <w:bCs/>
            <w:sz w:val="20"/>
            <w:szCs w:val="20"/>
          </w:rPr>
          <w:fldChar w:fldCharType="end"/>
        </w:r>
        <w:r w:rsidRPr="004E5170">
          <w:rPr>
            <w:rFonts w:ascii="Century Gothic" w:hAnsi="Century Gothic"/>
            <w:sz w:val="20"/>
            <w:szCs w:val="20"/>
          </w:rPr>
          <w:t xml:space="preserve"> of </w:t>
        </w:r>
        <w:r w:rsidRPr="004E5170">
          <w:rPr>
            <w:rFonts w:ascii="Century Gothic" w:hAnsi="Century Gothic"/>
            <w:b/>
            <w:bCs/>
            <w:sz w:val="20"/>
            <w:szCs w:val="20"/>
          </w:rPr>
          <w:fldChar w:fldCharType="begin"/>
        </w:r>
        <w:r w:rsidRPr="004E5170">
          <w:rPr>
            <w:rFonts w:ascii="Century Gothic" w:hAnsi="Century Gothic"/>
            <w:b/>
            <w:bCs/>
            <w:sz w:val="20"/>
            <w:szCs w:val="20"/>
          </w:rPr>
          <w:instrText xml:space="preserve"> NUMPAGES  </w:instrText>
        </w:r>
        <w:r w:rsidRPr="004E5170">
          <w:rPr>
            <w:rFonts w:ascii="Century Gothic" w:hAnsi="Century Gothic"/>
            <w:b/>
            <w:bCs/>
            <w:sz w:val="20"/>
            <w:szCs w:val="20"/>
          </w:rPr>
          <w:fldChar w:fldCharType="separate"/>
        </w:r>
        <w:r w:rsidRPr="004E5170">
          <w:rPr>
            <w:rFonts w:ascii="Century Gothic" w:hAnsi="Century Gothic"/>
            <w:b/>
            <w:bCs/>
            <w:noProof/>
            <w:sz w:val="20"/>
            <w:szCs w:val="20"/>
          </w:rPr>
          <w:t>2</w:t>
        </w:r>
        <w:r w:rsidRPr="004E5170">
          <w:rPr>
            <w:rFonts w:ascii="Century Gothic" w:hAnsi="Century Gothic"/>
            <w:b/>
            <w:bCs/>
            <w:sz w:val="20"/>
            <w:szCs w:val="20"/>
          </w:rPr>
          <w:fldChar w:fldCharType="end"/>
        </w:r>
        <w:r w:rsidR="00136FD3">
          <w:rPr>
            <w:rFonts w:ascii="Century Gothic" w:hAnsi="Century Gothic"/>
            <w:b/>
            <w:bCs/>
            <w:sz w:val="20"/>
            <w:szCs w:val="20"/>
          </w:rPr>
          <w:t xml:space="preserve"> </w:t>
        </w:r>
        <w:r w:rsidR="00136FD3" w:rsidRPr="00136FD3">
          <w:rPr>
            <w:rFonts w:ascii="Century Gothic" w:hAnsi="Century Gothic"/>
            <w:sz w:val="20"/>
            <w:szCs w:val="20"/>
          </w:rPr>
          <w:t>(rev June 2025)</w:t>
        </w:r>
      </w:p>
      <w:p w14:paraId="0A8F25EF" w14:textId="77777777" w:rsidR="000738A9" w:rsidRDefault="00000000">
        <w:pPr>
          <w:pStyle w:val="Header"/>
        </w:pPr>
      </w:p>
    </w:sdtContent>
  </w:sdt>
  <w:p w14:paraId="30AF0795" w14:textId="77777777" w:rsidR="000738A9" w:rsidRDefault="000738A9">
    <w:pPr>
      <w:pStyle w:val="BodyText"/>
      <w:spacing w:line="14" w:lineRule="auto"/>
      <w:ind w:left="0"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B6166"/>
    <w:multiLevelType w:val="hybridMultilevel"/>
    <w:tmpl w:val="9D903A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F8602B"/>
    <w:multiLevelType w:val="hybridMultilevel"/>
    <w:tmpl w:val="1C80B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6328F7"/>
    <w:multiLevelType w:val="hybridMultilevel"/>
    <w:tmpl w:val="90E41588"/>
    <w:lvl w:ilvl="0" w:tplc="5322CB8A">
      <w:numFmt w:val="bullet"/>
      <w:lvlText w:val=""/>
      <w:lvlJc w:val="left"/>
      <w:pPr>
        <w:ind w:left="720" w:hanging="360"/>
      </w:pPr>
      <w:rPr>
        <w:rFonts w:ascii="Symbol" w:eastAsia="Symbol" w:hAnsi="Symbol" w:cs="Symbol" w:hint="default"/>
        <w:spacing w:val="0"/>
        <w:w w:val="100"/>
        <w:lang w:val="en-US" w:eastAsia="en-US" w:bidi="ar-SA"/>
      </w:rPr>
    </w:lvl>
    <w:lvl w:ilvl="1" w:tplc="E5245D00">
      <w:numFmt w:val="bullet"/>
      <w:lvlText w:val="•"/>
      <w:lvlJc w:val="left"/>
      <w:pPr>
        <w:ind w:left="1620" w:hanging="360"/>
      </w:pPr>
      <w:rPr>
        <w:rFonts w:hint="default"/>
        <w:lang w:val="en-US" w:eastAsia="en-US" w:bidi="ar-SA"/>
      </w:rPr>
    </w:lvl>
    <w:lvl w:ilvl="2" w:tplc="4A8E7DA6">
      <w:numFmt w:val="bullet"/>
      <w:lvlText w:val="•"/>
      <w:lvlJc w:val="left"/>
      <w:pPr>
        <w:ind w:left="2520" w:hanging="360"/>
      </w:pPr>
      <w:rPr>
        <w:rFonts w:hint="default"/>
        <w:lang w:val="en-US" w:eastAsia="en-US" w:bidi="ar-SA"/>
      </w:rPr>
    </w:lvl>
    <w:lvl w:ilvl="3" w:tplc="CE1ED9A4">
      <w:numFmt w:val="bullet"/>
      <w:lvlText w:val="•"/>
      <w:lvlJc w:val="left"/>
      <w:pPr>
        <w:ind w:left="3420" w:hanging="360"/>
      </w:pPr>
      <w:rPr>
        <w:rFonts w:hint="default"/>
        <w:lang w:val="en-US" w:eastAsia="en-US" w:bidi="ar-SA"/>
      </w:rPr>
    </w:lvl>
    <w:lvl w:ilvl="4" w:tplc="E6DC1B8E">
      <w:numFmt w:val="bullet"/>
      <w:lvlText w:val="•"/>
      <w:lvlJc w:val="left"/>
      <w:pPr>
        <w:ind w:left="4320" w:hanging="360"/>
      </w:pPr>
      <w:rPr>
        <w:rFonts w:hint="default"/>
        <w:lang w:val="en-US" w:eastAsia="en-US" w:bidi="ar-SA"/>
      </w:rPr>
    </w:lvl>
    <w:lvl w:ilvl="5" w:tplc="5F5CA6C2">
      <w:numFmt w:val="bullet"/>
      <w:lvlText w:val="•"/>
      <w:lvlJc w:val="left"/>
      <w:pPr>
        <w:ind w:left="5220" w:hanging="360"/>
      </w:pPr>
      <w:rPr>
        <w:rFonts w:hint="default"/>
        <w:lang w:val="en-US" w:eastAsia="en-US" w:bidi="ar-SA"/>
      </w:rPr>
    </w:lvl>
    <w:lvl w:ilvl="6" w:tplc="DD106A16">
      <w:numFmt w:val="bullet"/>
      <w:lvlText w:val="•"/>
      <w:lvlJc w:val="left"/>
      <w:pPr>
        <w:ind w:left="6120" w:hanging="360"/>
      </w:pPr>
      <w:rPr>
        <w:rFonts w:hint="default"/>
        <w:lang w:val="en-US" w:eastAsia="en-US" w:bidi="ar-SA"/>
      </w:rPr>
    </w:lvl>
    <w:lvl w:ilvl="7" w:tplc="38D23EDC">
      <w:numFmt w:val="bullet"/>
      <w:lvlText w:val="•"/>
      <w:lvlJc w:val="left"/>
      <w:pPr>
        <w:ind w:left="7020" w:hanging="360"/>
      </w:pPr>
      <w:rPr>
        <w:rFonts w:hint="default"/>
        <w:lang w:val="en-US" w:eastAsia="en-US" w:bidi="ar-SA"/>
      </w:rPr>
    </w:lvl>
    <w:lvl w:ilvl="8" w:tplc="086C67CE">
      <w:numFmt w:val="bullet"/>
      <w:lvlText w:val="•"/>
      <w:lvlJc w:val="left"/>
      <w:pPr>
        <w:ind w:left="7920" w:hanging="360"/>
      </w:pPr>
      <w:rPr>
        <w:rFonts w:hint="default"/>
        <w:lang w:val="en-US" w:eastAsia="en-US" w:bidi="ar-SA"/>
      </w:rPr>
    </w:lvl>
  </w:abstractNum>
  <w:abstractNum w:abstractNumId="3" w15:restartNumberingAfterBreak="0">
    <w:nsid w:val="46E75E32"/>
    <w:multiLevelType w:val="hybridMultilevel"/>
    <w:tmpl w:val="C5D03694"/>
    <w:lvl w:ilvl="0" w:tplc="0409000F">
      <w:start w:val="1"/>
      <w:numFmt w:val="decimal"/>
      <w:lvlText w:val="%1."/>
      <w:lvlJc w:val="left"/>
      <w:pPr>
        <w:ind w:left="1531" w:hanging="360"/>
      </w:pPr>
    </w:lvl>
    <w:lvl w:ilvl="1" w:tplc="04090019" w:tentative="1">
      <w:start w:val="1"/>
      <w:numFmt w:val="lowerLetter"/>
      <w:lvlText w:val="%2."/>
      <w:lvlJc w:val="left"/>
      <w:pPr>
        <w:ind w:left="2251" w:hanging="360"/>
      </w:pPr>
    </w:lvl>
    <w:lvl w:ilvl="2" w:tplc="0409001B" w:tentative="1">
      <w:start w:val="1"/>
      <w:numFmt w:val="lowerRoman"/>
      <w:lvlText w:val="%3."/>
      <w:lvlJc w:val="right"/>
      <w:pPr>
        <w:ind w:left="2971" w:hanging="180"/>
      </w:pPr>
    </w:lvl>
    <w:lvl w:ilvl="3" w:tplc="0409000F" w:tentative="1">
      <w:start w:val="1"/>
      <w:numFmt w:val="decimal"/>
      <w:lvlText w:val="%4."/>
      <w:lvlJc w:val="left"/>
      <w:pPr>
        <w:ind w:left="3691" w:hanging="360"/>
      </w:pPr>
    </w:lvl>
    <w:lvl w:ilvl="4" w:tplc="04090019" w:tentative="1">
      <w:start w:val="1"/>
      <w:numFmt w:val="lowerLetter"/>
      <w:lvlText w:val="%5."/>
      <w:lvlJc w:val="left"/>
      <w:pPr>
        <w:ind w:left="4411" w:hanging="360"/>
      </w:pPr>
    </w:lvl>
    <w:lvl w:ilvl="5" w:tplc="0409001B" w:tentative="1">
      <w:start w:val="1"/>
      <w:numFmt w:val="lowerRoman"/>
      <w:lvlText w:val="%6."/>
      <w:lvlJc w:val="right"/>
      <w:pPr>
        <w:ind w:left="5131" w:hanging="180"/>
      </w:pPr>
    </w:lvl>
    <w:lvl w:ilvl="6" w:tplc="0409000F" w:tentative="1">
      <w:start w:val="1"/>
      <w:numFmt w:val="decimal"/>
      <w:lvlText w:val="%7."/>
      <w:lvlJc w:val="left"/>
      <w:pPr>
        <w:ind w:left="5851" w:hanging="360"/>
      </w:pPr>
    </w:lvl>
    <w:lvl w:ilvl="7" w:tplc="04090019" w:tentative="1">
      <w:start w:val="1"/>
      <w:numFmt w:val="lowerLetter"/>
      <w:lvlText w:val="%8."/>
      <w:lvlJc w:val="left"/>
      <w:pPr>
        <w:ind w:left="6571" w:hanging="360"/>
      </w:pPr>
    </w:lvl>
    <w:lvl w:ilvl="8" w:tplc="0409001B" w:tentative="1">
      <w:start w:val="1"/>
      <w:numFmt w:val="lowerRoman"/>
      <w:lvlText w:val="%9."/>
      <w:lvlJc w:val="right"/>
      <w:pPr>
        <w:ind w:left="7291" w:hanging="180"/>
      </w:pPr>
    </w:lvl>
  </w:abstractNum>
  <w:abstractNum w:abstractNumId="4" w15:restartNumberingAfterBreak="0">
    <w:nsid w:val="586F5875"/>
    <w:multiLevelType w:val="multilevel"/>
    <w:tmpl w:val="7B48E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AB5339"/>
    <w:multiLevelType w:val="hybridMultilevel"/>
    <w:tmpl w:val="82D4A3F8"/>
    <w:lvl w:ilvl="0" w:tplc="0409000F">
      <w:start w:val="1"/>
      <w:numFmt w:val="decimal"/>
      <w:lvlText w:val="%1."/>
      <w:lvlJc w:val="left"/>
      <w:pPr>
        <w:ind w:left="720" w:hanging="360"/>
      </w:pPr>
      <w:rPr>
        <w:rFonts w:hint="default"/>
        <w:b w:val="0"/>
        <w:bCs w:val="0"/>
        <w:i w:val="0"/>
        <w:iCs w:val="0"/>
        <w:spacing w:val="0"/>
        <w:w w:val="100"/>
        <w:sz w:val="24"/>
        <w:szCs w:val="24"/>
        <w:lang w:val="en-US" w:eastAsia="en-US" w:bidi="ar-SA"/>
      </w:rPr>
    </w:lvl>
    <w:lvl w:ilvl="1" w:tplc="2BF22CF4">
      <w:start w:val="1"/>
      <w:numFmt w:val="lowerLetter"/>
      <w:lvlText w:val="%2."/>
      <w:lvlJc w:val="left"/>
      <w:pPr>
        <w:ind w:left="1171" w:hanging="360"/>
      </w:pPr>
      <w:rPr>
        <w:rFonts w:ascii="Palatino Linotype" w:eastAsia="Palatino Linotype" w:hAnsi="Palatino Linotype" w:cs="Palatino Linotype" w:hint="default"/>
        <w:b w:val="0"/>
        <w:bCs w:val="0"/>
        <w:i w:val="0"/>
        <w:iCs w:val="0"/>
        <w:spacing w:val="0"/>
        <w:w w:val="100"/>
        <w:sz w:val="24"/>
        <w:szCs w:val="24"/>
        <w:lang w:val="en-US" w:eastAsia="en-US" w:bidi="ar-SA"/>
      </w:rPr>
    </w:lvl>
    <w:lvl w:ilvl="2" w:tplc="04090001">
      <w:start w:val="1"/>
      <w:numFmt w:val="bullet"/>
      <w:lvlText w:val=""/>
      <w:lvlJc w:val="left"/>
      <w:pPr>
        <w:ind w:left="1440" w:hanging="360"/>
      </w:pPr>
      <w:rPr>
        <w:rFonts w:ascii="Symbol" w:hAnsi="Symbol" w:hint="default"/>
      </w:rPr>
    </w:lvl>
    <w:lvl w:ilvl="3" w:tplc="70C0DB74">
      <w:numFmt w:val="bullet"/>
      <w:lvlText w:val="•"/>
      <w:lvlJc w:val="left"/>
      <w:pPr>
        <w:ind w:left="2520" w:hanging="360"/>
      </w:pPr>
      <w:rPr>
        <w:rFonts w:hint="default"/>
        <w:lang w:val="en-US" w:eastAsia="en-US" w:bidi="ar-SA"/>
      </w:rPr>
    </w:lvl>
    <w:lvl w:ilvl="4" w:tplc="9A52C142">
      <w:numFmt w:val="bullet"/>
      <w:lvlText w:val="•"/>
      <w:lvlJc w:val="left"/>
      <w:pPr>
        <w:ind w:left="3600" w:hanging="360"/>
      </w:pPr>
      <w:rPr>
        <w:rFonts w:hint="default"/>
        <w:lang w:val="en-US" w:eastAsia="en-US" w:bidi="ar-SA"/>
      </w:rPr>
    </w:lvl>
    <w:lvl w:ilvl="5" w:tplc="8702FB66">
      <w:numFmt w:val="bullet"/>
      <w:lvlText w:val="•"/>
      <w:lvlJc w:val="left"/>
      <w:pPr>
        <w:ind w:left="4680" w:hanging="360"/>
      </w:pPr>
      <w:rPr>
        <w:rFonts w:hint="default"/>
        <w:lang w:val="en-US" w:eastAsia="en-US" w:bidi="ar-SA"/>
      </w:rPr>
    </w:lvl>
    <w:lvl w:ilvl="6" w:tplc="03B0C83A">
      <w:numFmt w:val="bullet"/>
      <w:lvlText w:val="•"/>
      <w:lvlJc w:val="left"/>
      <w:pPr>
        <w:ind w:left="5760" w:hanging="360"/>
      </w:pPr>
      <w:rPr>
        <w:rFonts w:hint="default"/>
        <w:lang w:val="en-US" w:eastAsia="en-US" w:bidi="ar-SA"/>
      </w:rPr>
    </w:lvl>
    <w:lvl w:ilvl="7" w:tplc="E9A63736">
      <w:numFmt w:val="bullet"/>
      <w:lvlText w:val="•"/>
      <w:lvlJc w:val="left"/>
      <w:pPr>
        <w:ind w:left="6840" w:hanging="360"/>
      </w:pPr>
      <w:rPr>
        <w:rFonts w:hint="default"/>
        <w:lang w:val="en-US" w:eastAsia="en-US" w:bidi="ar-SA"/>
      </w:rPr>
    </w:lvl>
    <w:lvl w:ilvl="8" w:tplc="5F084350">
      <w:numFmt w:val="bullet"/>
      <w:lvlText w:val="•"/>
      <w:lvlJc w:val="left"/>
      <w:pPr>
        <w:ind w:left="7920" w:hanging="360"/>
      </w:pPr>
      <w:rPr>
        <w:rFonts w:hint="default"/>
        <w:lang w:val="en-US" w:eastAsia="en-US" w:bidi="ar-SA"/>
      </w:rPr>
    </w:lvl>
  </w:abstractNum>
  <w:num w:numId="1" w16cid:durableId="664169880">
    <w:abstractNumId w:val="2"/>
  </w:num>
  <w:num w:numId="2" w16cid:durableId="208567678">
    <w:abstractNumId w:val="5"/>
  </w:num>
  <w:num w:numId="3" w16cid:durableId="59837919">
    <w:abstractNumId w:val="3"/>
  </w:num>
  <w:num w:numId="4" w16cid:durableId="713653503">
    <w:abstractNumId w:val="0"/>
  </w:num>
  <w:num w:numId="5" w16cid:durableId="316962637">
    <w:abstractNumId w:val="1"/>
  </w:num>
  <w:num w:numId="6" w16cid:durableId="17475334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3B3"/>
    <w:rsid w:val="00005C86"/>
    <w:rsid w:val="000247F9"/>
    <w:rsid w:val="000738A9"/>
    <w:rsid w:val="000E6782"/>
    <w:rsid w:val="00136FD3"/>
    <w:rsid w:val="00141862"/>
    <w:rsid w:val="00143F11"/>
    <w:rsid w:val="00177A5E"/>
    <w:rsid w:val="00186DBB"/>
    <w:rsid w:val="001B6ADB"/>
    <w:rsid w:val="00232FB1"/>
    <w:rsid w:val="00245375"/>
    <w:rsid w:val="00270ED2"/>
    <w:rsid w:val="002866A7"/>
    <w:rsid w:val="002B634F"/>
    <w:rsid w:val="002E6660"/>
    <w:rsid w:val="00303DB4"/>
    <w:rsid w:val="0037189D"/>
    <w:rsid w:val="003A15F4"/>
    <w:rsid w:val="003E7418"/>
    <w:rsid w:val="003F4BD6"/>
    <w:rsid w:val="00466410"/>
    <w:rsid w:val="004D63BA"/>
    <w:rsid w:val="004E5CB8"/>
    <w:rsid w:val="00535A12"/>
    <w:rsid w:val="00571ADD"/>
    <w:rsid w:val="005833B3"/>
    <w:rsid w:val="005871CF"/>
    <w:rsid w:val="005D554E"/>
    <w:rsid w:val="00605AE9"/>
    <w:rsid w:val="00611D5F"/>
    <w:rsid w:val="00612CB4"/>
    <w:rsid w:val="00634555"/>
    <w:rsid w:val="00704A2A"/>
    <w:rsid w:val="00720132"/>
    <w:rsid w:val="00773A47"/>
    <w:rsid w:val="007B6457"/>
    <w:rsid w:val="007F2982"/>
    <w:rsid w:val="0083562B"/>
    <w:rsid w:val="00841AC0"/>
    <w:rsid w:val="00842FEC"/>
    <w:rsid w:val="0085167D"/>
    <w:rsid w:val="00866EF3"/>
    <w:rsid w:val="00891A1C"/>
    <w:rsid w:val="008A72D4"/>
    <w:rsid w:val="008A7F88"/>
    <w:rsid w:val="008B1849"/>
    <w:rsid w:val="008D270D"/>
    <w:rsid w:val="009337A3"/>
    <w:rsid w:val="00953724"/>
    <w:rsid w:val="00964D6F"/>
    <w:rsid w:val="009A5C39"/>
    <w:rsid w:val="009F41FA"/>
    <w:rsid w:val="00A405E0"/>
    <w:rsid w:val="00A95F4C"/>
    <w:rsid w:val="00B144B7"/>
    <w:rsid w:val="00B5388B"/>
    <w:rsid w:val="00B63D67"/>
    <w:rsid w:val="00B779A4"/>
    <w:rsid w:val="00B90261"/>
    <w:rsid w:val="00B9428C"/>
    <w:rsid w:val="00C0320E"/>
    <w:rsid w:val="00C06778"/>
    <w:rsid w:val="00C07335"/>
    <w:rsid w:val="00C343C6"/>
    <w:rsid w:val="00C42966"/>
    <w:rsid w:val="00C66DEF"/>
    <w:rsid w:val="00C7537E"/>
    <w:rsid w:val="00CB129A"/>
    <w:rsid w:val="00CB69F6"/>
    <w:rsid w:val="00D07BB5"/>
    <w:rsid w:val="00D24C8A"/>
    <w:rsid w:val="00D2522B"/>
    <w:rsid w:val="00D83316"/>
    <w:rsid w:val="00D94D82"/>
    <w:rsid w:val="00DF1E20"/>
    <w:rsid w:val="00E114AF"/>
    <w:rsid w:val="00E356DD"/>
    <w:rsid w:val="00E458E6"/>
    <w:rsid w:val="00E55E40"/>
    <w:rsid w:val="00E5787C"/>
    <w:rsid w:val="00EB0447"/>
    <w:rsid w:val="00F17AA1"/>
    <w:rsid w:val="00F26759"/>
    <w:rsid w:val="00F51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7FD5C"/>
  <w15:chartTrackingRefBased/>
  <w15:docId w15:val="{89C51582-B604-4FBD-8BE6-A579E6E2E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3B3"/>
    <w:pPr>
      <w:widowControl w:val="0"/>
      <w:autoSpaceDE w:val="0"/>
      <w:autoSpaceDN w:val="0"/>
      <w:spacing w:after="0" w:line="240" w:lineRule="auto"/>
    </w:pPr>
    <w:rPr>
      <w:rFonts w:ascii="Palatino Linotype" w:eastAsia="Palatino Linotype" w:hAnsi="Palatino Linotype" w:cs="Palatino Linotype"/>
      <w:kern w:val="0"/>
      <w:sz w:val="22"/>
      <w:szCs w:val="22"/>
      <w14:ligatures w14:val="none"/>
    </w:rPr>
  </w:style>
  <w:style w:type="paragraph" w:styleId="Heading1">
    <w:name w:val="heading 1"/>
    <w:basedOn w:val="Normal"/>
    <w:next w:val="Normal"/>
    <w:link w:val="Heading1Char"/>
    <w:uiPriority w:val="9"/>
    <w:qFormat/>
    <w:rsid w:val="005833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33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33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33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33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33B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33B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33B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33B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3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33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33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33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33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33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33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33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33B3"/>
    <w:rPr>
      <w:rFonts w:eastAsiaTheme="majorEastAsia" w:cstheme="majorBidi"/>
      <w:color w:val="272727" w:themeColor="text1" w:themeTint="D8"/>
    </w:rPr>
  </w:style>
  <w:style w:type="paragraph" w:styleId="Title">
    <w:name w:val="Title"/>
    <w:basedOn w:val="Normal"/>
    <w:next w:val="Normal"/>
    <w:link w:val="TitleChar"/>
    <w:uiPriority w:val="10"/>
    <w:qFormat/>
    <w:rsid w:val="005833B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33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33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33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33B3"/>
    <w:pPr>
      <w:spacing w:before="160"/>
      <w:jc w:val="center"/>
    </w:pPr>
    <w:rPr>
      <w:i/>
      <w:iCs/>
      <w:color w:val="404040" w:themeColor="text1" w:themeTint="BF"/>
    </w:rPr>
  </w:style>
  <w:style w:type="character" w:customStyle="1" w:styleId="QuoteChar">
    <w:name w:val="Quote Char"/>
    <w:basedOn w:val="DefaultParagraphFont"/>
    <w:link w:val="Quote"/>
    <w:uiPriority w:val="29"/>
    <w:rsid w:val="005833B3"/>
    <w:rPr>
      <w:i/>
      <w:iCs/>
      <w:color w:val="404040" w:themeColor="text1" w:themeTint="BF"/>
    </w:rPr>
  </w:style>
  <w:style w:type="paragraph" w:styleId="ListParagraph">
    <w:name w:val="List Paragraph"/>
    <w:basedOn w:val="Normal"/>
    <w:uiPriority w:val="1"/>
    <w:qFormat/>
    <w:rsid w:val="005833B3"/>
    <w:pPr>
      <w:ind w:left="720"/>
      <w:contextualSpacing/>
    </w:pPr>
  </w:style>
  <w:style w:type="character" w:styleId="IntenseEmphasis">
    <w:name w:val="Intense Emphasis"/>
    <w:basedOn w:val="DefaultParagraphFont"/>
    <w:uiPriority w:val="21"/>
    <w:qFormat/>
    <w:rsid w:val="005833B3"/>
    <w:rPr>
      <w:i/>
      <w:iCs/>
      <w:color w:val="0F4761" w:themeColor="accent1" w:themeShade="BF"/>
    </w:rPr>
  </w:style>
  <w:style w:type="paragraph" w:styleId="IntenseQuote">
    <w:name w:val="Intense Quote"/>
    <w:basedOn w:val="Normal"/>
    <w:next w:val="Normal"/>
    <w:link w:val="IntenseQuoteChar"/>
    <w:uiPriority w:val="30"/>
    <w:qFormat/>
    <w:rsid w:val="005833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33B3"/>
    <w:rPr>
      <w:i/>
      <w:iCs/>
      <w:color w:val="0F4761" w:themeColor="accent1" w:themeShade="BF"/>
    </w:rPr>
  </w:style>
  <w:style w:type="character" w:styleId="IntenseReference">
    <w:name w:val="Intense Reference"/>
    <w:basedOn w:val="DefaultParagraphFont"/>
    <w:uiPriority w:val="32"/>
    <w:qFormat/>
    <w:rsid w:val="005833B3"/>
    <w:rPr>
      <w:b/>
      <w:bCs/>
      <w:smallCaps/>
      <w:color w:val="0F4761" w:themeColor="accent1" w:themeShade="BF"/>
      <w:spacing w:val="5"/>
    </w:rPr>
  </w:style>
  <w:style w:type="paragraph" w:styleId="BodyText">
    <w:name w:val="Body Text"/>
    <w:basedOn w:val="Normal"/>
    <w:link w:val="BodyTextChar"/>
    <w:uiPriority w:val="1"/>
    <w:qFormat/>
    <w:rsid w:val="005833B3"/>
    <w:pPr>
      <w:ind w:left="1171" w:hanging="360"/>
    </w:pPr>
    <w:rPr>
      <w:sz w:val="24"/>
      <w:szCs w:val="24"/>
    </w:rPr>
  </w:style>
  <w:style w:type="character" w:customStyle="1" w:styleId="BodyTextChar">
    <w:name w:val="Body Text Char"/>
    <w:basedOn w:val="DefaultParagraphFont"/>
    <w:link w:val="BodyText"/>
    <w:uiPriority w:val="1"/>
    <w:rsid w:val="005833B3"/>
    <w:rPr>
      <w:rFonts w:ascii="Palatino Linotype" w:eastAsia="Palatino Linotype" w:hAnsi="Palatino Linotype" w:cs="Palatino Linotype"/>
      <w:kern w:val="0"/>
      <w14:ligatures w14:val="none"/>
    </w:rPr>
  </w:style>
  <w:style w:type="paragraph" w:styleId="Header">
    <w:name w:val="header"/>
    <w:basedOn w:val="Normal"/>
    <w:link w:val="HeaderChar"/>
    <w:uiPriority w:val="99"/>
    <w:unhideWhenUsed/>
    <w:rsid w:val="005833B3"/>
    <w:pPr>
      <w:tabs>
        <w:tab w:val="center" w:pos="4680"/>
        <w:tab w:val="right" w:pos="9360"/>
      </w:tabs>
    </w:pPr>
  </w:style>
  <w:style w:type="character" w:customStyle="1" w:styleId="HeaderChar">
    <w:name w:val="Header Char"/>
    <w:basedOn w:val="DefaultParagraphFont"/>
    <w:link w:val="Header"/>
    <w:uiPriority w:val="99"/>
    <w:rsid w:val="005833B3"/>
    <w:rPr>
      <w:rFonts w:ascii="Palatino Linotype" w:eastAsia="Palatino Linotype" w:hAnsi="Palatino Linotype" w:cs="Palatino Linotype"/>
      <w:kern w:val="0"/>
      <w:sz w:val="22"/>
      <w:szCs w:val="22"/>
      <w14:ligatures w14:val="none"/>
    </w:rPr>
  </w:style>
  <w:style w:type="character" w:styleId="FootnoteReference">
    <w:name w:val="footnote reference"/>
    <w:basedOn w:val="DefaultParagraphFont"/>
    <w:uiPriority w:val="99"/>
    <w:semiHidden/>
    <w:unhideWhenUsed/>
    <w:rsid w:val="005833B3"/>
    <w:rPr>
      <w:vertAlign w:val="superscript"/>
    </w:rPr>
  </w:style>
  <w:style w:type="paragraph" w:styleId="FootnoteText">
    <w:name w:val="footnote text"/>
    <w:basedOn w:val="Normal"/>
    <w:link w:val="FootnoteTextChar"/>
    <w:uiPriority w:val="99"/>
    <w:semiHidden/>
    <w:unhideWhenUsed/>
    <w:rsid w:val="005833B3"/>
    <w:rPr>
      <w:sz w:val="20"/>
      <w:szCs w:val="20"/>
    </w:rPr>
  </w:style>
  <w:style w:type="character" w:customStyle="1" w:styleId="FootnoteTextChar">
    <w:name w:val="Footnote Text Char"/>
    <w:basedOn w:val="DefaultParagraphFont"/>
    <w:link w:val="FootnoteText"/>
    <w:uiPriority w:val="99"/>
    <w:semiHidden/>
    <w:rsid w:val="005833B3"/>
    <w:rPr>
      <w:rFonts w:ascii="Palatino Linotype" w:eastAsia="Palatino Linotype" w:hAnsi="Palatino Linotype" w:cs="Palatino Linotype"/>
      <w:kern w:val="0"/>
      <w:sz w:val="20"/>
      <w:szCs w:val="20"/>
      <w14:ligatures w14:val="none"/>
    </w:rPr>
  </w:style>
  <w:style w:type="character" w:styleId="Hyperlink">
    <w:name w:val="Hyperlink"/>
    <w:basedOn w:val="DefaultParagraphFont"/>
    <w:uiPriority w:val="99"/>
    <w:unhideWhenUsed/>
    <w:rsid w:val="005833B3"/>
    <w:rPr>
      <w:color w:val="467886" w:themeColor="hyperlink"/>
      <w:u w:val="single"/>
    </w:rPr>
  </w:style>
  <w:style w:type="paragraph" w:styleId="Footer">
    <w:name w:val="footer"/>
    <w:basedOn w:val="Normal"/>
    <w:link w:val="FooterChar"/>
    <w:uiPriority w:val="99"/>
    <w:unhideWhenUsed/>
    <w:rsid w:val="005833B3"/>
    <w:pPr>
      <w:tabs>
        <w:tab w:val="center" w:pos="4680"/>
        <w:tab w:val="right" w:pos="9360"/>
      </w:tabs>
    </w:pPr>
  </w:style>
  <w:style w:type="character" w:customStyle="1" w:styleId="FooterChar">
    <w:name w:val="Footer Char"/>
    <w:basedOn w:val="DefaultParagraphFont"/>
    <w:link w:val="Footer"/>
    <w:uiPriority w:val="99"/>
    <w:rsid w:val="005833B3"/>
    <w:rPr>
      <w:rFonts w:ascii="Palatino Linotype" w:eastAsia="Palatino Linotype" w:hAnsi="Palatino Linotype" w:cs="Palatino Linotype"/>
      <w:kern w:val="0"/>
      <w:sz w:val="22"/>
      <w:szCs w:val="22"/>
      <w14:ligatures w14:val="none"/>
    </w:rPr>
  </w:style>
  <w:style w:type="character" w:styleId="UnresolvedMention">
    <w:name w:val="Unresolved Mention"/>
    <w:basedOn w:val="DefaultParagraphFont"/>
    <w:uiPriority w:val="99"/>
    <w:semiHidden/>
    <w:unhideWhenUsed/>
    <w:rsid w:val="00C7537E"/>
    <w:rPr>
      <w:color w:val="605E5C"/>
      <w:shd w:val="clear" w:color="auto" w:fill="E1DFDD"/>
    </w:rPr>
  </w:style>
  <w:style w:type="character" w:styleId="FollowedHyperlink">
    <w:name w:val="FollowedHyperlink"/>
    <w:basedOn w:val="DefaultParagraphFont"/>
    <w:uiPriority w:val="99"/>
    <w:semiHidden/>
    <w:unhideWhenUsed/>
    <w:rsid w:val="00F17AA1"/>
    <w:rPr>
      <w:color w:val="96607D" w:themeColor="followedHyperlink"/>
      <w:u w:val="single"/>
    </w:rPr>
  </w:style>
  <w:style w:type="paragraph" w:styleId="Revision">
    <w:name w:val="Revision"/>
    <w:hidden/>
    <w:uiPriority w:val="99"/>
    <w:semiHidden/>
    <w:rsid w:val="0083562B"/>
    <w:pPr>
      <w:spacing w:after="0" w:line="240" w:lineRule="auto"/>
    </w:pPr>
    <w:rPr>
      <w:rFonts w:ascii="Palatino Linotype" w:eastAsia="Palatino Linotype" w:hAnsi="Palatino Linotype" w:cs="Palatino Linotype"/>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905384">
      <w:bodyDiv w:val="1"/>
      <w:marLeft w:val="0"/>
      <w:marRight w:val="0"/>
      <w:marTop w:val="0"/>
      <w:marBottom w:val="0"/>
      <w:divBdr>
        <w:top w:val="none" w:sz="0" w:space="0" w:color="auto"/>
        <w:left w:val="none" w:sz="0" w:space="0" w:color="auto"/>
        <w:bottom w:val="none" w:sz="0" w:space="0" w:color="auto"/>
        <w:right w:val="none" w:sz="0" w:space="0" w:color="auto"/>
      </w:divBdr>
    </w:div>
    <w:div w:id="149121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c.ca.gov/industries-and-topics/internet-and-phone/telecommunications-carrier-types-with-definition" TargetMode="External"/><Relationship Id="rId13" Type="http://schemas.openxmlformats.org/officeDocument/2006/relationships/hyperlink" Target="https://www.cpuc.ca.gov/-/media/cpuc-website/divisions/administrative-law-judge-division/documents/2024-filing-fee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uc.ca.gov/about-cpuc/divisions/administrative-law-judge/practitioners-pag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uc.ca.gov/-/media/cpuc-website/divisions/communications-division/documents/licensing-compliance/licensing-and-registration/createpdfa.pdf" TargetMode="External"/><Relationship Id="rId5" Type="http://schemas.openxmlformats.org/officeDocument/2006/relationships/webSettings" Target="webSettings.xml"/><Relationship Id="rId15" Type="http://schemas.openxmlformats.org/officeDocument/2006/relationships/hyperlink" Target="https://www.cpuc.ca.gov/-/media/cpuc-website/divisions/administrative-law-judge-division/documents/2024-filing-fees.pdf" TargetMode="External"/><Relationship Id="rId10" Type="http://schemas.openxmlformats.org/officeDocument/2006/relationships/hyperlink" Target="https://www.cpuc.ca.gov/proceedings-and-rulemaking/e-file-a-document" TargetMode="External"/><Relationship Id="rId4" Type="http://schemas.openxmlformats.org/officeDocument/2006/relationships/settings" Target="settings.xml"/><Relationship Id="rId9" Type="http://schemas.openxmlformats.org/officeDocument/2006/relationships/hyperlink" Target="https://www.cpuc.ca.gov/industries-and-topics/internet-and-phone/carrier-reporting-requirements/tariff-filing-requirements" TargetMode="External"/><Relationship Id="rId14" Type="http://schemas.openxmlformats.org/officeDocument/2006/relationships/hyperlink" Target="https://www.cpuc.ca.gov/-/media/cpuc-website/divisions/administrative-law-judge-division/documents/2024-filing-fees.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puc.ca.gov/industries-and-topics/internet-and-phone/information-for-telecommunications-applicants-and-registrants-in-california" TargetMode="External"/><Relationship Id="rId2" Type="http://schemas.openxmlformats.org/officeDocument/2006/relationships/hyperlink" Target="https://docs.cpuc.ca.gov/PublishedDocs/WORD_PDF/FINAL_DECISION/81277.PDF" TargetMode="External"/><Relationship Id="rId1" Type="http://schemas.openxmlformats.org/officeDocument/2006/relationships/hyperlink" Target="https://www.cpuc.ca.gov/proceedings-and-rulemaking/e-file-a-document" TargetMode="External"/><Relationship Id="rId4" Type="http://schemas.openxmlformats.org/officeDocument/2006/relationships/hyperlink" Target="https://www.cpuc.ca.gov/industries-and-topics/internet-and-phone/information-for-telecommunications-applicants-and-registrants-in-califor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916A7-F6C5-4868-B98B-6D8E3E386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6</Pages>
  <Words>2155</Words>
  <Characters>12286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Tan-Walsh, Llela</dc:creator>
  <cp:keywords/>
  <dc:description/>
  <cp:lastModifiedBy>Tan-Walsh, Llela</cp:lastModifiedBy>
  <cp:revision>104</cp:revision>
  <dcterms:created xsi:type="dcterms:W3CDTF">2025-06-20T16:14:00Z</dcterms:created>
  <dcterms:modified xsi:type="dcterms:W3CDTF">2025-06-24T16:46:00Z</dcterms:modified>
</cp:coreProperties>
</file>