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2286" w14:textId="61EEB84F" w:rsidR="006658DA" w:rsidRPr="00864C11" w:rsidRDefault="006658DA" w:rsidP="00B1545F">
      <w:pPr>
        <w:ind w:left="180"/>
        <w:jc w:val="center"/>
        <w:rPr>
          <w:b/>
          <w:bCs/>
        </w:rPr>
      </w:pPr>
      <w:r w:rsidRPr="00864C11">
        <w:rPr>
          <w:b/>
          <w:bCs/>
        </w:rPr>
        <w:t>Calculation of the Market Price Benchmarks for the Power Charge Indifference Adjustment Forecast and True Up</w:t>
      </w:r>
    </w:p>
    <w:p w14:paraId="225941A1" w14:textId="77777777" w:rsidR="006658DA" w:rsidRPr="00864C11" w:rsidRDefault="006658DA" w:rsidP="006658DA"/>
    <w:p w14:paraId="553773E3" w14:textId="308CD286" w:rsidR="006658DA" w:rsidRPr="00864C11" w:rsidRDefault="00B24B8A" w:rsidP="5837A3C5">
      <w:pPr>
        <w:jc w:val="center"/>
      </w:pPr>
      <w:r>
        <w:t xml:space="preserve">November </w:t>
      </w:r>
      <w:r w:rsidR="186CDB47">
        <w:t>1</w:t>
      </w:r>
      <w:r w:rsidR="006F004A">
        <w:t>, 20</w:t>
      </w:r>
      <w:r w:rsidR="006F5651">
        <w:t>2</w:t>
      </w:r>
      <w:r w:rsidR="22ECF77F">
        <w:t>1</w:t>
      </w:r>
    </w:p>
    <w:p w14:paraId="4C4282F1" w14:textId="77777777" w:rsidR="00312C90" w:rsidRDefault="00312C90" w:rsidP="006658DA">
      <w:pPr>
        <w:jc w:val="both"/>
      </w:pPr>
    </w:p>
    <w:p w14:paraId="4792F5A3" w14:textId="6AAD4600" w:rsidR="006658DA" w:rsidRPr="00864C11" w:rsidRDefault="006658DA" w:rsidP="5837A3C5">
      <w:pPr>
        <w:jc w:val="both"/>
      </w:pPr>
      <w:r w:rsidRPr="00864C11">
        <w:t xml:space="preserve">Pursuant to Decision (D) 19-10-001, Energy Division </w:t>
      </w:r>
      <w:r w:rsidR="006F004A" w:rsidRPr="00864C11">
        <w:t>issu</w:t>
      </w:r>
      <w:r w:rsidR="00047987">
        <w:t>es</w:t>
      </w:r>
      <w:r w:rsidR="006F004A" w:rsidRPr="00864C11">
        <w:t xml:space="preserve"> the following</w:t>
      </w:r>
      <w:r w:rsidRPr="00864C11">
        <w:t xml:space="preserve"> values for the</w:t>
      </w:r>
      <w:r w:rsidR="006F004A" w:rsidRPr="00864C11">
        <w:t xml:space="preserve"> Power Charge Indifference Adjustment</w:t>
      </w:r>
      <w:r w:rsidR="00047987">
        <w:t xml:space="preserve"> (</w:t>
      </w:r>
      <w:r w:rsidR="00047987" w:rsidRPr="00864C11">
        <w:t>PCIA</w:t>
      </w:r>
      <w:r w:rsidR="00047987">
        <w:t>)</w:t>
      </w:r>
      <w:r w:rsidR="006F004A" w:rsidRPr="00864C11">
        <w:t xml:space="preserve"> Forecast and True Up to be used as inputs in </w:t>
      </w:r>
      <w:r w:rsidR="00CF231C" w:rsidRPr="00864C11">
        <w:t>utilities 202</w:t>
      </w:r>
      <w:r w:rsidR="00F7600C">
        <w:t>1</w:t>
      </w:r>
      <w:r w:rsidR="00CF231C" w:rsidRPr="00864C11">
        <w:t xml:space="preserve"> </w:t>
      </w:r>
      <w:r w:rsidR="004B03AA" w:rsidRPr="004B03AA">
        <w:t xml:space="preserve">Energy Resource Recovery Account </w:t>
      </w:r>
      <w:r w:rsidR="004B03AA">
        <w:t>(</w:t>
      </w:r>
      <w:r w:rsidR="00CF231C" w:rsidRPr="00864C11">
        <w:t>ERRA</w:t>
      </w:r>
      <w:r w:rsidR="004B03AA">
        <w:t>)</w:t>
      </w:r>
      <w:r w:rsidR="00CF231C" w:rsidRPr="00864C11">
        <w:t xml:space="preserve"> Forecast Updates in early November </w:t>
      </w:r>
      <w:r w:rsidR="0058160D" w:rsidRPr="00864C11">
        <w:t>20</w:t>
      </w:r>
      <w:r w:rsidR="0058160D">
        <w:t>2</w:t>
      </w:r>
      <w:r w:rsidR="5F2D5893">
        <w:t>1</w:t>
      </w:r>
      <w:r w:rsidR="00B2159F" w:rsidRPr="00864C11">
        <w:t xml:space="preserve">.  </w:t>
      </w:r>
      <w:r w:rsidR="006F004A" w:rsidRPr="00864C11">
        <w:t>The PCIA include</w:t>
      </w:r>
      <w:r w:rsidR="006C6062">
        <w:t>s</w:t>
      </w:r>
      <w:r w:rsidR="006F004A" w:rsidRPr="00864C11">
        <w:t xml:space="preserve"> the</w:t>
      </w:r>
      <w:r w:rsidRPr="00864C11">
        <w:t xml:space="preserve"> Market Price Benchmarks</w:t>
      </w:r>
      <w:r w:rsidR="006C6062">
        <w:t xml:space="preserve"> of</w:t>
      </w:r>
      <w:r w:rsidRPr="00864C11">
        <w:t xml:space="preserve"> the Renewable Portfolio Standard (RPS) Adder, and the Resource Adequacy (RA) Adders</w:t>
      </w:r>
      <w:r w:rsidR="00CF5DBC" w:rsidRPr="00864C11">
        <w:t xml:space="preserve"> and Energy Index</w:t>
      </w:r>
      <w:r w:rsidR="006F004A" w:rsidRPr="00864C11">
        <w:t xml:space="preserve">, as defined in </w:t>
      </w:r>
      <w:r w:rsidR="006C6062">
        <w:t>the decision</w:t>
      </w:r>
      <w:r w:rsidRPr="00864C11">
        <w:t>.</w:t>
      </w:r>
      <w:r w:rsidR="00CF5DBC" w:rsidRPr="00864C11">
        <w:rPr>
          <w:rStyle w:val="FootnoteReference"/>
        </w:rPr>
        <w:footnoteReference w:id="2"/>
      </w:r>
      <w:r w:rsidRPr="00864C11">
        <w:t xml:space="preserve"> </w:t>
      </w:r>
      <w:r w:rsidR="009B1B00" w:rsidRPr="00864C11">
        <w:t>D</w:t>
      </w:r>
      <w:r w:rsidR="006C6062">
        <w:t>.</w:t>
      </w:r>
      <w:r w:rsidRPr="00864C11">
        <w:t>19-10-001 directed Energy Division to complete the calculation of these values by the first business day in November each year, and to make the results available to interested parties</w:t>
      </w:r>
      <w:r w:rsidR="00B2159F" w:rsidRPr="00864C11">
        <w:t xml:space="preserve">.  </w:t>
      </w:r>
      <w:r w:rsidRPr="00864C11">
        <w:t>The results of these calculations are shown in the tables below.</w:t>
      </w:r>
    </w:p>
    <w:p w14:paraId="202270DD" w14:textId="00AC9648" w:rsidR="009B0665" w:rsidRDefault="009B0665" w:rsidP="5837A3C5">
      <w:pPr>
        <w:jc w:val="both"/>
      </w:pPr>
    </w:p>
    <w:p w14:paraId="50DA96CA" w14:textId="1241735B" w:rsidR="00357124" w:rsidRPr="00864C11" w:rsidRDefault="00357124" w:rsidP="004B03AA">
      <w:pPr>
        <w:spacing w:after="240"/>
        <w:jc w:val="center"/>
      </w:pPr>
      <w:r>
        <w:rPr>
          <w:b/>
          <w:bCs/>
          <w:color w:val="000000"/>
          <w:sz w:val="22"/>
          <w:szCs w:val="22"/>
        </w:rPr>
        <w:t xml:space="preserve">Table 1. </w:t>
      </w:r>
      <w:r w:rsidRPr="001A2822">
        <w:rPr>
          <w:b/>
          <w:bCs/>
          <w:color w:val="000000"/>
          <w:sz w:val="22"/>
          <w:szCs w:val="22"/>
        </w:rPr>
        <w:t>Market Price Benchmarks Used in PCIA</w:t>
      </w:r>
    </w:p>
    <w:tbl>
      <w:tblPr>
        <w:tblW w:w="8142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430"/>
        <w:gridCol w:w="1013"/>
        <w:gridCol w:w="1944"/>
        <w:gridCol w:w="1085"/>
        <w:gridCol w:w="2022"/>
      </w:tblGrid>
      <w:tr w:rsidR="00670E2E" w:rsidRPr="00864C11" w14:paraId="03A89878" w14:textId="77777777" w:rsidTr="006D5EA9">
        <w:trPr>
          <w:trHeight w:val="352"/>
          <w:jc w:val="center"/>
        </w:trPr>
        <w:tc>
          <w:tcPr>
            <w:tcW w:w="814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DEF6A4" w14:textId="5CF6F9D1" w:rsidR="00670E2E" w:rsidRPr="001A2822" w:rsidRDefault="00670E2E" w:rsidP="5837A3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 </w:t>
            </w:r>
            <w:r w:rsidRPr="5837A3C5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4E0B173" w:rsidRPr="5837A3C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5837A3C5">
              <w:rPr>
                <w:b/>
                <w:bCs/>
                <w:color w:val="000000" w:themeColor="text1"/>
                <w:sz w:val="22"/>
                <w:szCs w:val="22"/>
              </w:rPr>
              <w:t xml:space="preserve"> Final Adders</w:t>
            </w:r>
          </w:p>
        </w:tc>
      </w:tr>
      <w:tr w:rsidR="00670E2E" w:rsidRPr="00864C11" w14:paraId="0C67CCCD" w14:textId="77777777" w:rsidTr="006D5EA9">
        <w:trPr>
          <w:trHeight w:val="346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DF17B" w14:textId="4E8F4DB8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5FD3C" w14:textId="42F92105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CDE" w14:textId="77777777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PG&amp;E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5D8" w14:textId="77777777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SCE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BD719" w14:textId="77777777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SDG&amp;E</w:t>
            </w:r>
          </w:p>
        </w:tc>
      </w:tr>
      <w:tr w:rsidR="00766554" w:rsidRPr="00864C11" w14:paraId="5BF541CC" w14:textId="77777777" w:rsidTr="006D5EA9">
        <w:trPr>
          <w:trHeight w:val="498"/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89E" w14:textId="77777777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RA Adder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578F" w14:textId="06EC24BC" w:rsidR="00670E2E" w:rsidRPr="004B03AA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System RA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F12B6A3" w14:textId="75D45956" w:rsidR="00670E2E" w:rsidRPr="001A2822" w:rsidRDefault="5D0D68A7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5C1A6DDB" w:rsidRPr="5837A3C5">
              <w:rPr>
                <w:color w:val="000000" w:themeColor="text1"/>
                <w:sz w:val="22"/>
                <w:szCs w:val="22"/>
              </w:rPr>
              <w:t>7.33</w:t>
            </w:r>
          </w:p>
        </w:tc>
      </w:tr>
      <w:tr w:rsidR="00766554" w:rsidRPr="00864C11" w14:paraId="2C314DB0" w14:textId="77777777" w:rsidTr="006D5EA9">
        <w:trPr>
          <w:trHeight w:val="498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EA289A" w14:textId="77777777" w:rsidR="00670E2E" w:rsidRPr="001A2822" w:rsidRDefault="00670E2E" w:rsidP="00694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D46" w14:textId="2A05FC87" w:rsidR="00670E2E" w:rsidRPr="004B03AA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Local RA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267" w14:textId="67B1E342" w:rsidR="00670E2E" w:rsidRPr="001A2822" w:rsidRDefault="5A2ACE38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77545FAA" w:rsidRPr="5837A3C5">
              <w:rPr>
                <w:color w:val="000000" w:themeColor="text1"/>
                <w:sz w:val="22"/>
                <w:szCs w:val="22"/>
              </w:rPr>
              <w:t>6.31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160" w14:textId="7C66A8FB" w:rsidR="00670E2E" w:rsidRPr="001A2822" w:rsidRDefault="7F1D09A5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6CAC1044" w:rsidRPr="5837A3C5">
              <w:rPr>
                <w:color w:val="000000" w:themeColor="text1"/>
                <w:sz w:val="22"/>
                <w:szCs w:val="22"/>
              </w:rPr>
              <w:t>6.46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E8BC" w14:textId="744857BD" w:rsidR="00670E2E" w:rsidRPr="001A2822" w:rsidRDefault="5BF5AFD0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7CA2A6A5" w:rsidRPr="5837A3C5">
              <w:rPr>
                <w:color w:val="000000" w:themeColor="text1"/>
                <w:sz w:val="22"/>
                <w:szCs w:val="22"/>
              </w:rPr>
              <w:t>5.93</w:t>
            </w:r>
          </w:p>
        </w:tc>
      </w:tr>
      <w:tr w:rsidR="00670E2E" w:rsidRPr="00864C11" w14:paraId="370DD7DC" w14:textId="77777777" w:rsidTr="006D5EA9">
        <w:trPr>
          <w:trHeight w:val="498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7E2729" w14:textId="77777777" w:rsidR="00670E2E" w:rsidRPr="001A2822" w:rsidRDefault="00670E2E" w:rsidP="00ED0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202" w14:textId="4C1DB8F5" w:rsidR="00670E2E" w:rsidRPr="004B03AA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Flexible RA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2301EF" w14:textId="618F7A51" w:rsidR="00670E2E" w:rsidRPr="001A2822" w:rsidRDefault="0593CDBB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62EFCCE9" w:rsidRPr="5837A3C5">
              <w:rPr>
                <w:color w:val="000000" w:themeColor="text1"/>
                <w:sz w:val="22"/>
                <w:szCs w:val="22"/>
              </w:rPr>
              <w:t>5.39</w:t>
            </w:r>
          </w:p>
        </w:tc>
      </w:tr>
      <w:tr w:rsidR="00670E2E" w:rsidRPr="00864C11" w14:paraId="0C471641" w14:textId="77777777" w:rsidTr="006D5EA9">
        <w:trPr>
          <w:trHeight w:val="498"/>
          <w:jc w:val="center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FBE0" w14:textId="4C50C148" w:rsidR="00670E2E" w:rsidRPr="001A2822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RPS Adder</w:t>
            </w:r>
          </w:p>
          <w:p w14:paraId="21DB3893" w14:textId="5185B19E" w:rsidR="00670E2E" w:rsidRPr="001A2822" w:rsidRDefault="00670E2E" w:rsidP="00694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55A8257" w14:textId="39E9A776" w:rsidR="00670E2E" w:rsidRPr="001A2822" w:rsidRDefault="3A9DD868" w:rsidP="7AFFF969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$1</w:t>
            </w:r>
            <w:r w:rsidR="423975D0" w:rsidRPr="7AFFF969">
              <w:rPr>
                <w:color w:val="000000" w:themeColor="text1"/>
                <w:sz w:val="22"/>
                <w:szCs w:val="22"/>
              </w:rPr>
              <w:t>4.23</w:t>
            </w:r>
          </w:p>
        </w:tc>
      </w:tr>
    </w:tbl>
    <w:p w14:paraId="62F3543A" w14:textId="48AFE717" w:rsidR="00624B17" w:rsidRDefault="00624B17" w:rsidP="7AFFF969">
      <w:pPr>
        <w:jc w:val="center"/>
      </w:pPr>
    </w:p>
    <w:tbl>
      <w:tblPr>
        <w:tblW w:w="8165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55"/>
        <w:gridCol w:w="1507"/>
        <w:gridCol w:w="1982"/>
        <w:gridCol w:w="1195"/>
        <w:gridCol w:w="1798"/>
      </w:tblGrid>
      <w:tr w:rsidR="00670E2E" w:rsidRPr="00864C11" w14:paraId="39DF7A3C" w14:textId="77777777" w:rsidTr="006D5EA9">
        <w:trPr>
          <w:trHeight w:val="373"/>
          <w:jc w:val="center"/>
        </w:trPr>
        <w:tc>
          <w:tcPr>
            <w:tcW w:w="816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21E" w14:textId="4495F8CA" w:rsidR="00670E2E" w:rsidRPr="001A2822" w:rsidRDefault="00670E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5837A3C5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6B437FE3" w:rsidRPr="5837A3C5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5837A3C5">
              <w:rPr>
                <w:b/>
                <w:bCs/>
                <w:color w:val="000000" w:themeColor="text1"/>
                <w:sz w:val="22"/>
                <w:szCs w:val="22"/>
              </w:rPr>
              <w:t xml:space="preserve"> Forecast Adders</w:t>
            </w:r>
          </w:p>
        </w:tc>
      </w:tr>
      <w:tr w:rsidR="00670E2E" w:rsidRPr="00864C11" w14:paraId="24B84ADE" w14:textId="77777777" w:rsidTr="006D5EA9">
        <w:trPr>
          <w:trHeight w:val="355"/>
          <w:jc w:val="center"/>
        </w:trPr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11315" w14:textId="5C44C145" w:rsidR="00670E2E" w:rsidRPr="001A2822" w:rsidRDefault="00670E2E" w:rsidP="00694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5EAD1" w14:textId="77777777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3C3" w14:textId="77777777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PG&amp;E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16C0" w14:textId="77777777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SCE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AA7B4" w14:textId="77777777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SDG&amp;E</w:t>
            </w:r>
          </w:p>
        </w:tc>
      </w:tr>
      <w:tr w:rsidR="00670E2E" w:rsidRPr="00864C11" w14:paraId="1C0DAC68" w14:textId="77777777" w:rsidTr="006D5EA9">
        <w:trPr>
          <w:trHeight w:val="512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E60A" w14:textId="77777777" w:rsidR="00670E2E" w:rsidRPr="001A2822" w:rsidRDefault="00670E2E" w:rsidP="00766554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 xml:space="preserve">Energy </w:t>
            </w:r>
            <w:r w:rsidRPr="001A2822">
              <w:rPr>
                <w:color w:val="000000"/>
                <w:sz w:val="22"/>
                <w:szCs w:val="22"/>
              </w:rPr>
              <w:t>Index</w:t>
            </w:r>
            <w:r>
              <w:rPr>
                <w:rStyle w:val="FootnoteReference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DABB" w14:textId="77777777" w:rsidR="00670E2E" w:rsidRPr="00FE7A3C" w:rsidRDefault="00670E2E" w:rsidP="00766554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On-Peak</w:t>
            </w:r>
          </w:p>
        </w:tc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349E" w14:textId="54476051" w:rsidR="00670E2E" w:rsidRPr="001A2822" w:rsidRDefault="00670E2E" w:rsidP="7AFFF969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</w:t>
            </w:r>
            <w:r w:rsidR="5AAAAB19" w:rsidRPr="7AFFF969">
              <w:rPr>
                <w:color w:val="000000" w:themeColor="text1"/>
                <w:sz w:val="22"/>
                <w:szCs w:val="22"/>
              </w:rPr>
              <w:t>7</w:t>
            </w:r>
            <w:r w:rsidR="6CC114A5" w:rsidRPr="7AFFF969">
              <w:rPr>
                <w:color w:val="000000" w:themeColor="text1"/>
                <w:sz w:val="22"/>
                <w:szCs w:val="22"/>
              </w:rPr>
              <w:t>2</w:t>
            </w:r>
            <w:r w:rsidR="5AAAAB19" w:rsidRPr="7AFFF969">
              <w:rPr>
                <w:color w:val="000000" w:themeColor="text1"/>
                <w:sz w:val="22"/>
                <w:szCs w:val="22"/>
              </w:rPr>
              <w:t>.</w:t>
            </w:r>
            <w:r w:rsidR="0876DF2F" w:rsidRPr="7AFFF969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4E77" w14:textId="5CDC8EC8" w:rsidR="00670E2E" w:rsidRPr="001A2822" w:rsidRDefault="463122FC" w:rsidP="7AFFF969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</w:t>
            </w:r>
            <w:r w:rsidR="65151F59" w:rsidRPr="7AFFF969">
              <w:rPr>
                <w:color w:val="000000" w:themeColor="text1"/>
                <w:sz w:val="22"/>
                <w:szCs w:val="22"/>
              </w:rPr>
              <w:t>71.72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067F" w14:textId="2A3305FD" w:rsidR="00670E2E" w:rsidRPr="001A2822" w:rsidRDefault="0125A767" w:rsidP="7AFFF969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$71.72</w:t>
            </w:r>
          </w:p>
        </w:tc>
      </w:tr>
      <w:tr w:rsidR="009426D7" w:rsidRPr="00864C11" w14:paraId="23F2CA0D" w14:textId="77777777" w:rsidTr="006D5EA9">
        <w:trPr>
          <w:trHeight w:val="512"/>
          <w:jc w:val="center"/>
        </w:trPr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9BD5E4" w14:textId="77777777" w:rsidR="00670E2E" w:rsidRPr="00C7643C" w:rsidRDefault="00670E2E" w:rsidP="009426D7">
            <w:pPr>
              <w:pStyle w:val="ListParagraph"/>
              <w:ind w:left="44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69F1" w14:textId="77777777" w:rsidR="00670E2E" w:rsidRPr="00FE7A3C" w:rsidRDefault="00670E2E" w:rsidP="009426D7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Off-Peak</w:t>
            </w:r>
          </w:p>
        </w:tc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FB6D" w14:textId="57D7348C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</w:t>
            </w:r>
            <w:r w:rsidR="13C1BA04" w:rsidRPr="7AFFF969">
              <w:rPr>
                <w:color w:val="000000" w:themeColor="text1"/>
                <w:sz w:val="22"/>
                <w:szCs w:val="22"/>
              </w:rPr>
              <w:t>5</w:t>
            </w:r>
            <w:r w:rsidR="66DEB063" w:rsidRPr="7AFFF969">
              <w:rPr>
                <w:color w:val="000000" w:themeColor="text1"/>
                <w:sz w:val="22"/>
                <w:szCs w:val="22"/>
              </w:rPr>
              <w:t>8.34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32E8" w14:textId="76D15989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</w:t>
            </w:r>
            <w:r w:rsidR="2FDDFC31" w:rsidRPr="7AFFF969">
              <w:rPr>
                <w:color w:val="000000" w:themeColor="text1"/>
                <w:sz w:val="22"/>
                <w:szCs w:val="22"/>
              </w:rPr>
              <w:t>56.53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B7F" w14:textId="579A51B9" w:rsidR="00670E2E" w:rsidRPr="001A2822" w:rsidRDefault="00670E2E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</w:t>
            </w:r>
            <w:r w:rsidR="0B602838" w:rsidRPr="7AFFF969">
              <w:rPr>
                <w:color w:val="000000" w:themeColor="text1"/>
                <w:sz w:val="22"/>
                <w:szCs w:val="22"/>
              </w:rPr>
              <w:t>5</w:t>
            </w:r>
            <w:r w:rsidR="6E258362" w:rsidRPr="7AFFF969">
              <w:rPr>
                <w:color w:val="000000" w:themeColor="text1"/>
                <w:sz w:val="22"/>
                <w:szCs w:val="22"/>
              </w:rPr>
              <w:t>6.53</w:t>
            </w:r>
          </w:p>
        </w:tc>
      </w:tr>
      <w:tr w:rsidR="00766554" w:rsidRPr="00864C11" w14:paraId="70245634" w14:textId="77777777" w:rsidTr="006D5EA9">
        <w:trPr>
          <w:trHeight w:val="512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772" w14:textId="77777777" w:rsidR="00670E2E" w:rsidRPr="001A2822" w:rsidRDefault="00670E2E" w:rsidP="009426D7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RA Adder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0845" w14:textId="77777777" w:rsidR="00670E2E" w:rsidRPr="004B03AA" w:rsidRDefault="00670E2E" w:rsidP="009426D7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System RA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4562052" w14:textId="2963CD93" w:rsidR="00670E2E" w:rsidRPr="001A2822" w:rsidRDefault="24C0E0C0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00670E2E" w:rsidRPr="5837A3C5">
              <w:rPr>
                <w:color w:val="000000" w:themeColor="text1"/>
                <w:sz w:val="22"/>
                <w:szCs w:val="22"/>
              </w:rPr>
              <w:t>6.</w:t>
            </w:r>
            <w:r w:rsidR="3E6F897A" w:rsidRPr="5837A3C5"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  <w:tr w:rsidR="00766554" w:rsidRPr="00864C11" w14:paraId="78460436" w14:textId="77777777" w:rsidTr="006D5EA9">
        <w:trPr>
          <w:trHeight w:val="512"/>
          <w:jc w:val="center"/>
        </w:trPr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0BFC35" w14:textId="77777777" w:rsidR="00670E2E" w:rsidRPr="001A2822" w:rsidRDefault="00670E2E" w:rsidP="00942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45B6" w14:textId="77777777" w:rsidR="00670E2E" w:rsidRPr="004B03AA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Local RA</w:t>
            </w: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2365" w14:textId="67C86AA4" w:rsidR="00670E2E" w:rsidRPr="001A2822" w:rsidRDefault="39257381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00670E2E" w:rsidRPr="5837A3C5">
              <w:rPr>
                <w:color w:val="000000" w:themeColor="text1"/>
                <w:sz w:val="22"/>
                <w:szCs w:val="22"/>
              </w:rPr>
              <w:t>6.</w:t>
            </w:r>
            <w:r w:rsidR="265710CC" w:rsidRPr="5837A3C5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B015" w14:textId="005311DE" w:rsidR="00670E2E" w:rsidRPr="001A2822" w:rsidRDefault="767A271A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00670E2E" w:rsidRPr="5837A3C5">
              <w:rPr>
                <w:color w:val="000000" w:themeColor="text1"/>
                <w:sz w:val="22"/>
                <w:szCs w:val="22"/>
              </w:rPr>
              <w:t>6.</w:t>
            </w:r>
            <w:r w:rsidR="4BBB23AD" w:rsidRPr="5837A3C5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0007" w14:textId="18685474" w:rsidR="00670E2E" w:rsidRPr="001A2822" w:rsidRDefault="702FC082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39B419AC" w:rsidRPr="5837A3C5">
              <w:rPr>
                <w:color w:val="000000" w:themeColor="text1"/>
                <w:sz w:val="22"/>
                <w:szCs w:val="22"/>
              </w:rPr>
              <w:t>6.36</w:t>
            </w:r>
          </w:p>
        </w:tc>
      </w:tr>
      <w:tr w:rsidR="00670E2E" w:rsidRPr="00864C11" w14:paraId="688D3595" w14:textId="77777777" w:rsidTr="006D5EA9">
        <w:trPr>
          <w:trHeight w:val="512"/>
          <w:jc w:val="center"/>
        </w:trPr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1C896D" w14:textId="77777777" w:rsidR="00670E2E" w:rsidRPr="001A2822" w:rsidRDefault="00670E2E" w:rsidP="00942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E41B" w14:textId="77777777" w:rsidR="00670E2E" w:rsidRPr="004B03AA" w:rsidRDefault="00670E2E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Flexible RA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CB9A8E" w14:textId="555CAEFF" w:rsidR="00670E2E" w:rsidRPr="001A2822" w:rsidRDefault="6B65895A" w:rsidP="5837A3C5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$</w:t>
            </w:r>
            <w:r w:rsidR="6AFFFA74" w:rsidRPr="5837A3C5">
              <w:rPr>
                <w:color w:val="000000" w:themeColor="text1"/>
                <w:sz w:val="22"/>
                <w:szCs w:val="22"/>
              </w:rPr>
              <w:t>6.41</w:t>
            </w:r>
          </w:p>
        </w:tc>
      </w:tr>
      <w:tr w:rsidR="00670E2E" w:rsidRPr="00864C11" w14:paraId="79874F15" w14:textId="77777777" w:rsidTr="006D5EA9">
        <w:trPr>
          <w:trHeight w:val="512"/>
          <w:jc w:val="center"/>
        </w:trPr>
        <w:tc>
          <w:tcPr>
            <w:tcW w:w="31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87B3" w14:textId="77777777" w:rsidR="00670E2E" w:rsidRPr="001A2822" w:rsidRDefault="00670E2E" w:rsidP="009426D7">
            <w:pPr>
              <w:jc w:val="center"/>
              <w:rPr>
                <w:color w:val="000000"/>
                <w:sz w:val="22"/>
                <w:szCs w:val="22"/>
              </w:rPr>
            </w:pPr>
            <w:r w:rsidRPr="5837A3C5">
              <w:rPr>
                <w:color w:val="000000" w:themeColor="text1"/>
                <w:sz w:val="22"/>
                <w:szCs w:val="22"/>
              </w:rPr>
              <w:t>RPS Adder</w:t>
            </w:r>
          </w:p>
          <w:p w14:paraId="155B8717" w14:textId="77777777" w:rsidR="00670E2E" w:rsidRPr="001A2822" w:rsidRDefault="00670E2E" w:rsidP="007514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5A4582" w14:textId="171F90FB" w:rsidR="00670E2E" w:rsidRPr="001A2822" w:rsidRDefault="00670E2E" w:rsidP="7AFFF969">
            <w:pPr>
              <w:jc w:val="center"/>
              <w:rPr>
                <w:color w:val="000000"/>
                <w:sz w:val="22"/>
                <w:szCs w:val="22"/>
              </w:rPr>
            </w:pPr>
            <w:r w:rsidRPr="7AFFF969">
              <w:rPr>
                <w:color w:val="000000" w:themeColor="text1"/>
                <w:sz w:val="22"/>
                <w:szCs w:val="22"/>
              </w:rPr>
              <w:t>$</w:t>
            </w:r>
            <w:r w:rsidR="57797F77" w:rsidRPr="7AFFF969">
              <w:rPr>
                <w:color w:val="000000" w:themeColor="text1"/>
                <w:sz w:val="22"/>
                <w:szCs w:val="22"/>
              </w:rPr>
              <w:t>13.7</w:t>
            </w:r>
            <w:r w:rsidR="6F102711" w:rsidRPr="7AFFF96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5D2EAAE4" w14:textId="77777777" w:rsidR="00C74486" w:rsidRDefault="00C74486" w:rsidP="006658DA">
      <w:pPr>
        <w:jc w:val="both"/>
      </w:pPr>
    </w:p>
    <w:p w14:paraId="508D17ED" w14:textId="77777777" w:rsidR="00C74486" w:rsidRDefault="00C74486" w:rsidP="006658DA">
      <w:pPr>
        <w:jc w:val="both"/>
      </w:pPr>
    </w:p>
    <w:p w14:paraId="7E1E32B8" w14:textId="028382CB" w:rsidR="5837A3C5" w:rsidRDefault="5837A3C5"/>
    <w:p w14:paraId="1F41316D" w14:textId="015C13A1" w:rsidR="001A2822" w:rsidRPr="00312C90" w:rsidRDefault="00312C90" w:rsidP="006658DA">
      <w:pPr>
        <w:jc w:val="both"/>
        <w:rPr>
          <w:u w:val="single"/>
        </w:rPr>
      </w:pPr>
      <w:r w:rsidRPr="001A2822">
        <w:rPr>
          <w:b/>
          <w:bCs/>
          <w:color w:val="000000"/>
          <w:sz w:val="22"/>
          <w:szCs w:val="22"/>
          <w:u w:val="single"/>
        </w:rPr>
        <w:lastRenderedPageBreak/>
        <w:t>Market Price Benchmarks</w:t>
      </w:r>
    </w:p>
    <w:p w14:paraId="261533CB" w14:textId="77777777" w:rsidR="00F45C93" w:rsidRPr="00864C11" w:rsidRDefault="00F45C93" w:rsidP="006658DA">
      <w:pPr>
        <w:jc w:val="both"/>
      </w:pPr>
    </w:p>
    <w:p w14:paraId="779B3668" w14:textId="78CB04DE" w:rsidR="00F45C93" w:rsidRPr="00864C11" w:rsidRDefault="00122B33" w:rsidP="5837A3C5">
      <w:pPr>
        <w:jc w:val="both"/>
      </w:pPr>
      <w:r>
        <w:t xml:space="preserve">The calculation of the PCIA was established in </w:t>
      </w:r>
      <w:r w:rsidRPr="00312C90">
        <w:t>D</w:t>
      </w:r>
      <w:r w:rsidR="00173789">
        <w:t>.</w:t>
      </w:r>
      <w:r w:rsidR="00173789" w:rsidRPr="0037229C">
        <w:t>11-12-018</w:t>
      </w:r>
      <w:r>
        <w:t xml:space="preserve"> and </w:t>
      </w:r>
      <w:r w:rsidR="00173789">
        <w:t xml:space="preserve">has most recently been </w:t>
      </w:r>
      <w:r>
        <w:t xml:space="preserve">refined in </w:t>
      </w:r>
      <w:r w:rsidRPr="00312C90">
        <w:t>D</w:t>
      </w:r>
      <w:r>
        <w:t>.</w:t>
      </w:r>
      <w:r w:rsidRPr="00312C90">
        <w:t>19-10-001</w:t>
      </w:r>
      <w:r>
        <w:t>.</w:t>
      </w:r>
      <w:r>
        <w:rPr>
          <w:rStyle w:val="FootnoteReference"/>
        </w:rPr>
        <w:footnoteReference w:id="4"/>
      </w:r>
      <w:r>
        <w:t xml:space="preserve"> </w:t>
      </w:r>
      <w:r w:rsidR="00357124">
        <w:t>The PCIA, or a utilities’</w:t>
      </w:r>
      <w:r w:rsidR="007F0B2A">
        <w:t xml:space="preserve"> </w:t>
      </w:r>
      <w:r w:rsidR="00357124" w:rsidRPr="00864C11">
        <w:t>Indifference Amount</w:t>
      </w:r>
      <w:r w:rsidR="00357124">
        <w:t xml:space="preserve">, is equivalent to </w:t>
      </w:r>
      <w:r w:rsidR="007F0B2A">
        <w:t>a</w:t>
      </w:r>
      <w:r w:rsidR="00B2159F" w:rsidRPr="00864C11">
        <w:t xml:space="preserve"> utility’s </w:t>
      </w:r>
      <w:r w:rsidR="00F7600C">
        <w:t>t</w:t>
      </w:r>
      <w:r w:rsidR="00B2159F" w:rsidRPr="00864C11">
        <w:t xml:space="preserve">otal </w:t>
      </w:r>
      <w:r w:rsidR="00F7600C">
        <w:t>p</w:t>
      </w:r>
      <w:r w:rsidR="00B2159F" w:rsidRPr="00864C11">
        <w:t xml:space="preserve">ortfolio costs less its </w:t>
      </w:r>
      <w:r w:rsidR="00F7600C">
        <w:t>m</w:t>
      </w:r>
      <w:r w:rsidR="00B2159F" w:rsidRPr="00864C11">
        <w:t xml:space="preserve">arket </w:t>
      </w:r>
      <w:r w:rsidR="00F7600C">
        <w:t>v</w:t>
      </w:r>
      <w:r w:rsidR="00B2159F" w:rsidRPr="00864C11">
        <w:t>alue</w:t>
      </w:r>
      <w:r w:rsidR="00357124">
        <w:t xml:space="preserve"> </w:t>
      </w:r>
      <w:proofErr w:type="gramStart"/>
      <w:r w:rsidR="00357124">
        <w:t>in a given year</w:t>
      </w:r>
      <w:proofErr w:type="gramEnd"/>
      <w:r w:rsidR="00B2159F" w:rsidRPr="00864C11">
        <w:t xml:space="preserve">. </w:t>
      </w:r>
      <w:r w:rsidR="00566DEF" w:rsidRPr="00864C11">
        <w:t xml:space="preserve">Market </w:t>
      </w:r>
      <w:r w:rsidR="00F7600C">
        <w:t>v</w:t>
      </w:r>
      <w:r w:rsidR="00566DEF" w:rsidRPr="00864C11">
        <w:t>alue is defined in D.19-10-001 as “the estimated financial value, measured in dollars, that is attributed to a utility portfolio of energy resources for the purpose of calculating the Power Charge Indifference Adjustment for a given year.”</w:t>
      </w:r>
      <w:r w:rsidR="00AD11EF">
        <w:t xml:space="preserve"> </w:t>
      </w:r>
      <w:r w:rsidR="00566DEF" w:rsidRPr="00864C11">
        <w:t xml:space="preserve">D.19-10-001 defines </w:t>
      </w:r>
      <w:r w:rsidR="00CF5DBC" w:rsidRPr="00864C11">
        <w:t xml:space="preserve">Market Price </w:t>
      </w:r>
      <w:r w:rsidR="004D2F7B" w:rsidRPr="00864C11">
        <w:t>B</w:t>
      </w:r>
      <w:r w:rsidR="00CF5DBC" w:rsidRPr="00864C11">
        <w:t>enchmark</w:t>
      </w:r>
      <w:r w:rsidR="007F2399" w:rsidRPr="00864C11">
        <w:t>s</w:t>
      </w:r>
      <w:r w:rsidR="00F7600C">
        <w:t xml:space="preserve"> (MPB)</w:t>
      </w:r>
      <w:r w:rsidR="00566DEF" w:rsidRPr="00864C11">
        <w:t xml:space="preserve"> a</w:t>
      </w:r>
      <w:r w:rsidR="00CF5DBC" w:rsidRPr="00864C11">
        <w:t>s</w:t>
      </w:r>
      <w:r w:rsidR="007F2399" w:rsidRPr="00864C11">
        <w:t xml:space="preserve"> “estimates of the value per unit (not total portfolio value) associated with three principal sources of value in utility portfolios (energy, resource adequacy, and renewable energy)</w:t>
      </w:r>
      <w:r w:rsidR="00F45C93" w:rsidRPr="00864C11">
        <w:t>.”</w:t>
      </w:r>
      <w:r w:rsidR="00F45C93" w:rsidRPr="00864C11">
        <w:rPr>
          <w:rStyle w:val="FootnoteReference"/>
        </w:rPr>
        <w:footnoteReference w:id="5"/>
      </w:r>
      <w:r w:rsidR="00B2159F" w:rsidRPr="00864C11">
        <w:t xml:space="preserve"> </w:t>
      </w:r>
      <w:r w:rsidR="00F45C93" w:rsidRPr="00864C11">
        <w:t xml:space="preserve"> </w:t>
      </w:r>
      <w:r w:rsidR="00F7600C">
        <w:t>MPBs</w:t>
      </w:r>
      <w:r w:rsidR="00F45C93" w:rsidRPr="00864C11">
        <w:t xml:space="preserve"> are</w:t>
      </w:r>
      <w:r w:rsidR="007F2399" w:rsidRPr="00864C11">
        <w:t xml:space="preserve"> multiplied by the relevant portfolio volume as part of the overall calculation of </w:t>
      </w:r>
      <w:r w:rsidR="00F7600C">
        <w:t>m</w:t>
      </w:r>
      <w:r w:rsidR="007F2399" w:rsidRPr="00864C11">
        <w:t xml:space="preserve">arket </w:t>
      </w:r>
      <w:r w:rsidR="00F7600C">
        <w:t>v</w:t>
      </w:r>
      <w:r w:rsidR="007F2399" w:rsidRPr="00864C11">
        <w:t>alue.</w:t>
      </w:r>
      <w:r w:rsidR="0006332D" w:rsidRPr="00864C11">
        <w:t xml:space="preserve"> </w:t>
      </w:r>
      <w:r w:rsidR="00F45C93" w:rsidRPr="00864C11">
        <w:t xml:space="preserve">The </w:t>
      </w:r>
      <w:r w:rsidR="00F7600C">
        <w:t>f</w:t>
      </w:r>
      <w:r w:rsidR="00F45C93" w:rsidRPr="00864C11">
        <w:t xml:space="preserve">orecasted </w:t>
      </w:r>
      <w:r w:rsidR="00F7600C">
        <w:t>a</w:t>
      </w:r>
      <w:r w:rsidR="00F45C93" w:rsidRPr="00864C11">
        <w:t>dders are mechanisms intended to reduce uncertainty</w:t>
      </w:r>
      <w:r w:rsidR="0006332D" w:rsidRPr="00864C11">
        <w:t xml:space="preserve"> of the indifference amount, and t</w:t>
      </w:r>
      <w:r w:rsidR="00F45C93" w:rsidRPr="00864C11">
        <w:t xml:space="preserve">he true up </w:t>
      </w:r>
      <w:r w:rsidR="00F7600C">
        <w:t>a</w:t>
      </w:r>
      <w:r w:rsidR="00F45C93" w:rsidRPr="00864C11">
        <w:t xml:space="preserve">dders are mechanisms </w:t>
      </w:r>
      <w:r w:rsidR="0006332D" w:rsidRPr="00864C11">
        <w:t>intended to further</w:t>
      </w:r>
      <w:r w:rsidR="00F45C93" w:rsidRPr="00864C11">
        <w:t xml:space="preserve"> align actual realized market revenues with forecasted values.</w:t>
      </w:r>
      <w:r w:rsidR="00AD11EF">
        <w:t xml:space="preserve">  </w:t>
      </w:r>
    </w:p>
    <w:p w14:paraId="7BDCCC6D" w14:textId="77777777" w:rsidR="005B6370" w:rsidRPr="00864C11" w:rsidRDefault="005B6370" w:rsidP="007A453C">
      <w:pPr>
        <w:jc w:val="both"/>
      </w:pPr>
    </w:p>
    <w:p w14:paraId="67FA7778" w14:textId="116E1F0B" w:rsidR="00312C90" w:rsidRDefault="00312C90" w:rsidP="007A453C">
      <w:pPr>
        <w:jc w:val="both"/>
        <w:rPr>
          <w:b/>
          <w:bCs/>
          <w:u w:val="single"/>
        </w:rPr>
      </w:pPr>
      <w:r w:rsidRPr="00312C90">
        <w:rPr>
          <w:b/>
          <w:bCs/>
          <w:u w:val="single"/>
        </w:rPr>
        <w:t>RA Adder</w:t>
      </w:r>
    </w:p>
    <w:p w14:paraId="48A9ACA8" w14:textId="77777777" w:rsidR="00312C90" w:rsidRPr="00312C90" w:rsidRDefault="00312C90" w:rsidP="007A453C">
      <w:pPr>
        <w:jc w:val="both"/>
        <w:rPr>
          <w:b/>
          <w:bCs/>
          <w:u w:val="single"/>
        </w:rPr>
      </w:pPr>
    </w:p>
    <w:p w14:paraId="339FCC32" w14:textId="34C1E945" w:rsidR="006658DA" w:rsidRPr="00864C11" w:rsidRDefault="006658DA" w:rsidP="5837A3C5">
      <w:pPr>
        <w:jc w:val="both"/>
      </w:pPr>
      <w:r w:rsidRPr="00864C11">
        <w:t xml:space="preserve">The RA Adder is the </w:t>
      </w:r>
      <w:r w:rsidR="00F7600C">
        <w:t>MPB</w:t>
      </w:r>
      <w:r w:rsidRPr="00864C11">
        <w:t xml:space="preserve"> that reflects the estimated value of each unit of capacity in a utility portfolio that can be used to satisfy Resource Adequacy obligations, </w:t>
      </w:r>
      <w:r w:rsidR="00CF5DBC" w:rsidRPr="00864C11">
        <w:t xml:space="preserve">as </w:t>
      </w:r>
      <w:r w:rsidRPr="00864C11">
        <w:t>dollar value per kilowatt</w:t>
      </w:r>
      <w:r w:rsidR="00CF5DBC" w:rsidRPr="00864C11">
        <w:t>-year</w:t>
      </w:r>
      <w:r w:rsidRPr="00864C11">
        <w:t xml:space="preserve"> ($/kW-year)</w:t>
      </w:r>
      <w:r w:rsidR="00B2159F" w:rsidRPr="00864C11">
        <w:t xml:space="preserve">. </w:t>
      </w:r>
      <w:r w:rsidRPr="00864C11">
        <w:t xml:space="preserve">The RA Adder has three subcomponents, reflecting each type of RA product required for compliance with the RA program: </w:t>
      </w:r>
      <w:r w:rsidR="00B2159F" w:rsidRPr="00864C11">
        <w:t>system, local, and flexible</w:t>
      </w:r>
      <w:r w:rsidR="00FA54EA" w:rsidRPr="00864C11">
        <w:t>.</w:t>
      </w:r>
      <w:r w:rsidR="0018630A" w:rsidRPr="00864C11">
        <w:rPr>
          <w:rStyle w:val="FootnoteReference"/>
        </w:rPr>
        <w:footnoteReference w:id="6"/>
      </w:r>
    </w:p>
    <w:p w14:paraId="48F2618D" w14:textId="77777777" w:rsidR="002A6C76" w:rsidRPr="00864C11" w:rsidRDefault="002A6C76" w:rsidP="007A453C">
      <w:pPr>
        <w:jc w:val="both"/>
      </w:pPr>
    </w:p>
    <w:p w14:paraId="54614126" w14:textId="06E6DFF5" w:rsidR="000674AE" w:rsidRPr="00864C11" w:rsidRDefault="006658DA" w:rsidP="5837A3C5">
      <w:pPr>
        <w:pStyle w:val="ListParagraph"/>
        <w:numPr>
          <w:ilvl w:val="0"/>
          <w:numId w:val="8"/>
        </w:numPr>
        <w:jc w:val="both"/>
      </w:pPr>
      <w:r w:rsidRPr="00E82CFB">
        <w:rPr>
          <w:u w:val="single"/>
        </w:rPr>
        <w:t>The Forecast</w:t>
      </w:r>
      <w:r w:rsidR="00A00BB2" w:rsidRPr="00E82CFB">
        <w:rPr>
          <w:u w:val="single"/>
        </w:rPr>
        <w:t xml:space="preserve"> RA</w:t>
      </w:r>
      <w:r w:rsidRPr="00E82CFB">
        <w:rPr>
          <w:u w:val="single"/>
        </w:rPr>
        <w:t xml:space="preserve"> Adder</w:t>
      </w:r>
      <w:r w:rsidRPr="00864C11">
        <w:t xml:space="preserve"> for</w:t>
      </w:r>
      <w:r w:rsidR="00FA54EA" w:rsidRPr="00864C11">
        <w:t xml:space="preserve"> system</w:t>
      </w:r>
      <w:r w:rsidRPr="00864C11">
        <w:t>, flexible</w:t>
      </w:r>
      <w:r w:rsidR="00173789">
        <w:t>,</w:t>
      </w:r>
      <w:r w:rsidRPr="00864C11">
        <w:t xml:space="preserve"> and </w:t>
      </w:r>
      <w:r w:rsidR="00FA54EA" w:rsidRPr="00864C11">
        <w:t xml:space="preserve">local </w:t>
      </w:r>
      <w:r w:rsidRPr="00864C11">
        <w:t xml:space="preserve">RA </w:t>
      </w:r>
      <w:r w:rsidR="00B2159F" w:rsidRPr="00864C11">
        <w:t>were</w:t>
      </w:r>
      <w:r w:rsidRPr="00864C11">
        <w:t xml:space="preserve"> calculated using the volume-weighted average of all IOU, Community Choice Aggregator (CCA)</w:t>
      </w:r>
      <w:r w:rsidR="00173789">
        <w:t>,</w:t>
      </w:r>
      <w:r w:rsidRPr="00864C11">
        <w:t xml:space="preserve"> and Electric Service Provider (ESP) RA-only market transactions executed in the fourth quarter of </w:t>
      </w:r>
      <w:r w:rsidR="6288B256">
        <w:t>2020</w:t>
      </w:r>
      <w:r w:rsidRPr="00864C11">
        <w:t xml:space="preserve">, and the first through third quarter of </w:t>
      </w:r>
      <w:r w:rsidR="7ECEA5BD" w:rsidRPr="00864C11">
        <w:t xml:space="preserve">2021 </w:t>
      </w:r>
      <w:r w:rsidRPr="00864C11">
        <w:t xml:space="preserve">for delivery in </w:t>
      </w:r>
      <w:r w:rsidR="302F9279">
        <w:t>2022</w:t>
      </w:r>
      <w:r w:rsidR="00B2159F" w:rsidRPr="00864C11">
        <w:t xml:space="preserve">. </w:t>
      </w:r>
      <w:r w:rsidRPr="00864C11">
        <w:t xml:space="preserve">The annual Forecast RA Adder ($/kW-year) is the sum of the monthly weighted average of the relevant transactions. </w:t>
      </w:r>
      <w:r w:rsidR="000674AE" w:rsidRPr="00864C11">
        <w:t xml:space="preserve">Note that the time periods of data collected for the calculation of the Forecasted local RA Adder and Final Local RA adder </w:t>
      </w:r>
      <w:r w:rsidR="00B2159F" w:rsidRPr="00864C11">
        <w:t xml:space="preserve">will </w:t>
      </w:r>
      <w:r w:rsidR="000674AE" w:rsidRPr="00864C11">
        <w:t>change in 2022 and beyond.</w:t>
      </w:r>
      <w:r w:rsidR="000674AE" w:rsidRPr="00864C11">
        <w:rPr>
          <w:rStyle w:val="FootnoteReference"/>
        </w:rPr>
        <w:footnoteReference w:id="7"/>
      </w:r>
    </w:p>
    <w:p w14:paraId="289A89D1" w14:textId="77777777" w:rsidR="006658DA" w:rsidRPr="00864C11" w:rsidRDefault="006658DA" w:rsidP="004B03AA"/>
    <w:p w14:paraId="4BA5F15D" w14:textId="187E81E9" w:rsidR="006658DA" w:rsidRPr="00864C11" w:rsidRDefault="006658DA" w:rsidP="5837A3C5">
      <w:pPr>
        <w:pStyle w:val="ListParagraph"/>
        <w:numPr>
          <w:ilvl w:val="0"/>
          <w:numId w:val="8"/>
        </w:numPr>
        <w:jc w:val="both"/>
      </w:pPr>
      <w:r w:rsidRPr="5837A3C5">
        <w:rPr>
          <w:u w:val="single"/>
        </w:rPr>
        <w:t>The Final RA Adder</w:t>
      </w:r>
      <w:r>
        <w:t xml:space="preserve"> for </w:t>
      </w:r>
      <w:r w:rsidR="00FA54EA">
        <w:t>system</w:t>
      </w:r>
      <w:r>
        <w:t>, flexible</w:t>
      </w:r>
      <w:r w:rsidR="00173789">
        <w:t>,</w:t>
      </w:r>
      <w:r>
        <w:t xml:space="preserve"> and </w:t>
      </w:r>
      <w:r w:rsidR="00FA54EA">
        <w:t xml:space="preserve">local </w:t>
      </w:r>
      <w:r>
        <w:t>is calculated using the volume-weighted average of all IOU, CCA</w:t>
      </w:r>
      <w:r w:rsidR="00173789">
        <w:t>,</w:t>
      </w:r>
      <w:r>
        <w:t xml:space="preserve"> and ESP RA-only market transactions executed in </w:t>
      </w:r>
      <w:r w:rsidR="004B7886">
        <w:t>20</w:t>
      </w:r>
      <w:r w:rsidR="1B4B3346">
        <w:t>20</w:t>
      </w:r>
      <w:r w:rsidR="593AACF2">
        <w:t xml:space="preserve"> </w:t>
      </w:r>
      <w:r>
        <w:t xml:space="preserve">and first through third quarter of </w:t>
      </w:r>
      <w:r w:rsidR="3F86E63F">
        <w:t xml:space="preserve">2021 </w:t>
      </w:r>
      <w:r>
        <w:t xml:space="preserve">for delivery in </w:t>
      </w:r>
      <w:r w:rsidR="1BC12C4E">
        <w:t>2021</w:t>
      </w:r>
      <w:r>
        <w:t xml:space="preserve">. </w:t>
      </w:r>
    </w:p>
    <w:p w14:paraId="38295FD7" w14:textId="77777777" w:rsidR="006658DA" w:rsidRPr="00864C11" w:rsidRDefault="006658DA" w:rsidP="007A453C">
      <w:pPr>
        <w:jc w:val="both"/>
      </w:pPr>
    </w:p>
    <w:p w14:paraId="0BEA395E" w14:textId="366A6875" w:rsidR="5837A3C5" w:rsidRDefault="5837A3C5">
      <w:r>
        <w:br w:type="page"/>
      </w:r>
    </w:p>
    <w:p w14:paraId="19021EAB" w14:textId="305183B2" w:rsidR="00312C90" w:rsidRDefault="00312C90" w:rsidP="007A453C">
      <w:pPr>
        <w:jc w:val="both"/>
        <w:rPr>
          <w:b/>
          <w:bCs/>
          <w:u w:val="single"/>
        </w:rPr>
      </w:pPr>
      <w:r w:rsidRPr="00312C90">
        <w:rPr>
          <w:b/>
          <w:bCs/>
          <w:u w:val="single"/>
        </w:rPr>
        <w:lastRenderedPageBreak/>
        <w:t>RPS Adder</w:t>
      </w:r>
    </w:p>
    <w:p w14:paraId="42361543" w14:textId="77777777" w:rsidR="00312C90" w:rsidRPr="00312C90" w:rsidRDefault="00312C90" w:rsidP="007A453C">
      <w:pPr>
        <w:jc w:val="both"/>
        <w:rPr>
          <w:b/>
          <w:bCs/>
          <w:u w:val="single"/>
        </w:rPr>
      </w:pPr>
    </w:p>
    <w:p w14:paraId="2648E91C" w14:textId="45134727" w:rsidR="00312C90" w:rsidRDefault="006658DA" w:rsidP="5837A3C5">
      <w:pPr>
        <w:jc w:val="both"/>
      </w:pPr>
      <w:r w:rsidRPr="00864C11">
        <w:t>The RPS Adder is the Market Price Benchmark that reflects the estimated incremental value of each unit of RPS-eligible energy that is attributable to the fact of that eligibility, in $/MWh.</w:t>
      </w:r>
      <w:r w:rsidR="00561107">
        <w:t xml:space="preserve"> </w:t>
      </w:r>
      <w:r w:rsidR="002C439E">
        <w:t xml:space="preserve"> Both the forecast and the final adder are based</w:t>
      </w:r>
      <w:r w:rsidR="008F44A3">
        <w:t xml:space="preserve"> on</w:t>
      </w:r>
      <w:r w:rsidR="002C439E">
        <w:t xml:space="preserve"> transactions of b</w:t>
      </w:r>
      <w:r w:rsidR="002C439E" w:rsidRPr="002C439E">
        <w:t>undled renewable energy credits (RECs)</w:t>
      </w:r>
      <w:r w:rsidR="002C439E">
        <w:t xml:space="preserve"> of the </w:t>
      </w:r>
      <w:r w:rsidR="002C439E" w:rsidRPr="002C439E">
        <w:t>portfolio content Category 1</w:t>
      </w:r>
      <w:r w:rsidR="008F44A3">
        <w:t xml:space="preserve"> (PCC1)</w:t>
      </w:r>
      <w:r w:rsidR="004B03AA">
        <w:rPr>
          <w:rStyle w:val="FootnoteReference"/>
        </w:rPr>
        <w:footnoteReference w:id="8"/>
      </w:r>
      <w:r w:rsidR="39428B10">
        <w:t xml:space="preserve">, Short-Term contracts, </w:t>
      </w:r>
      <w:r w:rsidR="004B03AA">
        <w:t xml:space="preserve">and </w:t>
      </w:r>
      <w:r w:rsidR="004B03AA">
        <w:rPr>
          <w:rStyle w:val="FootnoteReference"/>
        </w:rPr>
        <w:footnoteReference w:id="9"/>
      </w:r>
      <w:r w:rsidR="002C439E">
        <w:t xml:space="preserve"> </w:t>
      </w:r>
      <w:r w:rsidR="00E145E4" w:rsidRPr="002C439E">
        <w:t>transactions</w:t>
      </w:r>
      <w:r w:rsidR="002C439E">
        <w:t>.</w:t>
      </w:r>
    </w:p>
    <w:p w14:paraId="2FF1CCCB" w14:textId="77777777" w:rsidR="00312C90" w:rsidRDefault="00312C90" w:rsidP="5837A3C5">
      <w:pPr>
        <w:jc w:val="both"/>
      </w:pPr>
    </w:p>
    <w:p w14:paraId="264E99E4" w14:textId="1BDFD906" w:rsidR="006658DA" w:rsidRPr="00864C11" w:rsidRDefault="006658DA" w:rsidP="5837A3C5">
      <w:pPr>
        <w:pStyle w:val="ListParagraph"/>
        <w:numPr>
          <w:ilvl w:val="0"/>
          <w:numId w:val="9"/>
        </w:numPr>
        <w:jc w:val="both"/>
      </w:pPr>
      <w:r w:rsidRPr="00E82CFB">
        <w:rPr>
          <w:u w:val="single"/>
        </w:rPr>
        <w:t>The Forecast RPS Adder</w:t>
      </w:r>
      <w:r w:rsidRPr="00864C11">
        <w:t xml:space="preserve"> was calculated using the volume weighted average of all </w:t>
      </w:r>
      <w:bookmarkStart w:id="0" w:name="_Hlk23171856"/>
      <w:r w:rsidRPr="00864C11">
        <w:t xml:space="preserve">IOU, CCA, and ESP </w:t>
      </w:r>
      <w:bookmarkEnd w:id="0"/>
      <w:r w:rsidRPr="00864C11">
        <w:t>market transactions using P</w:t>
      </w:r>
      <w:r w:rsidR="008F44A3">
        <w:t>CC</w:t>
      </w:r>
      <w:r w:rsidR="00542A2F">
        <w:t>-</w:t>
      </w:r>
      <w:r w:rsidRPr="00864C11">
        <w:t xml:space="preserve">1 index-plus contracts executed in the fourth quarter of </w:t>
      </w:r>
      <w:r w:rsidR="004B7886">
        <w:t>20</w:t>
      </w:r>
      <w:r w:rsidR="77E77041">
        <w:t>20</w:t>
      </w:r>
      <w:r w:rsidR="004B7886" w:rsidRPr="00864C11">
        <w:t xml:space="preserve"> </w:t>
      </w:r>
      <w:r w:rsidRPr="00864C11">
        <w:t xml:space="preserve">and the first through third quarter of </w:t>
      </w:r>
      <w:r w:rsidR="25C911CE" w:rsidRPr="00864C11">
        <w:t xml:space="preserve">2021 </w:t>
      </w:r>
      <w:r w:rsidRPr="00864C11">
        <w:t xml:space="preserve">for delivery in </w:t>
      </w:r>
      <w:r w:rsidR="361D8CC9">
        <w:t>2022</w:t>
      </w:r>
      <w:r w:rsidRPr="00864C11">
        <w:t>.</w:t>
      </w:r>
      <w:r w:rsidR="0018630A" w:rsidRPr="00864C11">
        <w:rPr>
          <w:rStyle w:val="FootnoteReference"/>
        </w:rPr>
        <w:footnoteReference w:id="10"/>
      </w:r>
    </w:p>
    <w:p w14:paraId="3072910D" w14:textId="77777777" w:rsidR="006658DA" w:rsidRPr="00864C11" w:rsidRDefault="006658DA" w:rsidP="5837A3C5">
      <w:pPr>
        <w:jc w:val="both"/>
      </w:pPr>
    </w:p>
    <w:p w14:paraId="4AB5111F" w14:textId="0F9D84E1" w:rsidR="00EF1D96" w:rsidRPr="00864C11" w:rsidRDefault="006658DA" w:rsidP="5837A3C5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46381E96">
        <w:rPr>
          <w:rFonts w:ascii="Times New Roman" w:hAnsi="Times New Roman" w:cs="Times New Roman"/>
          <w:u w:val="single"/>
        </w:rPr>
        <w:t>The Final RPS Adder</w:t>
      </w:r>
      <w:r w:rsidRPr="46381E96">
        <w:rPr>
          <w:rFonts w:ascii="Times New Roman" w:hAnsi="Times New Roman" w:cs="Times New Roman"/>
        </w:rPr>
        <w:t xml:space="preserve"> was calculated using the volume weighted average of all IOU, CCA, and ESP market transactions using only </w:t>
      </w:r>
      <w:r w:rsidR="008F44A3" w:rsidRPr="46381E96">
        <w:rPr>
          <w:rFonts w:ascii="Times New Roman" w:hAnsi="Times New Roman" w:cs="Times New Roman"/>
        </w:rPr>
        <w:t>PCC</w:t>
      </w:r>
      <w:r w:rsidR="00B958DD" w:rsidRPr="46381E96">
        <w:rPr>
          <w:rFonts w:ascii="Times New Roman" w:hAnsi="Times New Roman" w:cs="Times New Roman"/>
        </w:rPr>
        <w:t>-</w:t>
      </w:r>
      <w:r w:rsidRPr="46381E96">
        <w:rPr>
          <w:rFonts w:ascii="Times New Roman" w:hAnsi="Times New Roman" w:cs="Times New Roman"/>
        </w:rPr>
        <w:t xml:space="preserve">1 index-plus contracts executed in </w:t>
      </w:r>
      <w:r w:rsidR="33F63E12" w:rsidRPr="46381E96">
        <w:rPr>
          <w:rFonts w:ascii="Times New Roman" w:hAnsi="Times New Roman" w:cs="Times New Roman"/>
        </w:rPr>
        <w:t xml:space="preserve">the fourth quarter of the year </w:t>
      </w:r>
      <w:r w:rsidR="5E43EC41" w:rsidRPr="46381E96">
        <w:rPr>
          <w:rFonts w:ascii="Times New Roman" w:hAnsi="Times New Roman" w:cs="Times New Roman"/>
        </w:rPr>
        <w:t xml:space="preserve">2020 </w:t>
      </w:r>
      <w:r w:rsidRPr="46381E96">
        <w:rPr>
          <w:rFonts w:ascii="Times New Roman" w:hAnsi="Times New Roman" w:cs="Times New Roman"/>
        </w:rPr>
        <w:t xml:space="preserve">and the first through third quarter of </w:t>
      </w:r>
      <w:r w:rsidR="071F4F6A" w:rsidRPr="46381E96">
        <w:rPr>
          <w:rFonts w:ascii="Times New Roman" w:hAnsi="Times New Roman" w:cs="Times New Roman"/>
        </w:rPr>
        <w:t xml:space="preserve">2021 </w:t>
      </w:r>
      <w:r w:rsidRPr="46381E96">
        <w:rPr>
          <w:rFonts w:ascii="Times New Roman" w:hAnsi="Times New Roman" w:cs="Times New Roman"/>
        </w:rPr>
        <w:t xml:space="preserve">for delivery in year </w:t>
      </w:r>
      <w:r w:rsidR="17EB6F69" w:rsidRPr="46381E96">
        <w:rPr>
          <w:rFonts w:ascii="Times New Roman" w:hAnsi="Times New Roman" w:cs="Times New Roman"/>
        </w:rPr>
        <w:t>2021</w:t>
      </w:r>
      <w:r w:rsidRPr="46381E96">
        <w:rPr>
          <w:rFonts w:ascii="Times New Roman" w:hAnsi="Times New Roman" w:cs="Times New Roman"/>
        </w:rPr>
        <w:t>.</w:t>
      </w:r>
      <w:r w:rsidR="00EF1D96" w:rsidRPr="46381E96">
        <w:rPr>
          <w:rFonts w:ascii="Times New Roman" w:hAnsi="Times New Roman" w:cs="Times New Roman"/>
        </w:rPr>
        <w:t xml:space="preserve"> </w:t>
      </w:r>
    </w:p>
    <w:p w14:paraId="78F6F3DA" w14:textId="77777777" w:rsidR="00326B5E" w:rsidRPr="00864C11" w:rsidRDefault="00326B5E" w:rsidP="00326B5E">
      <w:pPr>
        <w:jc w:val="both"/>
      </w:pPr>
    </w:p>
    <w:p w14:paraId="23E4C194" w14:textId="19E30177" w:rsidR="00312C90" w:rsidRPr="00312C90" w:rsidRDefault="00312C90" w:rsidP="00326B5E">
      <w:pPr>
        <w:jc w:val="both"/>
        <w:rPr>
          <w:b/>
          <w:bCs/>
          <w:u w:val="single"/>
        </w:rPr>
      </w:pPr>
      <w:r w:rsidRPr="00312C90">
        <w:rPr>
          <w:b/>
          <w:bCs/>
          <w:u w:val="single"/>
        </w:rPr>
        <w:t>Energy Index</w:t>
      </w:r>
    </w:p>
    <w:p w14:paraId="2AD7BADB" w14:textId="429FB2C5" w:rsidR="00312C90" w:rsidRDefault="00312C90" w:rsidP="00326B5E">
      <w:pPr>
        <w:jc w:val="both"/>
      </w:pPr>
    </w:p>
    <w:p w14:paraId="039A07FC" w14:textId="077B9412" w:rsidR="00312C90" w:rsidRDefault="00312C90" w:rsidP="00CD6CA3">
      <w:pPr>
        <w:jc w:val="both"/>
      </w:pPr>
      <w:r w:rsidRPr="00864C11">
        <w:t xml:space="preserve">Energy Index is the </w:t>
      </w:r>
      <w:r w:rsidR="00F7600C">
        <w:t>MPB</w:t>
      </w:r>
      <w:r w:rsidRPr="00864C11">
        <w:t xml:space="preserve"> that reflects the estimated market value of each unit of energy in a utility portfolio, in dollar value per megawatt hour ($/MWh). </w:t>
      </w:r>
      <w:r w:rsidR="00122B33">
        <w:t>The Energy Inde</w:t>
      </w:r>
      <w:r w:rsidR="00BC2117">
        <w:t>x</w:t>
      </w:r>
      <w:r w:rsidR="00D87BD4">
        <w:t xml:space="preserve"> was previously</w:t>
      </w:r>
      <w:r w:rsidRPr="00864C11">
        <w:t xml:space="preserve"> referred to as “Brown Power Index</w:t>
      </w:r>
      <w:r w:rsidR="00D87BD4">
        <w:t>,</w:t>
      </w:r>
      <w:r w:rsidRPr="00864C11">
        <w:t xml:space="preserve">” </w:t>
      </w:r>
      <w:r w:rsidR="00122B33">
        <w:t xml:space="preserve">adder </w:t>
      </w:r>
      <w:r w:rsidRPr="00864C11">
        <w:t>or benchmark.</w:t>
      </w:r>
      <w:r w:rsidRPr="00864C11">
        <w:rPr>
          <w:rStyle w:val="FootnoteReference"/>
        </w:rPr>
        <w:footnoteReference w:id="11"/>
      </w:r>
      <w:r w:rsidRPr="00864C11">
        <w:t xml:space="preserve"> </w:t>
      </w:r>
    </w:p>
    <w:p w14:paraId="54BBC5CA" w14:textId="77777777" w:rsidR="00312C90" w:rsidRDefault="00312C90" w:rsidP="00CD6CA3">
      <w:pPr>
        <w:jc w:val="both"/>
      </w:pPr>
    </w:p>
    <w:p w14:paraId="275FD026" w14:textId="5A877614" w:rsidR="00C859F6" w:rsidRPr="00864C11" w:rsidRDefault="00326B5E" w:rsidP="00CD6CA3">
      <w:pPr>
        <w:pStyle w:val="ListParagraph"/>
        <w:numPr>
          <w:ilvl w:val="0"/>
          <w:numId w:val="10"/>
        </w:numPr>
        <w:jc w:val="both"/>
      </w:pPr>
      <w:r w:rsidRPr="7AFFF969">
        <w:rPr>
          <w:u w:val="single"/>
        </w:rPr>
        <w:t>The Energy Index</w:t>
      </w:r>
      <w:r w:rsidR="00E82CFB">
        <w:t xml:space="preserve"> </w:t>
      </w:r>
      <w:r w:rsidR="00C7643C">
        <w:t xml:space="preserve">was </w:t>
      </w:r>
      <w:r w:rsidR="00E82CFB">
        <w:t>calculat</w:t>
      </w:r>
      <w:r w:rsidR="00C7643C">
        <w:t>ed</w:t>
      </w:r>
      <w:r>
        <w:t xml:space="preserve"> using Platts-ICE Forward Curve-Electricity market data from the period of October 1 through October 31 for on peak and off-peak power prices for </w:t>
      </w:r>
      <w:r w:rsidR="3A70D03F">
        <w:t xml:space="preserve">2022 </w:t>
      </w:r>
      <w:r>
        <w:t xml:space="preserve">NP15 and SP15. </w:t>
      </w:r>
      <w:r w:rsidR="0037229C">
        <w:t xml:space="preserve">The </w:t>
      </w:r>
      <w:r w:rsidR="32846CB0">
        <w:t>2022</w:t>
      </w:r>
      <w:r w:rsidR="0037229C">
        <w:t xml:space="preserve"> monthly average of on peak and off-peak market value per megawatt for the NP15 and SP15 were determined and used to calculate the </w:t>
      </w:r>
      <w:r w:rsidR="178B5B1C">
        <w:t xml:space="preserve">2022 </w:t>
      </w:r>
      <w:r w:rsidR="0037229C">
        <w:t xml:space="preserve">average price per megawatt hour. Using these averages, the IOUs will calculate the final Energy Index to be used in the </w:t>
      </w:r>
      <w:r w:rsidR="75313AA4">
        <w:t xml:space="preserve">2022 </w:t>
      </w:r>
      <w:r w:rsidR="0037229C">
        <w:t>Forecasted ERRA Proceeding.</w:t>
      </w:r>
    </w:p>
    <w:sectPr w:rsidR="00C859F6" w:rsidRPr="00864C1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0C45" w14:textId="77777777" w:rsidR="0099651D" w:rsidRDefault="0099651D" w:rsidP="00977048">
      <w:r>
        <w:separator/>
      </w:r>
    </w:p>
  </w:endnote>
  <w:endnote w:type="continuationSeparator" w:id="0">
    <w:p w14:paraId="4A6C5F54" w14:textId="77777777" w:rsidR="0099651D" w:rsidRDefault="0099651D" w:rsidP="00977048">
      <w:r>
        <w:continuationSeparator/>
      </w:r>
    </w:p>
  </w:endnote>
  <w:endnote w:type="continuationNotice" w:id="1">
    <w:p w14:paraId="0F2E5955" w14:textId="77777777" w:rsidR="0099651D" w:rsidRDefault="00996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706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849A9" w14:textId="203F2DB8" w:rsidR="00E82CFB" w:rsidRDefault="00E82CF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7EE90C68" w14:textId="77777777" w:rsidR="00E82CFB" w:rsidRDefault="00E82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A5D1" w14:textId="77777777" w:rsidR="0099651D" w:rsidRDefault="0099651D" w:rsidP="00977048">
      <w:r>
        <w:separator/>
      </w:r>
    </w:p>
  </w:footnote>
  <w:footnote w:type="continuationSeparator" w:id="0">
    <w:p w14:paraId="2DEC1C9E" w14:textId="77777777" w:rsidR="0099651D" w:rsidRDefault="0099651D" w:rsidP="00977048">
      <w:r>
        <w:continuationSeparator/>
      </w:r>
    </w:p>
  </w:footnote>
  <w:footnote w:type="continuationNotice" w:id="1">
    <w:p w14:paraId="25258BD6" w14:textId="77777777" w:rsidR="0099651D" w:rsidRDefault="0099651D"/>
  </w:footnote>
  <w:footnote w:id="2">
    <w:p w14:paraId="4067097B" w14:textId="5B2C2C2C" w:rsidR="00CF5DBC" w:rsidRPr="00F45C93" w:rsidRDefault="00CF5DBC">
      <w:pPr>
        <w:pStyle w:val="FootnoteText"/>
      </w:pPr>
      <w:r w:rsidRPr="00F45C93">
        <w:rPr>
          <w:rStyle w:val="FootnoteReference"/>
        </w:rPr>
        <w:footnoteRef/>
      </w:r>
      <w:r w:rsidR="0037229C">
        <w:t xml:space="preserve"> </w:t>
      </w:r>
      <w:r w:rsidR="007F2399" w:rsidRPr="00F45C93">
        <w:t>D.19-10-001</w:t>
      </w:r>
      <w:r w:rsidR="00F45C93" w:rsidRPr="00F45C93">
        <w:t xml:space="preserve"> at</w:t>
      </w:r>
      <w:r w:rsidR="007F2399" w:rsidRPr="00F45C93">
        <w:t xml:space="preserve"> 7</w:t>
      </w:r>
    </w:p>
  </w:footnote>
  <w:footnote w:id="3">
    <w:p w14:paraId="56F1CF77" w14:textId="77777777" w:rsidR="00670E2E" w:rsidRDefault="00670E2E" w:rsidP="00C744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The Energy Index adder is a calculated value based on Platts values; the final values are </w:t>
      </w:r>
      <w:r w:rsidRPr="00C7643C">
        <w:rPr>
          <w:color w:val="000000"/>
        </w:rPr>
        <w:t>2019 actual energy prices</w:t>
      </w:r>
      <w:r>
        <w:rPr>
          <w:color w:val="000000"/>
        </w:rPr>
        <w:t>.</w:t>
      </w:r>
    </w:p>
  </w:footnote>
  <w:footnote w:id="4">
    <w:p w14:paraId="411E4DCA" w14:textId="4248FA37" w:rsidR="00122B33" w:rsidRDefault="00122B33">
      <w:pPr>
        <w:pStyle w:val="FootnoteText"/>
      </w:pPr>
      <w:r>
        <w:rPr>
          <w:rStyle w:val="FootnoteReference"/>
        </w:rPr>
        <w:footnoteRef/>
      </w:r>
      <w:r w:rsidR="0037229C">
        <w:t xml:space="preserve"> The m</w:t>
      </w:r>
      <w:r w:rsidR="0037229C" w:rsidRPr="0037229C">
        <w:t xml:space="preserve">ethodology </w:t>
      </w:r>
      <w:r w:rsidR="0037229C">
        <w:t xml:space="preserve">of calculating the PCIA was </w:t>
      </w:r>
      <w:r w:rsidR="0037229C" w:rsidRPr="0037229C">
        <w:t>mandated D.11-12-018</w:t>
      </w:r>
      <w:r w:rsidR="0037229C">
        <w:t xml:space="preserve"> </w:t>
      </w:r>
      <w:r w:rsidR="0012113F">
        <w:t>COL 3</w:t>
      </w:r>
      <w:r w:rsidR="0037229C" w:rsidRPr="0037229C">
        <w:t xml:space="preserve"> </w:t>
      </w:r>
      <w:r w:rsidR="0012113F">
        <w:t xml:space="preserve">and </w:t>
      </w:r>
      <w:r w:rsidR="0037229C" w:rsidRPr="0037229C">
        <w:t>Resolution E-4475</w:t>
      </w:r>
      <w:r w:rsidR="0037229C">
        <w:t xml:space="preserve">. </w:t>
      </w:r>
      <w:r>
        <w:t xml:space="preserve">Explanation of the </w:t>
      </w:r>
      <w:r w:rsidR="0012113F">
        <w:t xml:space="preserve">changes to the methodology can be found in </w:t>
      </w:r>
      <w:r w:rsidR="0012113F" w:rsidRPr="0012113F">
        <w:t>Appendix 1</w:t>
      </w:r>
      <w:r w:rsidR="0012113F">
        <w:t xml:space="preserve"> </w:t>
      </w:r>
      <w:r>
        <w:t>of D.</w:t>
      </w:r>
      <w:r w:rsidRPr="00122B33">
        <w:t xml:space="preserve"> </w:t>
      </w:r>
      <w:r w:rsidRPr="00312C90">
        <w:t>18-10-019</w:t>
      </w:r>
      <w:r w:rsidR="0012113F">
        <w:t>.</w:t>
      </w:r>
    </w:p>
  </w:footnote>
  <w:footnote w:id="5">
    <w:p w14:paraId="0BE44732" w14:textId="1D9B7B04" w:rsidR="00F45C93" w:rsidRDefault="00F45C93" w:rsidP="00F45C93">
      <w:pPr>
        <w:pStyle w:val="FootnoteText"/>
      </w:pPr>
      <w:r w:rsidRPr="00F45C93">
        <w:rPr>
          <w:rStyle w:val="FootnoteReference"/>
        </w:rPr>
        <w:footnoteRef/>
      </w:r>
      <w:r w:rsidRPr="00F45C93">
        <w:t>D.19-10-001 at 6</w:t>
      </w:r>
    </w:p>
  </w:footnote>
  <w:footnote w:id="6">
    <w:p w14:paraId="49369F1A" w14:textId="55C98192" w:rsidR="0018630A" w:rsidRDefault="001863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5C93">
        <w:t xml:space="preserve">D.19-10-001 at </w:t>
      </w:r>
      <w:r>
        <w:t>7</w:t>
      </w:r>
    </w:p>
  </w:footnote>
  <w:footnote w:id="7">
    <w:p w14:paraId="320D41E5" w14:textId="212C18F6" w:rsidR="000674AE" w:rsidRDefault="000674AE" w:rsidP="000674AE">
      <w:pPr>
        <w:pStyle w:val="FootnoteText"/>
      </w:pPr>
      <w:r>
        <w:rPr>
          <w:rStyle w:val="FootnoteReference"/>
        </w:rPr>
        <w:footnoteRef/>
      </w:r>
      <w:r w:rsidR="00A558E3">
        <w:t xml:space="preserve"> </w:t>
      </w:r>
      <w:r w:rsidRPr="00F45C93">
        <w:t>D.19-10-001, Attachment A,</w:t>
      </w:r>
      <w:r w:rsidR="00F45C93" w:rsidRPr="00F45C93">
        <w:t xml:space="preserve"> at</w:t>
      </w:r>
      <w:r w:rsidRPr="00F45C93">
        <w:t xml:space="preserve"> 1-2</w:t>
      </w:r>
    </w:p>
  </w:footnote>
  <w:footnote w:id="8">
    <w:p w14:paraId="328C55FE" w14:textId="05B27B86" w:rsidR="004B03AA" w:rsidRDefault="004B03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58E3" w:rsidRPr="00A558E3">
        <w:t>D.11-12-052</w:t>
      </w:r>
      <w:r w:rsidR="00453E05">
        <w:t xml:space="preserve"> defines PCC1 as</w:t>
      </w:r>
      <w:r>
        <w:t xml:space="preserve"> </w:t>
      </w:r>
      <w:r w:rsidRPr="004B03AA">
        <w:t>Facilities with First Point of Interconnection within a California Balancing Authority (CBA) or with Generation Scheduled into a CBA</w:t>
      </w:r>
    </w:p>
  </w:footnote>
  <w:footnote w:id="9">
    <w:p w14:paraId="4C1BE3FF" w14:textId="1FC93619" w:rsidR="004B03AA" w:rsidRDefault="004B03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58E3">
        <w:t>Index -plus refers to</w:t>
      </w:r>
      <w:r w:rsidR="00453E05">
        <w:t xml:space="preserve"> contracts for</w:t>
      </w:r>
      <w:r w:rsidR="00A558E3">
        <w:t xml:space="preserve"> the market </w:t>
      </w:r>
      <w:r w:rsidR="00A558E3" w:rsidRPr="00A558E3">
        <w:t xml:space="preserve">index </w:t>
      </w:r>
      <w:r w:rsidR="002641F9">
        <w:t xml:space="preserve">price of energy </w:t>
      </w:r>
      <w:r w:rsidR="00A558E3" w:rsidRPr="00A558E3">
        <w:t>plus a REC bid premium</w:t>
      </w:r>
    </w:p>
  </w:footnote>
  <w:footnote w:id="10">
    <w:p w14:paraId="4808B925" w14:textId="01B50322" w:rsidR="0018630A" w:rsidRDefault="001863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5C93">
        <w:t xml:space="preserve">D.19-10-001 at </w:t>
      </w:r>
      <w:r>
        <w:t>7</w:t>
      </w:r>
    </w:p>
  </w:footnote>
  <w:footnote w:id="11">
    <w:p w14:paraId="2196B6C8" w14:textId="77777777" w:rsidR="00312C90" w:rsidRDefault="00312C90" w:rsidP="00312C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5C93">
        <w:t xml:space="preserve">D.19-10-001 at </w:t>
      </w:r>
      <w:r>
        <w:t>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ABA"/>
    <w:multiLevelType w:val="multilevel"/>
    <w:tmpl w:val="FC8E633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31C4F92"/>
    <w:multiLevelType w:val="hybridMultilevel"/>
    <w:tmpl w:val="92F6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6742"/>
    <w:multiLevelType w:val="hybridMultilevel"/>
    <w:tmpl w:val="EB5A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1EF8"/>
    <w:multiLevelType w:val="hybridMultilevel"/>
    <w:tmpl w:val="F01E58AE"/>
    <w:lvl w:ilvl="0" w:tplc="78D6045E">
      <w:start w:val="1"/>
      <w:numFmt w:val="upperLetter"/>
      <w:lvlText w:val="%1)"/>
      <w:lvlJc w:val="left"/>
      <w:pPr>
        <w:ind w:left="3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4" w15:restartNumberingAfterBreak="0">
    <w:nsid w:val="36547ADD"/>
    <w:multiLevelType w:val="hybridMultilevel"/>
    <w:tmpl w:val="9594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E6165"/>
    <w:multiLevelType w:val="hybridMultilevel"/>
    <w:tmpl w:val="E3689A5C"/>
    <w:lvl w:ilvl="0" w:tplc="8612C8C6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F7974"/>
    <w:multiLevelType w:val="hybridMultilevel"/>
    <w:tmpl w:val="240A2034"/>
    <w:lvl w:ilvl="0" w:tplc="3158570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928454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02BAF"/>
    <w:multiLevelType w:val="hybridMultilevel"/>
    <w:tmpl w:val="C6BA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3178"/>
    <w:multiLevelType w:val="hybridMultilevel"/>
    <w:tmpl w:val="F458615C"/>
    <w:lvl w:ilvl="0" w:tplc="4622DA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5203B"/>
    <w:multiLevelType w:val="hybridMultilevel"/>
    <w:tmpl w:val="7FF0A534"/>
    <w:lvl w:ilvl="0" w:tplc="142662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654A9"/>
    <w:multiLevelType w:val="hybridMultilevel"/>
    <w:tmpl w:val="C6BA7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A1"/>
    <w:rsid w:val="000022D0"/>
    <w:rsid w:val="000123F8"/>
    <w:rsid w:val="00017FF8"/>
    <w:rsid w:val="00047987"/>
    <w:rsid w:val="00055EA2"/>
    <w:rsid w:val="000575C8"/>
    <w:rsid w:val="00060DDC"/>
    <w:rsid w:val="0006332D"/>
    <w:rsid w:val="000674AE"/>
    <w:rsid w:val="00084E22"/>
    <w:rsid w:val="000A47C2"/>
    <w:rsid w:val="000B26D3"/>
    <w:rsid w:val="000C3C11"/>
    <w:rsid w:val="000C4A1B"/>
    <w:rsid w:val="00116FED"/>
    <w:rsid w:val="0012113F"/>
    <w:rsid w:val="00122B33"/>
    <w:rsid w:val="001427AC"/>
    <w:rsid w:val="00173789"/>
    <w:rsid w:val="00183EDC"/>
    <w:rsid w:val="0018630A"/>
    <w:rsid w:val="001A2822"/>
    <w:rsid w:val="001A51A8"/>
    <w:rsid w:val="001C06B7"/>
    <w:rsid w:val="001C1BC6"/>
    <w:rsid w:val="001C3605"/>
    <w:rsid w:val="001C48D1"/>
    <w:rsid w:val="001E2776"/>
    <w:rsid w:val="001F1141"/>
    <w:rsid w:val="00222689"/>
    <w:rsid w:val="00223C20"/>
    <w:rsid w:val="00230854"/>
    <w:rsid w:val="002641F9"/>
    <w:rsid w:val="00291B3B"/>
    <w:rsid w:val="0029523D"/>
    <w:rsid w:val="00297868"/>
    <w:rsid w:val="002A6C76"/>
    <w:rsid w:val="002B4BF8"/>
    <w:rsid w:val="002B6D06"/>
    <w:rsid w:val="002C439E"/>
    <w:rsid w:val="002C5234"/>
    <w:rsid w:val="002D54E8"/>
    <w:rsid w:val="002E04C6"/>
    <w:rsid w:val="002F1CA1"/>
    <w:rsid w:val="00312C90"/>
    <w:rsid w:val="00326B5E"/>
    <w:rsid w:val="00327540"/>
    <w:rsid w:val="00336432"/>
    <w:rsid w:val="00343517"/>
    <w:rsid w:val="00357124"/>
    <w:rsid w:val="0037229C"/>
    <w:rsid w:val="00374FA6"/>
    <w:rsid w:val="0038565B"/>
    <w:rsid w:val="003A0BAD"/>
    <w:rsid w:val="003B1F6F"/>
    <w:rsid w:val="003D2EED"/>
    <w:rsid w:val="003F680E"/>
    <w:rsid w:val="00403A56"/>
    <w:rsid w:val="004044FC"/>
    <w:rsid w:val="00430A25"/>
    <w:rsid w:val="00435033"/>
    <w:rsid w:val="00451E98"/>
    <w:rsid w:val="00453E05"/>
    <w:rsid w:val="0045685F"/>
    <w:rsid w:val="004B03AA"/>
    <w:rsid w:val="004B16BA"/>
    <w:rsid w:val="004B64AC"/>
    <w:rsid w:val="004B7886"/>
    <w:rsid w:val="004C0A4F"/>
    <w:rsid w:val="004C5F25"/>
    <w:rsid w:val="004D2F7B"/>
    <w:rsid w:val="004F3E5C"/>
    <w:rsid w:val="0050278A"/>
    <w:rsid w:val="00503051"/>
    <w:rsid w:val="005345A5"/>
    <w:rsid w:val="0053515D"/>
    <w:rsid w:val="00542A2F"/>
    <w:rsid w:val="00561107"/>
    <w:rsid w:val="00566DEF"/>
    <w:rsid w:val="0058160D"/>
    <w:rsid w:val="005B17B4"/>
    <w:rsid w:val="005B32F2"/>
    <w:rsid w:val="005B6370"/>
    <w:rsid w:val="005C50F4"/>
    <w:rsid w:val="005D07A5"/>
    <w:rsid w:val="00600483"/>
    <w:rsid w:val="00600CC0"/>
    <w:rsid w:val="006064F0"/>
    <w:rsid w:val="006175F7"/>
    <w:rsid w:val="0062328E"/>
    <w:rsid w:val="00624B17"/>
    <w:rsid w:val="0063079A"/>
    <w:rsid w:val="006313D3"/>
    <w:rsid w:val="0063633C"/>
    <w:rsid w:val="006379FE"/>
    <w:rsid w:val="00637E13"/>
    <w:rsid w:val="00640DC4"/>
    <w:rsid w:val="006426C8"/>
    <w:rsid w:val="006658DA"/>
    <w:rsid w:val="00670E2E"/>
    <w:rsid w:val="00676BF0"/>
    <w:rsid w:val="00694477"/>
    <w:rsid w:val="006B2D93"/>
    <w:rsid w:val="006B55CA"/>
    <w:rsid w:val="006C6062"/>
    <w:rsid w:val="006D0444"/>
    <w:rsid w:val="006D5EA9"/>
    <w:rsid w:val="006E5410"/>
    <w:rsid w:val="006F004A"/>
    <w:rsid w:val="006F5651"/>
    <w:rsid w:val="00716CF8"/>
    <w:rsid w:val="0072025E"/>
    <w:rsid w:val="00733136"/>
    <w:rsid w:val="007440AF"/>
    <w:rsid w:val="007514FB"/>
    <w:rsid w:val="007551FA"/>
    <w:rsid w:val="00766554"/>
    <w:rsid w:val="007935D3"/>
    <w:rsid w:val="007A453C"/>
    <w:rsid w:val="007B05D6"/>
    <w:rsid w:val="007D340B"/>
    <w:rsid w:val="007E6D8D"/>
    <w:rsid w:val="007E7A4C"/>
    <w:rsid w:val="007F0B2A"/>
    <w:rsid w:val="007F2399"/>
    <w:rsid w:val="00823D98"/>
    <w:rsid w:val="00826AE1"/>
    <w:rsid w:val="00856091"/>
    <w:rsid w:val="0085656D"/>
    <w:rsid w:val="008615B8"/>
    <w:rsid w:val="00864C11"/>
    <w:rsid w:val="00895034"/>
    <w:rsid w:val="008A6712"/>
    <w:rsid w:val="008B0570"/>
    <w:rsid w:val="008D229E"/>
    <w:rsid w:val="008E1A34"/>
    <w:rsid w:val="008F44A3"/>
    <w:rsid w:val="008F50D8"/>
    <w:rsid w:val="00910146"/>
    <w:rsid w:val="00916C55"/>
    <w:rsid w:val="00927817"/>
    <w:rsid w:val="009426D7"/>
    <w:rsid w:val="00961507"/>
    <w:rsid w:val="00977048"/>
    <w:rsid w:val="0099651D"/>
    <w:rsid w:val="00997360"/>
    <w:rsid w:val="009B0665"/>
    <w:rsid w:val="009B1B00"/>
    <w:rsid w:val="009B5A30"/>
    <w:rsid w:val="009D00C9"/>
    <w:rsid w:val="009F0009"/>
    <w:rsid w:val="009F5D94"/>
    <w:rsid w:val="00A00BB2"/>
    <w:rsid w:val="00A0329B"/>
    <w:rsid w:val="00A14C5D"/>
    <w:rsid w:val="00A36A63"/>
    <w:rsid w:val="00A3750A"/>
    <w:rsid w:val="00A436AC"/>
    <w:rsid w:val="00A558E3"/>
    <w:rsid w:val="00A66BD3"/>
    <w:rsid w:val="00A86D22"/>
    <w:rsid w:val="00AA051F"/>
    <w:rsid w:val="00AA2F2E"/>
    <w:rsid w:val="00AB4597"/>
    <w:rsid w:val="00AD0CB7"/>
    <w:rsid w:val="00AD11EF"/>
    <w:rsid w:val="00B01B81"/>
    <w:rsid w:val="00B1545F"/>
    <w:rsid w:val="00B17533"/>
    <w:rsid w:val="00B2159F"/>
    <w:rsid w:val="00B248D3"/>
    <w:rsid w:val="00B24B8A"/>
    <w:rsid w:val="00B60DA4"/>
    <w:rsid w:val="00B67130"/>
    <w:rsid w:val="00B803CF"/>
    <w:rsid w:val="00B958DD"/>
    <w:rsid w:val="00BC2117"/>
    <w:rsid w:val="00BD1708"/>
    <w:rsid w:val="00C11D24"/>
    <w:rsid w:val="00C230A1"/>
    <w:rsid w:val="00C42639"/>
    <w:rsid w:val="00C74486"/>
    <w:rsid w:val="00C7643C"/>
    <w:rsid w:val="00C859F6"/>
    <w:rsid w:val="00C87246"/>
    <w:rsid w:val="00C92876"/>
    <w:rsid w:val="00C94412"/>
    <w:rsid w:val="00CD6CA3"/>
    <w:rsid w:val="00CE67DA"/>
    <w:rsid w:val="00CF231C"/>
    <w:rsid w:val="00CF5DBC"/>
    <w:rsid w:val="00D00BD6"/>
    <w:rsid w:val="00D87BD4"/>
    <w:rsid w:val="00DD4870"/>
    <w:rsid w:val="00DD69C4"/>
    <w:rsid w:val="00DE0AA8"/>
    <w:rsid w:val="00DF0D38"/>
    <w:rsid w:val="00E0510F"/>
    <w:rsid w:val="00E145E4"/>
    <w:rsid w:val="00E332A9"/>
    <w:rsid w:val="00E4310D"/>
    <w:rsid w:val="00E43D6C"/>
    <w:rsid w:val="00E51415"/>
    <w:rsid w:val="00E57221"/>
    <w:rsid w:val="00E70EFB"/>
    <w:rsid w:val="00E82CFB"/>
    <w:rsid w:val="00E9006B"/>
    <w:rsid w:val="00E97960"/>
    <w:rsid w:val="00EB4B8A"/>
    <w:rsid w:val="00ED03C7"/>
    <w:rsid w:val="00ED11D8"/>
    <w:rsid w:val="00ED6082"/>
    <w:rsid w:val="00EE50E1"/>
    <w:rsid w:val="00EF1D96"/>
    <w:rsid w:val="00F34AC0"/>
    <w:rsid w:val="00F407FC"/>
    <w:rsid w:val="00F4375E"/>
    <w:rsid w:val="00F439D5"/>
    <w:rsid w:val="00F45C93"/>
    <w:rsid w:val="00F4702D"/>
    <w:rsid w:val="00F67CC8"/>
    <w:rsid w:val="00F7600C"/>
    <w:rsid w:val="00F80767"/>
    <w:rsid w:val="00F83098"/>
    <w:rsid w:val="00F86B99"/>
    <w:rsid w:val="00F978D4"/>
    <w:rsid w:val="00FA08D0"/>
    <w:rsid w:val="00FA54EA"/>
    <w:rsid w:val="00FD1903"/>
    <w:rsid w:val="00FD7E44"/>
    <w:rsid w:val="00FE2F6A"/>
    <w:rsid w:val="00FE433A"/>
    <w:rsid w:val="00FE5FE6"/>
    <w:rsid w:val="00FE789B"/>
    <w:rsid w:val="0125A767"/>
    <w:rsid w:val="024B0ED6"/>
    <w:rsid w:val="02BC7FD2"/>
    <w:rsid w:val="04E0B173"/>
    <w:rsid w:val="0593CDBB"/>
    <w:rsid w:val="06136A16"/>
    <w:rsid w:val="071F4F6A"/>
    <w:rsid w:val="0876DF2F"/>
    <w:rsid w:val="0B602838"/>
    <w:rsid w:val="0CCBB6DD"/>
    <w:rsid w:val="0FA66743"/>
    <w:rsid w:val="10AFC60E"/>
    <w:rsid w:val="111877A5"/>
    <w:rsid w:val="13C1BA04"/>
    <w:rsid w:val="14D6C8C2"/>
    <w:rsid w:val="178B5B1C"/>
    <w:rsid w:val="17CF1CC6"/>
    <w:rsid w:val="17EB6F69"/>
    <w:rsid w:val="186CDB47"/>
    <w:rsid w:val="19911188"/>
    <w:rsid w:val="19A1FE0D"/>
    <w:rsid w:val="1A6159D5"/>
    <w:rsid w:val="1B4B3346"/>
    <w:rsid w:val="1BC12C4E"/>
    <w:rsid w:val="1D542078"/>
    <w:rsid w:val="1D7473C6"/>
    <w:rsid w:val="20573E32"/>
    <w:rsid w:val="22ECF77F"/>
    <w:rsid w:val="24C0E0C0"/>
    <w:rsid w:val="257B8A8D"/>
    <w:rsid w:val="25C911CE"/>
    <w:rsid w:val="265710CC"/>
    <w:rsid w:val="2B668313"/>
    <w:rsid w:val="2E60B4CA"/>
    <w:rsid w:val="2FDDFC31"/>
    <w:rsid w:val="302F9279"/>
    <w:rsid w:val="312D1FB1"/>
    <w:rsid w:val="32846CB0"/>
    <w:rsid w:val="32C8F012"/>
    <w:rsid w:val="33F63E12"/>
    <w:rsid w:val="361D8CC9"/>
    <w:rsid w:val="391F0939"/>
    <w:rsid w:val="39257381"/>
    <w:rsid w:val="39428B10"/>
    <w:rsid w:val="39B419AC"/>
    <w:rsid w:val="3A70D03F"/>
    <w:rsid w:val="3A9DD868"/>
    <w:rsid w:val="3A9FE138"/>
    <w:rsid w:val="3AEEDED8"/>
    <w:rsid w:val="3B18E232"/>
    <w:rsid w:val="3B58DB2B"/>
    <w:rsid w:val="3C3BB199"/>
    <w:rsid w:val="3E6F897A"/>
    <w:rsid w:val="3F282179"/>
    <w:rsid w:val="3F73525B"/>
    <w:rsid w:val="3F86E63F"/>
    <w:rsid w:val="408AEE36"/>
    <w:rsid w:val="423975D0"/>
    <w:rsid w:val="42AAF31D"/>
    <w:rsid w:val="46133169"/>
    <w:rsid w:val="463122FC"/>
    <w:rsid w:val="46381E96"/>
    <w:rsid w:val="464248AB"/>
    <w:rsid w:val="488D1F95"/>
    <w:rsid w:val="491A34A1"/>
    <w:rsid w:val="4A3AE028"/>
    <w:rsid w:val="4BBB23AD"/>
    <w:rsid w:val="4D6090B8"/>
    <w:rsid w:val="51FFE11C"/>
    <w:rsid w:val="55249B59"/>
    <w:rsid w:val="57797F77"/>
    <w:rsid w:val="5837A3C5"/>
    <w:rsid w:val="593AACF2"/>
    <w:rsid w:val="5A241B5E"/>
    <w:rsid w:val="5A2ACE38"/>
    <w:rsid w:val="5A529930"/>
    <w:rsid w:val="5AAAAB19"/>
    <w:rsid w:val="5BF5AFD0"/>
    <w:rsid w:val="5C1A6DDB"/>
    <w:rsid w:val="5D0D68A7"/>
    <w:rsid w:val="5E43EC41"/>
    <w:rsid w:val="5F2D5893"/>
    <w:rsid w:val="61384901"/>
    <w:rsid w:val="6272F585"/>
    <w:rsid w:val="6288B256"/>
    <w:rsid w:val="62EFCCE9"/>
    <w:rsid w:val="63D4BB2F"/>
    <w:rsid w:val="63EDE38C"/>
    <w:rsid w:val="640EC5A3"/>
    <w:rsid w:val="64A5983A"/>
    <w:rsid w:val="65151F59"/>
    <w:rsid w:val="6555932E"/>
    <w:rsid w:val="66C42661"/>
    <w:rsid w:val="66DEB063"/>
    <w:rsid w:val="6A2116CB"/>
    <w:rsid w:val="6AFFFA74"/>
    <w:rsid w:val="6B05B7E8"/>
    <w:rsid w:val="6B437FE3"/>
    <w:rsid w:val="6B65895A"/>
    <w:rsid w:val="6CAC1044"/>
    <w:rsid w:val="6CC114A5"/>
    <w:rsid w:val="6E258362"/>
    <w:rsid w:val="6F102711"/>
    <w:rsid w:val="6F2C5BD0"/>
    <w:rsid w:val="702FC082"/>
    <w:rsid w:val="7306C346"/>
    <w:rsid w:val="73DBB6EB"/>
    <w:rsid w:val="7481B190"/>
    <w:rsid w:val="75313AA4"/>
    <w:rsid w:val="75A18C3B"/>
    <w:rsid w:val="767A271A"/>
    <w:rsid w:val="773D5C9C"/>
    <w:rsid w:val="77545FAA"/>
    <w:rsid w:val="77E77041"/>
    <w:rsid w:val="781F17C3"/>
    <w:rsid w:val="78A357BA"/>
    <w:rsid w:val="7A94DCF4"/>
    <w:rsid w:val="7ACD43DE"/>
    <w:rsid w:val="7AFFF969"/>
    <w:rsid w:val="7B0AB2E9"/>
    <w:rsid w:val="7C54FA3B"/>
    <w:rsid w:val="7CA2A6A5"/>
    <w:rsid w:val="7CB59312"/>
    <w:rsid w:val="7E6C5BD5"/>
    <w:rsid w:val="7ECEA5BD"/>
    <w:rsid w:val="7F1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0E5B1"/>
  <w15:docId w15:val="{537079C3-EC8F-46A6-A7E0-2AFE20F5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30A1"/>
    <w:pPr>
      <w:keepNext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0A1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0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0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1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14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6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459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E5FE6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normaltextrun">
    <w:name w:val="normaltextrun"/>
    <w:basedOn w:val="DefaultParagraphFont"/>
    <w:rsid w:val="00FE5FE6"/>
  </w:style>
  <w:style w:type="character" w:customStyle="1" w:styleId="eop">
    <w:name w:val="eop"/>
    <w:basedOn w:val="DefaultParagraphFont"/>
    <w:rsid w:val="00FE5FE6"/>
  </w:style>
  <w:style w:type="character" w:customStyle="1" w:styleId="bcx0">
    <w:name w:val="bcx0"/>
    <w:basedOn w:val="DefaultParagraphFont"/>
    <w:rsid w:val="00FE5FE6"/>
  </w:style>
  <w:style w:type="character" w:customStyle="1" w:styleId="spellingerror">
    <w:name w:val="spellingerror"/>
    <w:basedOn w:val="DefaultParagraphFont"/>
    <w:rsid w:val="00FE5FE6"/>
  </w:style>
  <w:style w:type="paragraph" w:styleId="FootnoteText">
    <w:name w:val="footnote text"/>
    <w:basedOn w:val="Normal"/>
    <w:link w:val="FootnoteTextChar"/>
    <w:uiPriority w:val="99"/>
    <w:semiHidden/>
    <w:unhideWhenUsed/>
    <w:rsid w:val="009770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0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048"/>
    <w:rPr>
      <w:vertAlign w:val="superscript"/>
    </w:rPr>
  </w:style>
  <w:style w:type="paragraph" w:customStyle="1" w:styleId="Default">
    <w:name w:val="Default"/>
    <w:rsid w:val="006658DA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399"/>
    <w:pPr>
      <w:ind w:left="720"/>
      <w:contextualSpacing/>
    </w:pPr>
  </w:style>
  <w:style w:type="paragraph" w:styleId="Revision">
    <w:name w:val="Revision"/>
    <w:hidden/>
    <w:uiPriority w:val="99"/>
    <w:semiHidden/>
    <w:rsid w:val="000B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C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CF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2CF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86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250cf3-b7a9-4bd5-b2fe-054899bfcf6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00782F333A4EAFBA4B072CEFA62A" ma:contentTypeVersion="4" ma:contentTypeDescription="Create a new document." ma:contentTypeScope="" ma:versionID="0608843e0ca75f3418094d06ebb570b5">
  <xsd:schema xmlns:xsd="http://www.w3.org/2001/XMLSchema" xmlns:xs="http://www.w3.org/2001/XMLSchema" xmlns:p="http://schemas.microsoft.com/office/2006/metadata/properties" xmlns:ns2="7cb2a228-4759-4c83-a324-c804b069c66c" xmlns:ns3="a2250cf3-b7a9-4bd5-b2fe-054899bfcf6b" targetNamespace="http://schemas.microsoft.com/office/2006/metadata/properties" ma:root="true" ma:fieldsID="d7fcca2ccae15c16d5d199feab282166" ns2:_="" ns3:_="">
    <xsd:import namespace="7cb2a228-4759-4c83-a324-c804b069c66c"/>
    <xsd:import namespace="a2250cf3-b7a9-4bd5-b2fe-054899bfc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a228-4759-4c83-a324-c804b069c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50cf3-b7a9-4bd5-b2fe-054899bfc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8E308-AFC2-4DF2-9312-A9A0CC62E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B1F29-D666-4119-B9A0-16946678CE8C}">
  <ds:schemaRefs>
    <ds:schemaRef ds:uri="http://schemas.microsoft.com/office/2006/metadata/properties"/>
    <ds:schemaRef ds:uri="http://schemas.microsoft.com/office/infopath/2007/PartnerControls"/>
    <ds:schemaRef ds:uri="a2250cf3-b7a9-4bd5-b2fe-054899bfcf6b"/>
  </ds:schemaRefs>
</ds:datastoreItem>
</file>

<file path=customXml/itemProps3.xml><?xml version="1.0" encoding="utf-8"?>
<ds:datastoreItem xmlns:ds="http://schemas.openxmlformats.org/officeDocument/2006/customXml" ds:itemID="{5628243E-A358-429F-83A6-029E67397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B6D188-1B98-47E0-8A37-B9CB2690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a228-4759-4c83-a324-c804b069c66c"/>
    <ds:schemaRef ds:uri="a2250cf3-b7a9-4bd5-b2fe-054899bfc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Casazza, Suzanne</dc:creator>
  <cp:keywords/>
  <cp:lastModifiedBy>Ghadiri, Gian "Franco"</cp:lastModifiedBy>
  <cp:revision>2</cp:revision>
  <cp:lastPrinted>2019-10-29T22:24:00Z</cp:lastPrinted>
  <dcterms:created xsi:type="dcterms:W3CDTF">2021-11-04T18:53:00Z</dcterms:created>
  <dcterms:modified xsi:type="dcterms:W3CDTF">2021-11-04T18:53:00Z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0x01010005C800782F333A4EAFBA4B072CEFA62A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