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27" w:rsidRDefault="0021032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bookmarkStart w:id="0" w:name="_GoBack"/>
      <w:bookmarkEnd w:id="0"/>
      <w:r>
        <w:rPr>
          <w:rFonts w:ascii="Arial" w:hAnsi="Arial"/>
          <w:sz w:val="16"/>
        </w:rPr>
        <w:t>STATE OF CALIFORNIA</w:t>
      </w:r>
      <w:r w:rsidR="003479F4">
        <w:rPr>
          <w:rFonts w:ascii="Arial" w:hAnsi="Arial"/>
        </w:rPr>
        <w:t xml:space="preserve">                                                                                                </w:t>
      </w:r>
      <w:r w:rsidR="00C64958">
        <w:rPr>
          <w:rFonts w:ascii="Arial" w:hAnsi="Arial"/>
        </w:rPr>
        <w:t>Edmund G. Brown J</w:t>
      </w:r>
      <w:r w:rsidR="001A184A">
        <w:rPr>
          <w:rFonts w:ascii="Arial" w:hAnsi="Arial"/>
        </w:rPr>
        <w:t>r</w:t>
      </w:r>
      <w:r w:rsidR="00C922AE">
        <w:rPr>
          <w:rFonts w:ascii="Arial" w:hAnsi="Arial"/>
        </w:rPr>
        <w:t>.</w:t>
      </w:r>
      <w:r>
        <w:rPr>
          <w:rFonts w:ascii="Arial" w:hAnsi="Arial"/>
          <w:sz w:val="16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Governor</w:t>
      </w:r>
    </w:p>
    <w:p w:rsidR="00210327" w:rsidRDefault="004F23FA" w:rsidP="003479F4">
      <w:pPr>
        <w:framePr w:hSpace="180" w:wrap="auto" w:vAnchor="text" w:hAnchor="page" w:x="10157" w:y="195"/>
      </w:pPr>
      <w:r>
        <w:rPr>
          <w:noProof/>
        </w:rPr>
        <w:drawing>
          <wp:inline distT="0" distB="0" distL="0" distR="0">
            <wp:extent cx="654050" cy="603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27" w:rsidRDefault="00210327">
      <w:pPr>
        <w:tabs>
          <w:tab w:val="right" w:pos="11070"/>
        </w:tabs>
        <w:spacing w:before="80"/>
        <w:rPr>
          <w:rFonts w:ascii="Arial" w:hAnsi="Arial"/>
        </w:rPr>
      </w:pPr>
      <w:r>
        <w:rPr>
          <w:rFonts w:ascii="Arial" w:hAnsi="Arial"/>
        </w:rPr>
        <w:t>PUBLIC UTILITIES COMMISSION</w:t>
      </w:r>
    </w:p>
    <w:p w:rsidR="00210327" w:rsidRDefault="0021032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505 VAN NESS AVENUE</w:t>
      </w:r>
    </w:p>
    <w:p w:rsidR="00210327" w:rsidRDefault="0021032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:rsidR="0021330D" w:rsidRPr="00941859" w:rsidRDefault="001D68BB" w:rsidP="001D68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21330D" w:rsidRPr="00941859">
        <w:rPr>
          <w:b/>
          <w:sz w:val="24"/>
          <w:szCs w:val="24"/>
        </w:rPr>
        <w:t>PUC Low Income Energy Programs</w:t>
      </w:r>
    </w:p>
    <w:p w:rsidR="001D68BB" w:rsidRDefault="0063243A" w:rsidP="001D68BB">
      <w:pPr>
        <w:jc w:val="center"/>
        <w:rPr>
          <w:b/>
          <w:sz w:val="24"/>
          <w:szCs w:val="24"/>
        </w:rPr>
      </w:pPr>
      <w:r w:rsidRPr="00941859">
        <w:rPr>
          <w:b/>
          <w:sz w:val="24"/>
          <w:szCs w:val="24"/>
        </w:rPr>
        <w:t>California Alternate Rates for Energy</w:t>
      </w:r>
    </w:p>
    <w:p w:rsidR="0063243A" w:rsidRPr="00941859" w:rsidRDefault="001D68BB" w:rsidP="001D68BB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255C02" w:rsidRPr="00941859">
        <w:rPr>
          <w:b/>
          <w:sz w:val="24"/>
          <w:szCs w:val="24"/>
        </w:rPr>
        <w:t>Fact Sheet</w:t>
      </w:r>
    </w:p>
    <w:p w:rsidR="0063243A" w:rsidRPr="00590C39" w:rsidRDefault="0063243A" w:rsidP="0063243A">
      <w:pPr>
        <w:spacing w:line="200" w:lineRule="exact"/>
        <w:jc w:val="center"/>
        <w:rPr>
          <w:sz w:val="24"/>
          <w:szCs w:val="24"/>
        </w:rPr>
      </w:pPr>
    </w:p>
    <w:p w:rsidR="0063243A" w:rsidRPr="00E06576" w:rsidRDefault="0063243A" w:rsidP="0063243A">
      <w:pPr>
        <w:rPr>
          <w:sz w:val="22"/>
          <w:szCs w:val="22"/>
        </w:rPr>
      </w:pPr>
      <w:r w:rsidRPr="00E06576">
        <w:rPr>
          <w:sz w:val="22"/>
          <w:szCs w:val="22"/>
        </w:rPr>
        <w:t>California Alternate Rates for Energy (CARE)</w:t>
      </w:r>
      <w:r w:rsidR="0053350A">
        <w:rPr>
          <w:sz w:val="22"/>
          <w:szCs w:val="22"/>
        </w:rPr>
        <w:t xml:space="preserve"> - What is it?</w:t>
      </w:r>
    </w:p>
    <w:p w:rsidR="0053350A" w:rsidRPr="00E06576" w:rsidRDefault="0053350A" w:rsidP="0053350A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CARE</w:t>
      </w:r>
      <w:r w:rsidRPr="00E06576">
        <w:rPr>
          <w:sz w:val="22"/>
          <w:szCs w:val="22"/>
        </w:rPr>
        <w:t xml:space="preserve"> provides a rate discount to all eligible participants</w:t>
      </w:r>
      <w:r w:rsidR="00CE707D">
        <w:rPr>
          <w:sz w:val="22"/>
          <w:szCs w:val="22"/>
        </w:rPr>
        <w:t>. Currently t</w:t>
      </w:r>
      <w:r w:rsidR="002873A0">
        <w:rPr>
          <w:sz w:val="22"/>
          <w:szCs w:val="22"/>
        </w:rPr>
        <w:t>he discount is</w:t>
      </w:r>
      <w:r w:rsidRPr="00E06576">
        <w:rPr>
          <w:sz w:val="22"/>
          <w:szCs w:val="22"/>
        </w:rPr>
        <w:t xml:space="preserve"> between 3</w:t>
      </w:r>
      <w:r w:rsidR="001D3ECE">
        <w:rPr>
          <w:sz w:val="22"/>
          <w:szCs w:val="22"/>
        </w:rPr>
        <w:t>2</w:t>
      </w:r>
      <w:r w:rsidRPr="00E06576">
        <w:rPr>
          <w:sz w:val="22"/>
          <w:szCs w:val="22"/>
        </w:rPr>
        <w:t>-3</w:t>
      </w:r>
      <w:r w:rsidR="001D3ECE">
        <w:rPr>
          <w:sz w:val="22"/>
          <w:szCs w:val="22"/>
        </w:rPr>
        <w:t>9</w:t>
      </w:r>
      <w:r w:rsidRPr="00E06576">
        <w:rPr>
          <w:sz w:val="22"/>
          <w:szCs w:val="22"/>
        </w:rPr>
        <w:t>%</w:t>
      </w:r>
      <w:r>
        <w:rPr>
          <w:rStyle w:val="FootnoteReference"/>
          <w:sz w:val="22"/>
          <w:szCs w:val="22"/>
        </w:rPr>
        <w:footnoteReference w:id="1"/>
      </w:r>
      <w:r w:rsidRPr="00E06576">
        <w:rPr>
          <w:sz w:val="22"/>
          <w:szCs w:val="22"/>
        </w:rPr>
        <w:t xml:space="preserve"> for electric </w:t>
      </w:r>
      <w:r w:rsidR="001D3ECE">
        <w:rPr>
          <w:sz w:val="22"/>
          <w:szCs w:val="22"/>
        </w:rPr>
        <w:t>charges</w:t>
      </w:r>
      <w:r w:rsidRPr="00E06576">
        <w:rPr>
          <w:sz w:val="22"/>
          <w:szCs w:val="22"/>
        </w:rPr>
        <w:t xml:space="preserve"> and 20% for natural gas </w:t>
      </w:r>
      <w:r w:rsidR="001D3ECE">
        <w:rPr>
          <w:sz w:val="22"/>
          <w:szCs w:val="22"/>
        </w:rPr>
        <w:t>charges</w:t>
      </w:r>
      <w:r w:rsidRPr="00E06576">
        <w:rPr>
          <w:sz w:val="22"/>
          <w:szCs w:val="22"/>
        </w:rPr>
        <w:t xml:space="preserve">. </w:t>
      </w:r>
    </w:p>
    <w:p w:rsidR="00E8530A" w:rsidRPr="00E06576" w:rsidRDefault="00E8530A" w:rsidP="00E8530A">
      <w:pPr>
        <w:numPr>
          <w:ilvl w:val="0"/>
          <w:numId w:val="8"/>
        </w:numPr>
        <w:rPr>
          <w:sz w:val="22"/>
          <w:szCs w:val="22"/>
        </w:rPr>
      </w:pPr>
      <w:r w:rsidRPr="00E06576">
        <w:rPr>
          <w:sz w:val="22"/>
          <w:szCs w:val="22"/>
        </w:rPr>
        <w:t xml:space="preserve">Income eligibility for CARE participation is set at </w:t>
      </w:r>
      <w:r w:rsidRPr="00E06576">
        <w:rPr>
          <w:bCs/>
          <w:sz w:val="22"/>
          <w:szCs w:val="22"/>
        </w:rPr>
        <w:t xml:space="preserve">200% or less of </w:t>
      </w:r>
      <w:r w:rsidR="0050368A" w:rsidRPr="00E06576">
        <w:rPr>
          <w:bCs/>
          <w:sz w:val="22"/>
          <w:szCs w:val="22"/>
        </w:rPr>
        <w:t>F</w:t>
      </w:r>
      <w:r w:rsidR="001D3ECE">
        <w:rPr>
          <w:bCs/>
          <w:sz w:val="22"/>
          <w:szCs w:val="22"/>
        </w:rPr>
        <w:t xml:space="preserve">ederal </w:t>
      </w:r>
      <w:r w:rsidR="0050368A" w:rsidRPr="00E06576">
        <w:rPr>
          <w:bCs/>
          <w:sz w:val="22"/>
          <w:szCs w:val="22"/>
        </w:rPr>
        <w:t>P</w:t>
      </w:r>
      <w:r w:rsidR="001D3ECE">
        <w:rPr>
          <w:bCs/>
          <w:sz w:val="22"/>
          <w:szCs w:val="22"/>
        </w:rPr>
        <w:t xml:space="preserve">overty </w:t>
      </w:r>
      <w:r w:rsidR="0050368A" w:rsidRPr="00E06576">
        <w:rPr>
          <w:bCs/>
          <w:sz w:val="22"/>
          <w:szCs w:val="22"/>
        </w:rPr>
        <w:t>G</w:t>
      </w:r>
      <w:r w:rsidR="001D3ECE">
        <w:rPr>
          <w:bCs/>
          <w:sz w:val="22"/>
          <w:szCs w:val="22"/>
        </w:rPr>
        <w:t>uidelines</w:t>
      </w:r>
      <w:r w:rsidR="002873A0">
        <w:rPr>
          <w:bCs/>
          <w:sz w:val="22"/>
          <w:szCs w:val="22"/>
        </w:rPr>
        <w:t xml:space="preserve"> (FPG)</w:t>
      </w:r>
      <w:r w:rsidRPr="00E06576">
        <w:rPr>
          <w:bCs/>
          <w:sz w:val="22"/>
          <w:szCs w:val="22"/>
        </w:rPr>
        <w:t xml:space="preserve">. </w:t>
      </w:r>
    </w:p>
    <w:p w:rsidR="00E56B03" w:rsidRPr="00E56B03" w:rsidRDefault="00A72BB9" w:rsidP="00E56B03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CARE</w:t>
      </w:r>
      <w:r w:rsidRPr="00E06576">
        <w:rPr>
          <w:sz w:val="22"/>
          <w:szCs w:val="22"/>
        </w:rPr>
        <w:t xml:space="preserve"> </w:t>
      </w:r>
      <w:r w:rsidR="00E56B03" w:rsidRPr="00E56B03">
        <w:rPr>
          <w:sz w:val="22"/>
          <w:szCs w:val="22"/>
        </w:rPr>
        <w:t xml:space="preserve">is funded by </w:t>
      </w:r>
      <w:r w:rsidR="00485615" w:rsidRPr="00E56B03">
        <w:rPr>
          <w:sz w:val="22"/>
          <w:szCs w:val="22"/>
        </w:rPr>
        <w:t>non</w:t>
      </w:r>
      <w:r w:rsidR="00485615">
        <w:rPr>
          <w:sz w:val="22"/>
          <w:szCs w:val="22"/>
        </w:rPr>
        <w:t xml:space="preserve">-participating CARE customers </w:t>
      </w:r>
      <w:r w:rsidR="00E56B03" w:rsidRPr="00E56B03">
        <w:rPr>
          <w:sz w:val="22"/>
          <w:szCs w:val="22"/>
        </w:rPr>
        <w:t>as part of a statutory “public purpose program surcharge” that appears on monthly utility bills.</w:t>
      </w:r>
    </w:p>
    <w:p w:rsidR="0053350A" w:rsidRDefault="0053350A" w:rsidP="0053350A">
      <w:pPr>
        <w:rPr>
          <w:sz w:val="22"/>
          <w:szCs w:val="22"/>
        </w:rPr>
      </w:pPr>
    </w:p>
    <w:p w:rsidR="0053350A" w:rsidRPr="00F34535" w:rsidRDefault="0053350A" w:rsidP="0053350A">
      <w:pPr>
        <w:rPr>
          <w:sz w:val="22"/>
          <w:szCs w:val="22"/>
        </w:rPr>
      </w:pPr>
      <w:r w:rsidRPr="00F34535">
        <w:rPr>
          <w:sz w:val="22"/>
          <w:szCs w:val="22"/>
        </w:rPr>
        <w:t>CARE Enrollment and Verification Process</w:t>
      </w:r>
    </w:p>
    <w:p w:rsidR="0053350A" w:rsidRPr="00F34535" w:rsidRDefault="0053350A" w:rsidP="0053350A">
      <w:pPr>
        <w:numPr>
          <w:ilvl w:val="0"/>
          <w:numId w:val="10"/>
        </w:numPr>
        <w:rPr>
          <w:sz w:val="22"/>
          <w:szCs w:val="22"/>
        </w:rPr>
      </w:pPr>
      <w:r w:rsidRPr="00F34535">
        <w:rPr>
          <w:sz w:val="22"/>
          <w:szCs w:val="22"/>
        </w:rPr>
        <w:t>CARE is</w:t>
      </w:r>
      <w:r w:rsidR="00A83739" w:rsidRPr="00F34535">
        <w:rPr>
          <w:sz w:val="22"/>
          <w:szCs w:val="22"/>
        </w:rPr>
        <w:t xml:space="preserve"> administered by </w:t>
      </w:r>
      <w:r w:rsidRPr="00F34535">
        <w:rPr>
          <w:sz w:val="22"/>
          <w:szCs w:val="22"/>
        </w:rPr>
        <w:t>the</w:t>
      </w:r>
      <w:r w:rsidR="00A83739" w:rsidRPr="00F34535">
        <w:rPr>
          <w:sz w:val="22"/>
          <w:szCs w:val="22"/>
        </w:rPr>
        <w:t xml:space="preserve"> </w:t>
      </w:r>
      <w:r w:rsidR="001D3ECE" w:rsidRPr="00F34535">
        <w:rPr>
          <w:sz w:val="22"/>
          <w:szCs w:val="22"/>
        </w:rPr>
        <w:t>utilities</w:t>
      </w:r>
      <w:r w:rsidR="00A83739" w:rsidRPr="00F34535">
        <w:rPr>
          <w:sz w:val="22"/>
          <w:szCs w:val="22"/>
        </w:rPr>
        <w:t>, often in partnership with C</w:t>
      </w:r>
      <w:r w:rsidR="00101354" w:rsidRPr="00F34535">
        <w:rPr>
          <w:sz w:val="22"/>
          <w:szCs w:val="22"/>
        </w:rPr>
        <w:t xml:space="preserve">ommunity </w:t>
      </w:r>
      <w:r w:rsidR="00A83739" w:rsidRPr="00F34535">
        <w:rPr>
          <w:sz w:val="22"/>
          <w:szCs w:val="22"/>
        </w:rPr>
        <w:t>B</w:t>
      </w:r>
      <w:r w:rsidR="00101354" w:rsidRPr="00F34535">
        <w:rPr>
          <w:sz w:val="22"/>
          <w:szCs w:val="22"/>
        </w:rPr>
        <w:t xml:space="preserve">ased </w:t>
      </w:r>
      <w:r w:rsidR="00A83739" w:rsidRPr="00F34535">
        <w:rPr>
          <w:sz w:val="22"/>
          <w:szCs w:val="22"/>
        </w:rPr>
        <w:t>O</w:t>
      </w:r>
      <w:r w:rsidR="00101354" w:rsidRPr="00F34535">
        <w:rPr>
          <w:sz w:val="22"/>
          <w:szCs w:val="22"/>
        </w:rPr>
        <w:t>rganization</w:t>
      </w:r>
      <w:r w:rsidR="00A83739" w:rsidRPr="00F34535">
        <w:rPr>
          <w:sz w:val="22"/>
          <w:szCs w:val="22"/>
        </w:rPr>
        <w:t>s</w:t>
      </w:r>
      <w:r w:rsidR="002873A0" w:rsidRPr="00F34535">
        <w:rPr>
          <w:sz w:val="22"/>
          <w:szCs w:val="22"/>
        </w:rPr>
        <w:t xml:space="preserve"> (CBOs) who enroll eligible customers in their communities</w:t>
      </w:r>
      <w:r w:rsidR="00A83739" w:rsidRPr="00F34535">
        <w:rPr>
          <w:sz w:val="22"/>
          <w:szCs w:val="22"/>
        </w:rPr>
        <w:t xml:space="preserve">. </w:t>
      </w:r>
    </w:p>
    <w:p w:rsidR="000F4EE4" w:rsidRPr="00F34535" w:rsidRDefault="0053350A" w:rsidP="0053350A">
      <w:pPr>
        <w:numPr>
          <w:ilvl w:val="0"/>
          <w:numId w:val="10"/>
        </w:numPr>
        <w:rPr>
          <w:sz w:val="22"/>
          <w:szCs w:val="22"/>
        </w:rPr>
      </w:pPr>
      <w:r w:rsidRPr="00F34535">
        <w:rPr>
          <w:sz w:val="22"/>
          <w:szCs w:val="22"/>
        </w:rPr>
        <w:t xml:space="preserve">CARE is a self-certification program, with targeted post enrollment </w:t>
      </w:r>
      <w:r w:rsidR="00685EFD" w:rsidRPr="00F34535">
        <w:rPr>
          <w:sz w:val="22"/>
          <w:szCs w:val="22"/>
        </w:rPr>
        <w:t xml:space="preserve">income </w:t>
      </w:r>
      <w:r w:rsidRPr="00F34535">
        <w:rPr>
          <w:sz w:val="22"/>
          <w:szCs w:val="22"/>
        </w:rPr>
        <w:t>verification</w:t>
      </w:r>
      <w:r w:rsidR="0071182F" w:rsidRPr="00F34535">
        <w:rPr>
          <w:sz w:val="22"/>
          <w:szCs w:val="22"/>
        </w:rPr>
        <w:t>.</w:t>
      </w:r>
      <w:r w:rsidRPr="00F34535">
        <w:rPr>
          <w:sz w:val="22"/>
          <w:szCs w:val="22"/>
        </w:rPr>
        <w:t xml:space="preserve"> </w:t>
      </w:r>
    </w:p>
    <w:p w:rsidR="000F4EE4" w:rsidRPr="00F34535" w:rsidRDefault="0082140B" w:rsidP="0053350A">
      <w:pPr>
        <w:numPr>
          <w:ilvl w:val="0"/>
          <w:numId w:val="10"/>
        </w:numPr>
        <w:rPr>
          <w:sz w:val="22"/>
          <w:szCs w:val="22"/>
        </w:rPr>
      </w:pPr>
      <w:r w:rsidRPr="00F34535">
        <w:rPr>
          <w:sz w:val="22"/>
          <w:szCs w:val="22"/>
        </w:rPr>
        <w:t xml:space="preserve">High </w:t>
      </w:r>
      <w:r w:rsidR="002873A0" w:rsidRPr="00F34535">
        <w:rPr>
          <w:sz w:val="22"/>
          <w:szCs w:val="22"/>
        </w:rPr>
        <w:t xml:space="preserve">energy </w:t>
      </w:r>
      <w:r w:rsidRPr="00F34535">
        <w:rPr>
          <w:sz w:val="22"/>
          <w:szCs w:val="22"/>
        </w:rPr>
        <w:t>u</w:t>
      </w:r>
      <w:r w:rsidR="0053350A" w:rsidRPr="00F34535">
        <w:rPr>
          <w:sz w:val="22"/>
          <w:szCs w:val="22"/>
        </w:rPr>
        <w:t xml:space="preserve">sage CARE customers are also targeted for </w:t>
      </w:r>
      <w:r w:rsidR="001D3ECE" w:rsidRPr="00F34535">
        <w:rPr>
          <w:sz w:val="22"/>
          <w:szCs w:val="22"/>
        </w:rPr>
        <w:t>energy efficiency program</w:t>
      </w:r>
      <w:r w:rsidR="0053350A" w:rsidRPr="00F34535">
        <w:rPr>
          <w:sz w:val="22"/>
          <w:szCs w:val="22"/>
        </w:rPr>
        <w:t xml:space="preserve"> enrollment </w:t>
      </w:r>
      <w:r w:rsidR="001D3ECE" w:rsidRPr="00F34535">
        <w:rPr>
          <w:sz w:val="22"/>
          <w:szCs w:val="22"/>
        </w:rPr>
        <w:t xml:space="preserve">(Energy Savings Assistance Program) </w:t>
      </w:r>
      <w:r w:rsidR="0053350A" w:rsidRPr="00F34535">
        <w:rPr>
          <w:sz w:val="22"/>
          <w:szCs w:val="22"/>
        </w:rPr>
        <w:t xml:space="preserve">and </w:t>
      </w:r>
      <w:r w:rsidR="002873A0" w:rsidRPr="00F34535">
        <w:rPr>
          <w:sz w:val="22"/>
          <w:szCs w:val="22"/>
        </w:rPr>
        <w:t xml:space="preserve">other </w:t>
      </w:r>
      <w:r w:rsidR="0053350A" w:rsidRPr="00F34535">
        <w:rPr>
          <w:sz w:val="22"/>
          <w:szCs w:val="22"/>
        </w:rPr>
        <w:t>conservation efforts</w:t>
      </w:r>
      <w:r w:rsidR="0071182F" w:rsidRPr="00F34535">
        <w:rPr>
          <w:sz w:val="22"/>
          <w:szCs w:val="22"/>
        </w:rPr>
        <w:t>.</w:t>
      </w:r>
    </w:p>
    <w:p w:rsidR="0053350A" w:rsidRDefault="0053350A" w:rsidP="0053350A">
      <w:pPr>
        <w:rPr>
          <w:sz w:val="22"/>
          <w:szCs w:val="22"/>
        </w:rPr>
      </w:pPr>
    </w:p>
    <w:p w:rsidR="0053350A" w:rsidRDefault="00EB6A11" w:rsidP="0053350A">
      <w:pPr>
        <w:rPr>
          <w:sz w:val="22"/>
          <w:szCs w:val="22"/>
        </w:rPr>
      </w:pPr>
      <w:r>
        <w:rPr>
          <w:sz w:val="22"/>
          <w:szCs w:val="22"/>
        </w:rPr>
        <w:t xml:space="preserve">Program Year 2016 </w:t>
      </w:r>
      <w:r w:rsidR="0053350A" w:rsidRPr="00E06576">
        <w:rPr>
          <w:sz w:val="22"/>
          <w:szCs w:val="22"/>
        </w:rPr>
        <w:t>Program Accomplishments</w:t>
      </w:r>
      <w:r w:rsidR="0053350A" w:rsidRPr="00E06576">
        <w:rPr>
          <w:rStyle w:val="FootnoteReference"/>
          <w:sz w:val="22"/>
          <w:szCs w:val="22"/>
        </w:rPr>
        <w:footnoteReference w:id="2"/>
      </w:r>
      <w:r w:rsidR="0053350A" w:rsidRPr="00E06576">
        <w:rPr>
          <w:sz w:val="22"/>
          <w:szCs w:val="22"/>
        </w:rPr>
        <w:t>:</w:t>
      </w:r>
    </w:p>
    <w:p w:rsidR="00FE04B4" w:rsidRDefault="00FE04B4" w:rsidP="0053350A">
      <w:pPr>
        <w:rPr>
          <w:sz w:val="22"/>
          <w:szCs w:val="22"/>
        </w:rPr>
      </w:pPr>
    </w:p>
    <w:tbl>
      <w:tblPr>
        <w:tblStyle w:val="TableGrid"/>
        <w:tblW w:w="108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530"/>
        <w:gridCol w:w="1260"/>
        <w:gridCol w:w="1260"/>
        <w:gridCol w:w="1260"/>
        <w:gridCol w:w="1170"/>
        <w:gridCol w:w="1170"/>
      </w:tblGrid>
      <w:tr w:rsidR="004C1038" w:rsidRPr="00AE769A" w:rsidTr="004C10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A" w:rsidRPr="00AE769A" w:rsidRDefault="00AE769A" w:rsidP="00941859">
            <w:pPr>
              <w:jc w:val="center"/>
              <w:rPr>
                <w:b/>
                <w:sz w:val="19"/>
                <w:szCs w:val="19"/>
              </w:rPr>
            </w:pPr>
            <w:r w:rsidRPr="00AE769A">
              <w:rPr>
                <w:b/>
                <w:sz w:val="19"/>
                <w:szCs w:val="19"/>
              </w:rPr>
              <w:t>Utility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A" w:rsidRPr="00AE769A" w:rsidRDefault="00AE769A" w:rsidP="00941859">
            <w:pPr>
              <w:jc w:val="center"/>
              <w:rPr>
                <w:b/>
                <w:sz w:val="19"/>
                <w:szCs w:val="19"/>
              </w:rPr>
            </w:pPr>
            <w:r w:rsidRPr="00AE769A">
              <w:rPr>
                <w:b/>
                <w:sz w:val="19"/>
                <w:szCs w:val="19"/>
              </w:rPr>
              <w:t xml:space="preserve"> CARE Program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A" w:rsidRPr="00AE769A" w:rsidRDefault="00AE769A" w:rsidP="00941859">
            <w:pPr>
              <w:jc w:val="center"/>
              <w:rPr>
                <w:b/>
                <w:sz w:val="19"/>
                <w:szCs w:val="19"/>
              </w:rPr>
            </w:pPr>
            <w:r w:rsidRPr="00AE769A">
              <w:rPr>
                <w:b/>
                <w:sz w:val="19"/>
                <w:szCs w:val="19"/>
              </w:rPr>
              <w:t>Customer Benefit</w:t>
            </w:r>
            <w:r w:rsidRPr="00AE769A">
              <w:rPr>
                <w:rStyle w:val="FootnoteReference"/>
                <w:b/>
                <w:sz w:val="19"/>
                <w:szCs w:val="19"/>
              </w:rPr>
              <w:footnoteReference w:id="3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69A" w:rsidRPr="00AE769A" w:rsidRDefault="00AE769A" w:rsidP="00C4274F">
            <w:pPr>
              <w:jc w:val="center"/>
              <w:rPr>
                <w:b/>
                <w:sz w:val="19"/>
                <w:szCs w:val="19"/>
              </w:rPr>
            </w:pPr>
            <w:r w:rsidRPr="00AE769A">
              <w:rPr>
                <w:b/>
                <w:sz w:val="19"/>
                <w:szCs w:val="19"/>
              </w:rPr>
              <w:t>Customer Subsidy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A" w:rsidRPr="00AE769A" w:rsidRDefault="00AE769A" w:rsidP="001C48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Admin</w:t>
            </w:r>
            <w:r w:rsidRPr="00AE769A">
              <w:rPr>
                <w:b/>
                <w:sz w:val="19"/>
                <w:szCs w:val="19"/>
              </w:rPr>
              <w:t xml:space="preserve"> Costs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A" w:rsidRPr="00AE769A" w:rsidRDefault="00AE769A" w:rsidP="00C6012B">
            <w:pPr>
              <w:jc w:val="center"/>
              <w:rPr>
                <w:b/>
                <w:sz w:val="19"/>
                <w:szCs w:val="19"/>
              </w:rPr>
            </w:pPr>
            <w:r w:rsidRPr="00AE769A">
              <w:rPr>
                <w:b/>
                <w:sz w:val="19"/>
                <w:szCs w:val="19"/>
              </w:rPr>
              <w:t>Avg Monthly Discount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A" w:rsidRPr="00AE769A" w:rsidRDefault="00AE769A" w:rsidP="00A84EE0">
            <w:pPr>
              <w:jc w:val="center"/>
              <w:rPr>
                <w:b/>
                <w:sz w:val="19"/>
                <w:szCs w:val="19"/>
              </w:rPr>
            </w:pPr>
            <w:r w:rsidRPr="005C10A9">
              <w:rPr>
                <w:b/>
                <w:sz w:val="19"/>
                <w:szCs w:val="19"/>
              </w:rPr>
              <w:t xml:space="preserve">Est. Eligible CARE </w:t>
            </w:r>
            <w:r w:rsidR="00A84EE0">
              <w:rPr>
                <w:b/>
                <w:sz w:val="19"/>
                <w:szCs w:val="19"/>
              </w:rPr>
              <w:t>Customers</w:t>
            </w:r>
            <w:r w:rsidR="004C1038">
              <w:rPr>
                <w:rStyle w:val="FootnoteReference"/>
                <w:b/>
                <w:sz w:val="19"/>
                <w:szCs w:val="19"/>
              </w:rPr>
              <w:footnoteReference w:id="4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A" w:rsidRPr="00AE769A" w:rsidRDefault="00A84EE0" w:rsidP="001C484D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Customers</w:t>
            </w:r>
            <w:r w:rsidR="00AE769A" w:rsidRPr="00AE769A">
              <w:rPr>
                <w:b/>
                <w:sz w:val="19"/>
                <w:szCs w:val="19"/>
              </w:rPr>
              <w:t xml:space="preserve"> Served</w:t>
            </w:r>
            <w:r w:rsidR="00AE769A" w:rsidRPr="00AE769A">
              <w:rPr>
                <w:rStyle w:val="FootnoteReference"/>
                <w:b/>
                <w:sz w:val="19"/>
                <w:szCs w:val="19"/>
              </w:rPr>
              <w:footnoteReference w:id="5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A" w:rsidRPr="00AE769A" w:rsidRDefault="00AE769A" w:rsidP="00177D26">
            <w:pPr>
              <w:jc w:val="center"/>
              <w:rPr>
                <w:b/>
                <w:sz w:val="19"/>
                <w:szCs w:val="19"/>
              </w:rPr>
            </w:pPr>
            <w:r w:rsidRPr="00AE769A">
              <w:rPr>
                <w:b/>
                <w:sz w:val="19"/>
                <w:szCs w:val="19"/>
              </w:rPr>
              <w:t>Penetration rate</w:t>
            </w:r>
          </w:p>
        </w:tc>
      </w:tr>
      <w:tr w:rsidR="004C1038" w:rsidRPr="008D6F29" w:rsidTr="004C103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Default="00783A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PG&amp;E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2F" w:rsidRDefault="00783A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$489,890,983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$9,918,297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$32.72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Pr="00783A2F" w:rsidRDefault="00783A2F" w:rsidP="004C1038">
            <w:pPr>
              <w:jc w:val="center"/>
              <w:rPr>
                <w:color w:val="000000"/>
                <w:sz w:val="20"/>
                <w:szCs w:val="20"/>
              </w:rPr>
            </w:pPr>
            <w:r w:rsidRPr="00783A2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83A2F">
              <w:rPr>
                <w:color w:val="000000"/>
                <w:sz w:val="20"/>
                <w:szCs w:val="20"/>
              </w:rPr>
              <w:t>612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83A2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1,423,324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Default="004C1038" w:rsidP="00B27E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  <w:r w:rsidR="00783A2F">
              <w:rPr>
                <w:color w:val="000000"/>
                <w:sz w:val="20"/>
                <w:szCs w:val="20"/>
              </w:rPr>
              <w:t>%</w:t>
            </w:r>
          </w:p>
        </w:tc>
      </w:tr>
      <w:tr w:rsidR="004C1038" w:rsidRPr="008D6F29" w:rsidTr="004C1038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Pr="008D6F29" w:rsidRDefault="00783A2F" w:rsidP="0094185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2F" w:rsidRPr="008D6F29" w:rsidRDefault="00783A2F" w:rsidP="00992998">
            <w:pPr>
              <w:jc w:val="center"/>
              <w:rPr>
                <w:sz w:val="20"/>
                <w:szCs w:val="20"/>
              </w:rPr>
            </w:pPr>
            <w:r w:rsidRPr="008D6F29">
              <w:rPr>
                <w:sz w:val="20"/>
                <w:szCs w:val="20"/>
              </w:rPr>
              <w:t>Gas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A2F" w:rsidRPr="008D6F29" w:rsidRDefault="00783A2F" w:rsidP="00B7348E">
            <w:pPr>
              <w:jc w:val="right"/>
              <w:rPr>
                <w:sz w:val="20"/>
                <w:szCs w:val="20"/>
              </w:rPr>
            </w:pPr>
            <w:r w:rsidRPr="008D6F29">
              <w:rPr>
                <w:sz w:val="20"/>
                <w:szCs w:val="20"/>
              </w:rPr>
              <w:t>20%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Pr="008D6F29" w:rsidRDefault="00783A2F" w:rsidP="00B73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8D6F29">
              <w:rPr>
                <w:sz w:val="20"/>
                <w:szCs w:val="20"/>
              </w:rPr>
              <w:t xml:space="preserve">97,825,083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Pr="00C314A8" w:rsidRDefault="00783A2F" w:rsidP="00C314A8">
            <w:pPr>
              <w:jc w:val="right"/>
              <w:rPr>
                <w:bCs/>
              </w:rPr>
            </w:pPr>
            <w:r>
              <w:rPr>
                <w:bCs/>
                <w:sz w:val="20"/>
                <w:szCs w:val="20"/>
              </w:rPr>
              <w:t>$</w:t>
            </w:r>
            <w:r w:rsidRPr="008D6F29">
              <w:rPr>
                <w:bCs/>
                <w:sz w:val="20"/>
                <w:szCs w:val="20"/>
              </w:rPr>
              <w:t xml:space="preserve">2,297,890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Pr="00E707FE" w:rsidRDefault="00783A2F" w:rsidP="00B7348E">
            <w:pPr>
              <w:tabs>
                <w:tab w:val="left" w:pos="1656"/>
              </w:tabs>
              <w:jc w:val="right"/>
              <w:rPr>
                <w:sz w:val="20"/>
                <w:szCs w:val="20"/>
              </w:rPr>
            </w:pPr>
            <w:r w:rsidRPr="00E707FE">
              <w:rPr>
                <w:sz w:val="20"/>
                <w:szCs w:val="20"/>
              </w:rPr>
              <w:t>$7.11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Pr="00783A2F" w:rsidRDefault="00783A2F" w:rsidP="004C10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Pr="00E707FE" w:rsidRDefault="00783A2F" w:rsidP="00B7348E">
            <w:pPr>
              <w:tabs>
                <w:tab w:val="left" w:pos="165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Pr="00E707FE" w:rsidRDefault="00783A2F" w:rsidP="00B7348E">
            <w:pPr>
              <w:tabs>
                <w:tab w:val="left" w:pos="1656"/>
              </w:tabs>
              <w:jc w:val="right"/>
              <w:rPr>
                <w:sz w:val="20"/>
                <w:szCs w:val="20"/>
              </w:rPr>
            </w:pPr>
          </w:p>
        </w:tc>
      </w:tr>
      <w:tr w:rsidR="004C1038" w:rsidRPr="008D6F29" w:rsidTr="004C10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32.50%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$348,951,329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$6,012,799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$23.99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Pr="00783A2F" w:rsidRDefault="00783A2F" w:rsidP="004C1038">
            <w:pPr>
              <w:jc w:val="center"/>
              <w:rPr>
                <w:color w:val="000000"/>
                <w:sz w:val="20"/>
                <w:szCs w:val="20"/>
              </w:rPr>
            </w:pPr>
            <w:r w:rsidRPr="00783A2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83A2F">
              <w:rPr>
                <w:color w:val="000000"/>
                <w:sz w:val="20"/>
                <w:szCs w:val="20"/>
              </w:rPr>
              <w:t>520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83A2F">
              <w:rPr>
                <w:color w:val="000000"/>
                <w:sz w:val="20"/>
                <w:szCs w:val="20"/>
              </w:rPr>
              <w:t>058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1,235,755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4C10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C103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4C1038" w:rsidRPr="008D6F29" w:rsidTr="004C1038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Default="00783A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SDG&amp;E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$93,041,550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$4,350,624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$20.45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Pr="00783A2F" w:rsidRDefault="00783A2F" w:rsidP="004C1038">
            <w:pPr>
              <w:jc w:val="center"/>
              <w:rPr>
                <w:color w:val="000000"/>
                <w:sz w:val="20"/>
                <w:szCs w:val="20"/>
              </w:rPr>
            </w:pPr>
            <w:r w:rsidRPr="00783A2F">
              <w:rPr>
                <w:color w:val="000000"/>
                <w:sz w:val="20"/>
                <w:szCs w:val="20"/>
              </w:rPr>
              <w:t>350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83A2F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270,620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A2F" w:rsidRDefault="004C1038" w:rsidP="00B27E4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 w:rsidR="00783A2F">
              <w:rPr>
                <w:color w:val="000000"/>
                <w:sz w:val="20"/>
                <w:szCs w:val="20"/>
              </w:rPr>
              <w:t>%</w:t>
            </w:r>
          </w:p>
        </w:tc>
      </w:tr>
      <w:tr w:rsidR="004C1038" w:rsidRPr="008D6F29" w:rsidTr="004C1038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$10,075,898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$504,853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$3.05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Pr="00783A2F" w:rsidRDefault="00783A2F" w:rsidP="004C10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2F" w:rsidRDefault="00783A2F" w:rsidP="00B734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1038" w:rsidRPr="008D6F29" w:rsidTr="004C10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SoCalGas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$107,303,947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$6,662,775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$6.17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Pr="00783A2F" w:rsidRDefault="00783A2F" w:rsidP="004C1038">
            <w:pPr>
              <w:jc w:val="center"/>
              <w:rPr>
                <w:color w:val="000000"/>
                <w:sz w:val="20"/>
                <w:szCs w:val="20"/>
              </w:rPr>
            </w:pPr>
            <w:r w:rsidRPr="00783A2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83A2F">
              <w:rPr>
                <w:color w:val="000000"/>
                <w:sz w:val="20"/>
                <w:szCs w:val="20"/>
              </w:rPr>
              <w:t>911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783A2F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1,570,566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4C10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4C10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4C1038" w:rsidRPr="008D6F29" w:rsidTr="004C103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Statewide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A" w:rsidRDefault="00AE76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$1,147,088,790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$29,747,238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9A" w:rsidRDefault="00AE769A" w:rsidP="00B7348E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9A" w:rsidRDefault="00AE769A" w:rsidP="00B7348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C66DC" w:rsidRDefault="00EC66DC" w:rsidP="00EC66DC">
      <w:pPr>
        <w:rPr>
          <w:sz w:val="22"/>
          <w:szCs w:val="22"/>
        </w:rPr>
      </w:pPr>
    </w:p>
    <w:p w:rsidR="00EC66DC" w:rsidRDefault="00EB6A11" w:rsidP="00EC66DC">
      <w:pPr>
        <w:rPr>
          <w:sz w:val="22"/>
          <w:szCs w:val="22"/>
        </w:rPr>
      </w:pPr>
      <w:r>
        <w:rPr>
          <w:sz w:val="22"/>
          <w:szCs w:val="22"/>
        </w:rPr>
        <w:t xml:space="preserve">Program Years 2017-2020 </w:t>
      </w:r>
      <w:r w:rsidR="002971D6">
        <w:rPr>
          <w:sz w:val="22"/>
          <w:szCs w:val="22"/>
        </w:rPr>
        <w:t xml:space="preserve">Program </w:t>
      </w:r>
      <w:r w:rsidR="00EC66DC">
        <w:rPr>
          <w:sz w:val="22"/>
          <w:szCs w:val="22"/>
        </w:rPr>
        <w:t>Authorized</w:t>
      </w:r>
      <w:r w:rsidR="00EC66DC" w:rsidRPr="00EC66DC">
        <w:rPr>
          <w:sz w:val="22"/>
          <w:szCs w:val="22"/>
        </w:rPr>
        <w:t xml:space="preserve"> </w:t>
      </w:r>
      <w:r w:rsidR="00D36337">
        <w:rPr>
          <w:sz w:val="22"/>
          <w:szCs w:val="22"/>
        </w:rPr>
        <w:t>Budgets (</w:t>
      </w:r>
      <w:r w:rsidR="00EC66DC" w:rsidRPr="00EC66DC">
        <w:rPr>
          <w:sz w:val="22"/>
          <w:szCs w:val="22"/>
        </w:rPr>
        <w:t xml:space="preserve">Administrative </w:t>
      </w:r>
      <w:r w:rsidR="00D36337">
        <w:rPr>
          <w:sz w:val="22"/>
          <w:szCs w:val="22"/>
        </w:rPr>
        <w:t xml:space="preserve">+ </w:t>
      </w:r>
      <w:r w:rsidR="006D4691">
        <w:rPr>
          <w:sz w:val="22"/>
          <w:szCs w:val="22"/>
        </w:rPr>
        <w:t>S</w:t>
      </w:r>
      <w:r w:rsidR="00EC66DC" w:rsidRPr="00EC66DC">
        <w:rPr>
          <w:sz w:val="22"/>
          <w:szCs w:val="22"/>
        </w:rPr>
        <w:t>ubsidies</w:t>
      </w:r>
      <w:r w:rsidR="00D36337">
        <w:rPr>
          <w:sz w:val="22"/>
          <w:szCs w:val="22"/>
        </w:rPr>
        <w:t>)</w:t>
      </w:r>
      <w:r w:rsidR="006D4691">
        <w:rPr>
          <w:sz w:val="22"/>
          <w:szCs w:val="22"/>
        </w:rPr>
        <w:t xml:space="preserve"> and Goals</w:t>
      </w:r>
      <w:r w:rsidR="00EC66DC">
        <w:rPr>
          <w:rStyle w:val="FootnoteReference"/>
          <w:sz w:val="22"/>
          <w:szCs w:val="22"/>
        </w:rPr>
        <w:footnoteReference w:id="6"/>
      </w:r>
      <w:r w:rsidR="00EC66DC" w:rsidRPr="00E06576">
        <w:rPr>
          <w:sz w:val="22"/>
          <w:szCs w:val="22"/>
        </w:rPr>
        <w:t>:</w:t>
      </w:r>
    </w:p>
    <w:p w:rsidR="00FE04B4" w:rsidRDefault="00FE04B4" w:rsidP="00EC66DC">
      <w:pPr>
        <w:rPr>
          <w:sz w:val="22"/>
          <w:szCs w:val="22"/>
        </w:rPr>
      </w:pPr>
    </w:p>
    <w:tbl>
      <w:tblPr>
        <w:tblW w:w="9810" w:type="dxa"/>
        <w:tblInd w:w="-72" w:type="dxa"/>
        <w:tblLook w:val="04A0" w:firstRow="1" w:lastRow="0" w:firstColumn="1" w:lastColumn="0" w:noHBand="0" w:noVBand="1"/>
      </w:tblPr>
      <w:tblGrid>
        <w:gridCol w:w="1080"/>
        <w:gridCol w:w="1821"/>
        <w:gridCol w:w="1616"/>
        <w:gridCol w:w="1616"/>
        <w:gridCol w:w="1877"/>
        <w:gridCol w:w="1800"/>
      </w:tblGrid>
      <w:tr w:rsidR="00D43516" w:rsidRPr="00EC66DC" w:rsidTr="00D43516">
        <w:trPr>
          <w:trHeight w:val="276"/>
        </w:trPr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EC66DC">
            <w:pPr>
              <w:jc w:val="center"/>
              <w:rPr>
                <w:b/>
              </w:rPr>
            </w:pPr>
            <w:r w:rsidRPr="00EC66DC">
              <w:rPr>
                <w:b/>
              </w:rPr>
              <w:t>Authorized CARE Administrative Budgets &amp; Subsidies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6" w:rsidRPr="00EC66DC" w:rsidRDefault="00D43516" w:rsidP="00EC66DC">
            <w:pPr>
              <w:jc w:val="center"/>
              <w:rPr>
                <w:b/>
              </w:rPr>
            </w:pPr>
            <w:r>
              <w:rPr>
                <w:b/>
              </w:rPr>
              <w:t>Penetration Goal</w:t>
            </w:r>
          </w:p>
        </w:tc>
      </w:tr>
      <w:tr w:rsidR="00D43516" w:rsidRPr="00A10BF5" w:rsidTr="00D43516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A10BF5" w:rsidRDefault="00D43516" w:rsidP="00B16719">
            <w:pPr>
              <w:jc w:val="right"/>
              <w:rPr>
                <w:b/>
                <w:color w:val="000000"/>
              </w:rPr>
            </w:pPr>
            <w:r w:rsidRPr="00A10BF5">
              <w:rPr>
                <w:b/>
                <w:color w:val="00000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A10BF5" w:rsidRDefault="00D43516" w:rsidP="00B16719">
            <w:pPr>
              <w:jc w:val="right"/>
              <w:rPr>
                <w:b/>
                <w:color w:val="000000"/>
              </w:rPr>
            </w:pPr>
            <w:r w:rsidRPr="00A10BF5">
              <w:rPr>
                <w:b/>
                <w:color w:val="000000"/>
              </w:rPr>
              <w:t>2017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A10BF5" w:rsidRDefault="00D43516" w:rsidP="00B16719">
            <w:pPr>
              <w:jc w:val="right"/>
              <w:rPr>
                <w:b/>
                <w:color w:val="000000"/>
              </w:rPr>
            </w:pPr>
            <w:r w:rsidRPr="00A10BF5">
              <w:rPr>
                <w:b/>
                <w:color w:val="000000"/>
              </w:rPr>
              <w:t>2018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A10BF5" w:rsidRDefault="00D43516" w:rsidP="00B16719">
            <w:pPr>
              <w:jc w:val="right"/>
              <w:rPr>
                <w:b/>
                <w:color w:val="000000"/>
              </w:rPr>
            </w:pPr>
            <w:r w:rsidRPr="00A10BF5">
              <w:rPr>
                <w:b/>
                <w:color w:val="000000"/>
              </w:rPr>
              <w:t>2019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A10BF5" w:rsidRDefault="00D43516" w:rsidP="00B16719">
            <w:pPr>
              <w:jc w:val="right"/>
              <w:rPr>
                <w:b/>
                <w:color w:val="000000"/>
              </w:rPr>
            </w:pPr>
            <w:r w:rsidRPr="00A10BF5">
              <w:rPr>
                <w:b/>
                <w:color w:val="000000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516" w:rsidRPr="00A10BF5" w:rsidRDefault="00D43516" w:rsidP="00B16719">
            <w:pPr>
              <w:jc w:val="right"/>
              <w:rPr>
                <w:b/>
                <w:color w:val="000000"/>
              </w:rPr>
            </w:pPr>
          </w:p>
        </w:tc>
      </w:tr>
      <w:tr w:rsidR="00D43516" w:rsidRPr="00EC66DC" w:rsidTr="00D43516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>PG&amp;E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$597,561,454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$604,914,453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$610,963,597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$617,073,233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516" w:rsidRPr="00EC66DC" w:rsidRDefault="00D43516" w:rsidP="00D435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D43516" w:rsidRPr="00EC66DC" w:rsidTr="00D43516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>SCE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$464,298,306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$488,745,726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$493,633,183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$498,569,516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516" w:rsidRDefault="00D43516" w:rsidP="00D43516">
            <w:pPr>
              <w:jc w:val="right"/>
            </w:pPr>
            <w:r w:rsidRPr="00974517">
              <w:rPr>
                <w:color w:val="000000"/>
              </w:rPr>
              <w:t>90%</w:t>
            </w:r>
          </w:p>
        </w:tc>
      </w:tr>
      <w:tr w:rsidR="00D43516" w:rsidRPr="00EC66DC" w:rsidTr="00D43516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>SDG&amp;E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$76,827,851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$79,973,069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$80,772,801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$81,580,528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516" w:rsidRDefault="00D43516" w:rsidP="00D43516">
            <w:pPr>
              <w:jc w:val="right"/>
            </w:pPr>
            <w:r w:rsidRPr="00974517">
              <w:rPr>
                <w:color w:val="000000"/>
              </w:rPr>
              <w:t>90%</w:t>
            </w:r>
          </w:p>
        </w:tc>
      </w:tr>
      <w:tr w:rsidR="00D43516" w:rsidRPr="00EC66DC" w:rsidTr="00D43516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>SoCalGas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$140,277,040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$141,330,650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$142,743,956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color w:val="000000"/>
              </w:rPr>
            </w:pPr>
            <w:r w:rsidRPr="00EC66DC">
              <w:rPr>
                <w:color w:val="000000"/>
              </w:rPr>
              <w:t xml:space="preserve">$144,171,396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516" w:rsidRDefault="00D43516" w:rsidP="00D43516">
            <w:pPr>
              <w:jc w:val="right"/>
            </w:pPr>
            <w:r w:rsidRPr="00974517">
              <w:rPr>
                <w:color w:val="000000"/>
              </w:rPr>
              <w:t>90%</w:t>
            </w:r>
          </w:p>
        </w:tc>
      </w:tr>
      <w:tr w:rsidR="00D43516" w:rsidRPr="00EC66DC" w:rsidTr="00D43516">
        <w:trPr>
          <w:trHeight w:val="27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b/>
                <w:color w:val="000000"/>
              </w:rPr>
            </w:pPr>
            <w:r w:rsidRPr="00EC66DC">
              <w:rPr>
                <w:b/>
                <w:color w:val="000000"/>
              </w:rPr>
              <w:t>Total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b/>
                <w:color w:val="000000"/>
              </w:rPr>
            </w:pPr>
            <w:r w:rsidRPr="00EC66DC">
              <w:rPr>
                <w:b/>
                <w:color w:val="000000"/>
              </w:rPr>
              <w:t xml:space="preserve">$1,278,964,651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b/>
                <w:color w:val="000000"/>
              </w:rPr>
            </w:pPr>
            <w:r w:rsidRPr="00EC66DC">
              <w:rPr>
                <w:b/>
                <w:color w:val="000000"/>
              </w:rPr>
              <w:t xml:space="preserve">$1,314,963,898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b/>
                <w:color w:val="000000"/>
              </w:rPr>
            </w:pPr>
            <w:r w:rsidRPr="00EC66DC">
              <w:rPr>
                <w:b/>
                <w:color w:val="000000"/>
              </w:rPr>
              <w:t xml:space="preserve">$1,328,113,537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516" w:rsidRPr="00EC66DC" w:rsidRDefault="00D43516" w:rsidP="00B16719">
            <w:pPr>
              <w:jc w:val="right"/>
              <w:rPr>
                <w:b/>
                <w:color w:val="000000"/>
              </w:rPr>
            </w:pPr>
            <w:r w:rsidRPr="00EC66DC">
              <w:rPr>
                <w:b/>
                <w:color w:val="000000"/>
              </w:rPr>
              <w:t xml:space="preserve">$1,341,394,673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516" w:rsidRPr="00EC66DC" w:rsidRDefault="00D43516" w:rsidP="00B16719">
            <w:pPr>
              <w:jc w:val="right"/>
              <w:rPr>
                <w:b/>
                <w:color w:val="000000"/>
              </w:rPr>
            </w:pPr>
          </w:p>
        </w:tc>
      </w:tr>
    </w:tbl>
    <w:p w:rsidR="00221FEC" w:rsidRDefault="00FB330C" w:rsidP="008F2A96">
      <w:pPr>
        <w:rPr>
          <w:rFonts w:ascii="Arial" w:hAnsi="Arial"/>
          <w:i/>
        </w:rPr>
      </w:pPr>
      <w:r>
        <w:rPr>
          <w:sz w:val="24"/>
          <w:szCs w:val="24"/>
        </w:rPr>
        <w:br w:type="page"/>
      </w:r>
      <w:r w:rsidR="00221FEC">
        <w:rPr>
          <w:rFonts w:ascii="Arial" w:hAnsi="Arial"/>
          <w:sz w:val="16"/>
        </w:rPr>
        <w:lastRenderedPageBreak/>
        <w:t>STATE OF CALIFORNIA</w:t>
      </w:r>
      <w:r w:rsidR="00221FEC">
        <w:rPr>
          <w:rFonts w:ascii="Arial" w:hAnsi="Arial"/>
        </w:rPr>
        <w:t xml:space="preserve">                                                                                                Edmund G. Brown Jr.</w:t>
      </w:r>
      <w:r w:rsidR="00221FEC">
        <w:rPr>
          <w:rFonts w:ascii="Arial" w:hAnsi="Arial"/>
          <w:sz w:val="16"/>
        </w:rPr>
        <w:t>,</w:t>
      </w:r>
      <w:r w:rsidR="00221FEC">
        <w:rPr>
          <w:rFonts w:ascii="Arial" w:hAnsi="Arial"/>
        </w:rPr>
        <w:t xml:space="preserve"> </w:t>
      </w:r>
      <w:r w:rsidR="00221FEC">
        <w:rPr>
          <w:rFonts w:ascii="Arial" w:hAnsi="Arial"/>
          <w:i/>
          <w:sz w:val="16"/>
        </w:rPr>
        <w:t>Governor</w:t>
      </w:r>
    </w:p>
    <w:p w:rsidR="00221FEC" w:rsidRDefault="00221FEC" w:rsidP="00221FEC">
      <w:pPr>
        <w:framePr w:hSpace="180" w:wrap="auto" w:vAnchor="text" w:hAnchor="page" w:x="10157" w:y="195"/>
      </w:pPr>
      <w:r>
        <w:rPr>
          <w:noProof/>
        </w:rPr>
        <w:drawing>
          <wp:inline distT="0" distB="0" distL="0" distR="0" wp14:anchorId="13214D3E" wp14:editId="7F9CF400">
            <wp:extent cx="654050" cy="603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FEC" w:rsidRDefault="00221FEC" w:rsidP="00221FEC">
      <w:pPr>
        <w:tabs>
          <w:tab w:val="right" w:pos="11070"/>
        </w:tabs>
        <w:spacing w:before="80"/>
        <w:rPr>
          <w:rFonts w:ascii="Arial" w:hAnsi="Arial"/>
        </w:rPr>
      </w:pPr>
      <w:r>
        <w:rPr>
          <w:rFonts w:ascii="Arial" w:hAnsi="Arial"/>
        </w:rPr>
        <w:t>PUBLIC UTILITIES COMMISSION</w:t>
      </w:r>
    </w:p>
    <w:p w:rsidR="00221FEC" w:rsidRDefault="00221FEC" w:rsidP="00221FEC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505 VAN NESS AVENUE</w:t>
      </w:r>
    </w:p>
    <w:p w:rsidR="00AF1C7B" w:rsidRDefault="00221FEC" w:rsidP="00221FEC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:rsidR="00531624" w:rsidRDefault="0021330D" w:rsidP="00941859">
      <w:pPr>
        <w:jc w:val="center"/>
        <w:rPr>
          <w:b/>
          <w:sz w:val="24"/>
          <w:szCs w:val="24"/>
        </w:rPr>
      </w:pPr>
      <w:r w:rsidRPr="00941859">
        <w:rPr>
          <w:b/>
          <w:sz w:val="24"/>
          <w:szCs w:val="24"/>
        </w:rPr>
        <w:t>CPUC Low Income Energy Programs</w:t>
      </w:r>
      <w:r w:rsidR="004A3B48">
        <w:rPr>
          <w:b/>
          <w:sz w:val="24"/>
          <w:szCs w:val="24"/>
        </w:rPr>
        <w:t xml:space="preserve"> </w:t>
      </w:r>
    </w:p>
    <w:p w:rsidR="00221FEC" w:rsidRPr="00941859" w:rsidRDefault="00221FEC" w:rsidP="00941859">
      <w:pPr>
        <w:jc w:val="center"/>
        <w:rPr>
          <w:b/>
          <w:sz w:val="24"/>
          <w:szCs w:val="24"/>
        </w:rPr>
      </w:pPr>
      <w:r w:rsidRPr="00941859">
        <w:rPr>
          <w:b/>
          <w:sz w:val="24"/>
          <w:szCs w:val="24"/>
        </w:rPr>
        <w:t xml:space="preserve">Energy Savings Assistance Program </w:t>
      </w:r>
    </w:p>
    <w:p w:rsidR="00221FEC" w:rsidRPr="00941859" w:rsidRDefault="00401962" w:rsidP="00401962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21FEC" w:rsidRPr="00941859">
        <w:rPr>
          <w:b/>
          <w:sz w:val="24"/>
          <w:szCs w:val="24"/>
        </w:rPr>
        <w:t>Fact Sheet</w:t>
      </w:r>
    </w:p>
    <w:p w:rsidR="00FB330C" w:rsidRPr="00590C39" w:rsidRDefault="00FB330C" w:rsidP="00FB330C">
      <w:pPr>
        <w:spacing w:line="200" w:lineRule="exact"/>
        <w:jc w:val="center"/>
        <w:rPr>
          <w:sz w:val="24"/>
          <w:szCs w:val="24"/>
        </w:rPr>
      </w:pPr>
    </w:p>
    <w:p w:rsidR="0063243A" w:rsidRPr="005457D4" w:rsidRDefault="00FB330C" w:rsidP="00B21BA5">
      <w:pPr>
        <w:rPr>
          <w:sz w:val="22"/>
          <w:szCs w:val="22"/>
        </w:rPr>
      </w:pPr>
      <w:r w:rsidRPr="00E06576">
        <w:rPr>
          <w:sz w:val="22"/>
          <w:szCs w:val="22"/>
        </w:rPr>
        <w:t>Energy</w:t>
      </w:r>
      <w:r>
        <w:rPr>
          <w:sz w:val="22"/>
          <w:szCs w:val="22"/>
        </w:rPr>
        <w:t xml:space="preserve"> Savings Assistance Program</w:t>
      </w:r>
      <w:r w:rsidRPr="00E06576">
        <w:rPr>
          <w:sz w:val="22"/>
          <w:szCs w:val="22"/>
        </w:rPr>
        <w:t xml:space="preserve"> (</w:t>
      </w:r>
      <w:r w:rsidR="00AC546A">
        <w:rPr>
          <w:sz w:val="22"/>
          <w:szCs w:val="22"/>
        </w:rPr>
        <w:t>ESA</w:t>
      </w:r>
      <w:r w:rsidR="00C72D5A" w:rsidRPr="00E06576">
        <w:rPr>
          <w:sz w:val="22"/>
          <w:szCs w:val="22"/>
        </w:rPr>
        <w:t>)</w:t>
      </w:r>
      <w:r w:rsidR="00C72D5A">
        <w:rPr>
          <w:sz w:val="22"/>
          <w:szCs w:val="22"/>
        </w:rPr>
        <w:t xml:space="preserve"> - </w:t>
      </w:r>
      <w:r w:rsidR="00AC546A">
        <w:rPr>
          <w:sz w:val="22"/>
          <w:szCs w:val="22"/>
        </w:rPr>
        <w:t>What is it?</w:t>
      </w:r>
    </w:p>
    <w:p w:rsidR="000F4EE4" w:rsidRPr="00E50FB7" w:rsidRDefault="00C72D5A" w:rsidP="000C3BFF">
      <w:pPr>
        <w:numPr>
          <w:ilvl w:val="0"/>
          <w:numId w:val="11"/>
        </w:numPr>
        <w:rPr>
          <w:sz w:val="22"/>
          <w:szCs w:val="22"/>
        </w:rPr>
      </w:pPr>
      <w:r w:rsidRPr="00E50FB7">
        <w:rPr>
          <w:sz w:val="22"/>
          <w:szCs w:val="22"/>
        </w:rPr>
        <w:t xml:space="preserve">The </w:t>
      </w:r>
      <w:r w:rsidR="00A83739" w:rsidRPr="00E50FB7">
        <w:rPr>
          <w:sz w:val="22"/>
          <w:szCs w:val="22"/>
        </w:rPr>
        <w:t xml:space="preserve">ESA Program installs weatherization and energy efficiency measures, provides minor home repairs, and energy education at no cost to </w:t>
      </w:r>
      <w:r w:rsidR="00E15E3C" w:rsidRPr="00E50FB7">
        <w:rPr>
          <w:sz w:val="22"/>
          <w:szCs w:val="22"/>
        </w:rPr>
        <w:t xml:space="preserve">income eligible </w:t>
      </w:r>
      <w:r w:rsidR="00A83739" w:rsidRPr="00E50FB7">
        <w:rPr>
          <w:sz w:val="22"/>
          <w:szCs w:val="22"/>
        </w:rPr>
        <w:t>program participants</w:t>
      </w:r>
      <w:r w:rsidR="009B285E" w:rsidRPr="00E50FB7">
        <w:rPr>
          <w:sz w:val="22"/>
          <w:szCs w:val="22"/>
        </w:rPr>
        <w:t>.</w:t>
      </w:r>
    </w:p>
    <w:p w:rsidR="005457D4" w:rsidRPr="00E50FB7" w:rsidRDefault="005457D4" w:rsidP="005457D4">
      <w:pPr>
        <w:numPr>
          <w:ilvl w:val="0"/>
          <w:numId w:val="11"/>
        </w:numPr>
        <w:rPr>
          <w:sz w:val="22"/>
          <w:szCs w:val="22"/>
        </w:rPr>
      </w:pPr>
      <w:r w:rsidRPr="00E50FB7">
        <w:rPr>
          <w:sz w:val="22"/>
          <w:szCs w:val="22"/>
        </w:rPr>
        <w:t xml:space="preserve">Income eligibility for ESA participation is set at </w:t>
      </w:r>
      <w:r w:rsidRPr="00E50FB7">
        <w:rPr>
          <w:bCs/>
          <w:sz w:val="22"/>
          <w:szCs w:val="22"/>
        </w:rPr>
        <w:t xml:space="preserve">200% or less of </w:t>
      </w:r>
      <w:r w:rsidR="00E15E3C" w:rsidRPr="00E50FB7">
        <w:rPr>
          <w:bCs/>
          <w:sz w:val="22"/>
          <w:szCs w:val="22"/>
        </w:rPr>
        <w:t xml:space="preserve">the </w:t>
      </w:r>
      <w:r w:rsidRPr="00E50FB7">
        <w:rPr>
          <w:bCs/>
          <w:sz w:val="22"/>
          <w:szCs w:val="22"/>
        </w:rPr>
        <w:t>F</w:t>
      </w:r>
      <w:r w:rsidR="004A3B48" w:rsidRPr="00E50FB7">
        <w:rPr>
          <w:bCs/>
          <w:sz w:val="22"/>
          <w:szCs w:val="22"/>
        </w:rPr>
        <w:t xml:space="preserve">ederal </w:t>
      </w:r>
      <w:r w:rsidRPr="00E50FB7">
        <w:rPr>
          <w:bCs/>
          <w:sz w:val="22"/>
          <w:szCs w:val="22"/>
        </w:rPr>
        <w:t>P</w:t>
      </w:r>
      <w:r w:rsidR="004A3B48" w:rsidRPr="00E50FB7">
        <w:rPr>
          <w:bCs/>
          <w:sz w:val="22"/>
          <w:szCs w:val="22"/>
        </w:rPr>
        <w:t xml:space="preserve">overty </w:t>
      </w:r>
      <w:r w:rsidRPr="00E50FB7">
        <w:rPr>
          <w:bCs/>
          <w:sz w:val="22"/>
          <w:szCs w:val="22"/>
        </w:rPr>
        <w:t>G</w:t>
      </w:r>
      <w:r w:rsidR="004A3B48" w:rsidRPr="00E50FB7">
        <w:rPr>
          <w:bCs/>
          <w:sz w:val="22"/>
          <w:szCs w:val="22"/>
        </w:rPr>
        <w:t>uideline</w:t>
      </w:r>
      <w:r w:rsidR="00E15E3C" w:rsidRPr="00E50FB7">
        <w:rPr>
          <w:bCs/>
          <w:sz w:val="22"/>
          <w:szCs w:val="22"/>
        </w:rPr>
        <w:t xml:space="preserve"> (FPG)</w:t>
      </w:r>
      <w:r w:rsidRPr="00E50FB7">
        <w:rPr>
          <w:bCs/>
          <w:sz w:val="22"/>
          <w:szCs w:val="22"/>
        </w:rPr>
        <w:t xml:space="preserve">. </w:t>
      </w:r>
    </w:p>
    <w:p w:rsidR="005457D4" w:rsidRPr="00E50FB7" w:rsidRDefault="005457D4" w:rsidP="005457D4">
      <w:pPr>
        <w:numPr>
          <w:ilvl w:val="0"/>
          <w:numId w:val="11"/>
        </w:numPr>
        <w:rPr>
          <w:sz w:val="22"/>
          <w:szCs w:val="22"/>
        </w:rPr>
      </w:pPr>
      <w:r w:rsidRPr="00E50FB7">
        <w:rPr>
          <w:sz w:val="22"/>
          <w:szCs w:val="22"/>
        </w:rPr>
        <w:t>ESA is funded by ratepayers as part of a statutory “public purpose program surcharge” that appears on monthly utility bills.</w:t>
      </w:r>
    </w:p>
    <w:p w:rsidR="007E4834" w:rsidRPr="00E50FB7" w:rsidRDefault="007E4834" w:rsidP="007E4834">
      <w:pPr>
        <w:numPr>
          <w:ilvl w:val="0"/>
          <w:numId w:val="11"/>
        </w:numPr>
        <w:rPr>
          <w:sz w:val="22"/>
          <w:szCs w:val="22"/>
        </w:rPr>
      </w:pPr>
      <w:r w:rsidRPr="00E50FB7">
        <w:rPr>
          <w:sz w:val="22"/>
          <w:szCs w:val="22"/>
        </w:rPr>
        <w:t>The goal is to reduce energy consumption, resulting in bill savings, while also increasing the health, comfort, and/or safety of the household</w:t>
      </w:r>
      <w:r w:rsidR="00EA7BEA" w:rsidRPr="00E50FB7">
        <w:rPr>
          <w:sz w:val="22"/>
          <w:szCs w:val="22"/>
        </w:rPr>
        <w:t>.</w:t>
      </w:r>
    </w:p>
    <w:p w:rsidR="005457D4" w:rsidRPr="00E50FB7" w:rsidRDefault="005457D4" w:rsidP="005457D4">
      <w:pPr>
        <w:rPr>
          <w:sz w:val="22"/>
          <w:szCs w:val="22"/>
        </w:rPr>
      </w:pPr>
    </w:p>
    <w:p w:rsidR="007E4834" w:rsidRPr="00E50FB7" w:rsidRDefault="007E4834" w:rsidP="007E4834">
      <w:pPr>
        <w:rPr>
          <w:sz w:val="22"/>
          <w:szCs w:val="22"/>
        </w:rPr>
      </w:pPr>
      <w:r w:rsidRPr="00E50FB7">
        <w:rPr>
          <w:sz w:val="22"/>
          <w:szCs w:val="22"/>
        </w:rPr>
        <w:t>ESA Program</w:t>
      </w:r>
      <w:r w:rsidR="0082140B" w:rsidRPr="00E50FB7">
        <w:rPr>
          <w:sz w:val="22"/>
          <w:szCs w:val="22"/>
        </w:rPr>
        <w:t xml:space="preserve"> Goals and Mandate</w:t>
      </w:r>
    </w:p>
    <w:p w:rsidR="000F4EE4" w:rsidRPr="00E50FB7" w:rsidRDefault="00A83739" w:rsidP="00AC546A">
      <w:pPr>
        <w:numPr>
          <w:ilvl w:val="0"/>
          <w:numId w:val="11"/>
        </w:numPr>
        <w:rPr>
          <w:sz w:val="22"/>
          <w:szCs w:val="22"/>
        </w:rPr>
      </w:pPr>
      <w:r w:rsidRPr="00E50FB7">
        <w:rPr>
          <w:sz w:val="22"/>
          <w:szCs w:val="22"/>
        </w:rPr>
        <w:t>PU Code Section 2790 require</w:t>
      </w:r>
      <w:r w:rsidR="00EA7BEA" w:rsidRPr="00E50FB7">
        <w:rPr>
          <w:sz w:val="22"/>
          <w:szCs w:val="22"/>
        </w:rPr>
        <w:t>s</w:t>
      </w:r>
      <w:r w:rsidRPr="00E50FB7">
        <w:rPr>
          <w:sz w:val="22"/>
          <w:szCs w:val="22"/>
        </w:rPr>
        <w:t xml:space="preserve"> an electrical or gas corporation to perform home weatherization services for low</w:t>
      </w:r>
      <w:r w:rsidR="00EA7BEA" w:rsidRPr="00E50FB7">
        <w:rPr>
          <w:sz w:val="22"/>
          <w:szCs w:val="22"/>
        </w:rPr>
        <w:t xml:space="preserve"> </w:t>
      </w:r>
      <w:r w:rsidRPr="00E50FB7">
        <w:rPr>
          <w:sz w:val="22"/>
          <w:szCs w:val="22"/>
        </w:rPr>
        <w:t>income customers</w:t>
      </w:r>
      <w:r w:rsidR="000C0FE8" w:rsidRPr="00E50FB7">
        <w:rPr>
          <w:sz w:val="22"/>
          <w:szCs w:val="22"/>
        </w:rPr>
        <w:t>. A utility must balance</w:t>
      </w:r>
      <w:r w:rsidRPr="00E50FB7">
        <w:rPr>
          <w:sz w:val="22"/>
          <w:szCs w:val="22"/>
        </w:rPr>
        <w:t xml:space="preserve"> the cost</w:t>
      </w:r>
      <w:r w:rsidR="00EA7BEA" w:rsidRPr="00E50FB7">
        <w:rPr>
          <w:sz w:val="22"/>
          <w:szCs w:val="22"/>
        </w:rPr>
        <w:t xml:space="preserve"> </w:t>
      </w:r>
      <w:r w:rsidRPr="00E50FB7">
        <w:rPr>
          <w:sz w:val="22"/>
          <w:szCs w:val="22"/>
        </w:rPr>
        <w:t xml:space="preserve">effectiveness of the </w:t>
      </w:r>
      <w:r w:rsidR="000C0FE8" w:rsidRPr="00E50FB7">
        <w:rPr>
          <w:sz w:val="22"/>
          <w:szCs w:val="22"/>
        </w:rPr>
        <w:t xml:space="preserve">weatherization </w:t>
      </w:r>
      <w:r w:rsidRPr="00E50FB7">
        <w:rPr>
          <w:sz w:val="22"/>
          <w:szCs w:val="22"/>
        </w:rPr>
        <w:t>services and the policy of reducing the hardships facing low</w:t>
      </w:r>
      <w:r w:rsidR="00EA7BEA" w:rsidRPr="00E50FB7">
        <w:rPr>
          <w:sz w:val="22"/>
          <w:szCs w:val="22"/>
        </w:rPr>
        <w:t xml:space="preserve"> </w:t>
      </w:r>
      <w:r w:rsidRPr="00E50FB7">
        <w:rPr>
          <w:sz w:val="22"/>
          <w:szCs w:val="22"/>
        </w:rPr>
        <w:t>income households</w:t>
      </w:r>
      <w:r w:rsidR="00EA7BEA" w:rsidRPr="00E50FB7">
        <w:rPr>
          <w:sz w:val="22"/>
          <w:szCs w:val="22"/>
        </w:rPr>
        <w:t>.</w:t>
      </w:r>
    </w:p>
    <w:p w:rsidR="000F4EE4" w:rsidRPr="00E50FB7" w:rsidRDefault="00A83739" w:rsidP="00AC546A">
      <w:pPr>
        <w:numPr>
          <w:ilvl w:val="0"/>
          <w:numId w:val="11"/>
        </w:numPr>
        <w:rPr>
          <w:sz w:val="22"/>
          <w:szCs w:val="22"/>
        </w:rPr>
      </w:pPr>
      <w:r w:rsidRPr="00E50FB7">
        <w:rPr>
          <w:sz w:val="22"/>
          <w:szCs w:val="22"/>
        </w:rPr>
        <w:t xml:space="preserve">By 2020, </w:t>
      </w:r>
      <w:r w:rsidR="0082140B" w:rsidRPr="00E50FB7">
        <w:rPr>
          <w:sz w:val="22"/>
          <w:szCs w:val="22"/>
        </w:rPr>
        <w:t>100% of</w:t>
      </w:r>
      <w:r w:rsidR="00EA7BEA" w:rsidRPr="00E50FB7">
        <w:rPr>
          <w:sz w:val="22"/>
          <w:szCs w:val="22"/>
        </w:rPr>
        <w:t xml:space="preserve"> all</w:t>
      </w:r>
      <w:r w:rsidR="0082140B" w:rsidRPr="00E50FB7">
        <w:rPr>
          <w:sz w:val="22"/>
          <w:szCs w:val="22"/>
        </w:rPr>
        <w:t xml:space="preserve"> eligible and willing </w:t>
      </w:r>
      <w:r w:rsidR="00EA7BEA" w:rsidRPr="00E50FB7">
        <w:rPr>
          <w:sz w:val="22"/>
          <w:szCs w:val="22"/>
        </w:rPr>
        <w:t>low income</w:t>
      </w:r>
      <w:r w:rsidR="0082140B" w:rsidRPr="00E50FB7">
        <w:rPr>
          <w:sz w:val="22"/>
          <w:szCs w:val="22"/>
        </w:rPr>
        <w:t xml:space="preserve"> customers </w:t>
      </w:r>
      <w:r w:rsidRPr="00E50FB7">
        <w:rPr>
          <w:sz w:val="22"/>
          <w:szCs w:val="22"/>
        </w:rPr>
        <w:t>will be given the opportunity</w:t>
      </w:r>
      <w:r w:rsidR="0082140B" w:rsidRPr="00E50FB7">
        <w:rPr>
          <w:sz w:val="22"/>
          <w:szCs w:val="22"/>
        </w:rPr>
        <w:t xml:space="preserve"> to participate in the program.</w:t>
      </w:r>
    </w:p>
    <w:p w:rsidR="000F4EE4" w:rsidRPr="00E50FB7" w:rsidRDefault="00E15E3C" w:rsidP="00AC546A">
      <w:pPr>
        <w:numPr>
          <w:ilvl w:val="0"/>
          <w:numId w:val="11"/>
        </w:numPr>
        <w:rPr>
          <w:sz w:val="22"/>
          <w:szCs w:val="22"/>
        </w:rPr>
      </w:pPr>
      <w:r w:rsidRPr="00E50FB7">
        <w:rPr>
          <w:sz w:val="22"/>
          <w:szCs w:val="22"/>
        </w:rPr>
        <w:t xml:space="preserve">An ongoing aspiration for the </w:t>
      </w:r>
      <w:r w:rsidR="0082140B" w:rsidRPr="00E50FB7">
        <w:rPr>
          <w:sz w:val="22"/>
          <w:szCs w:val="22"/>
        </w:rPr>
        <w:t>ESA</w:t>
      </w:r>
      <w:r w:rsidRPr="00E50FB7">
        <w:rPr>
          <w:sz w:val="22"/>
          <w:szCs w:val="22"/>
        </w:rPr>
        <w:t xml:space="preserve"> program is that it</w:t>
      </w:r>
      <w:r w:rsidR="00A83739" w:rsidRPr="00E50FB7">
        <w:rPr>
          <w:sz w:val="22"/>
          <w:szCs w:val="22"/>
        </w:rPr>
        <w:t xml:space="preserve"> will be an energy resource by delivering increasingly cost-effective and longer-term savings to participants</w:t>
      </w:r>
      <w:r w:rsidR="0082140B" w:rsidRPr="00E50FB7">
        <w:rPr>
          <w:sz w:val="22"/>
          <w:szCs w:val="22"/>
        </w:rPr>
        <w:t>.</w:t>
      </w:r>
    </w:p>
    <w:p w:rsidR="000C3BFF" w:rsidRPr="00E50FB7" w:rsidRDefault="000C3BFF" w:rsidP="00B21BA5">
      <w:pPr>
        <w:rPr>
          <w:sz w:val="22"/>
          <w:szCs w:val="22"/>
        </w:rPr>
      </w:pPr>
    </w:p>
    <w:p w:rsidR="0082140B" w:rsidRPr="00E50FB7" w:rsidRDefault="0082140B" w:rsidP="0082140B">
      <w:pPr>
        <w:rPr>
          <w:sz w:val="22"/>
          <w:szCs w:val="22"/>
        </w:rPr>
      </w:pPr>
      <w:r w:rsidRPr="00E50FB7">
        <w:rPr>
          <w:sz w:val="22"/>
          <w:szCs w:val="22"/>
        </w:rPr>
        <w:t>ESA Enrollment and Verification Process</w:t>
      </w:r>
    </w:p>
    <w:p w:rsidR="0082140B" w:rsidRPr="00E50FB7" w:rsidRDefault="00A20C55" w:rsidP="0082140B">
      <w:pPr>
        <w:numPr>
          <w:ilvl w:val="0"/>
          <w:numId w:val="10"/>
        </w:numPr>
        <w:rPr>
          <w:sz w:val="22"/>
          <w:szCs w:val="22"/>
        </w:rPr>
      </w:pPr>
      <w:r w:rsidRPr="00E50FB7">
        <w:rPr>
          <w:sz w:val="22"/>
          <w:szCs w:val="22"/>
        </w:rPr>
        <w:t xml:space="preserve">Customers are enrolled </w:t>
      </w:r>
      <w:r w:rsidR="00E71701" w:rsidRPr="00E50FB7">
        <w:rPr>
          <w:sz w:val="22"/>
          <w:szCs w:val="22"/>
        </w:rPr>
        <w:t xml:space="preserve">into the program </w:t>
      </w:r>
      <w:r w:rsidRPr="00E50FB7">
        <w:rPr>
          <w:sz w:val="22"/>
          <w:szCs w:val="22"/>
        </w:rPr>
        <w:t>through</w:t>
      </w:r>
      <w:r w:rsidR="00841A4D" w:rsidRPr="00E50FB7">
        <w:rPr>
          <w:sz w:val="22"/>
          <w:szCs w:val="22"/>
        </w:rPr>
        <w:t xml:space="preserve"> </w:t>
      </w:r>
      <w:r w:rsidRPr="00E50FB7">
        <w:rPr>
          <w:sz w:val="22"/>
          <w:szCs w:val="22"/>
        </w:rPr>
        <w:t xml:space="preserve">various channels including </w:t>
      </w:r>
      <w:r w:rsidR="000C0FE8" w:rsidRPr="00E50FB7">
        <w:rPr>
          <w:sz w:val="22"/>
          <w:szCs w:val="22"/>
        </w:rPr>
        <w:t xml:space="preserve">leads from </w:t>
      </w:r>
      <w:r w:rsidR="00841A4D" w:rsidRPr="00E50FB7">
        <w:rPr>
          <w:sz w:val="22"/>
          <w:szCs w:val="22"/>
        </w:rPr>
        <w:t>CARE</w:t>
      </w:r>
      <w:r w:rsidR="000C0FE8" w:rsidRPr="00E50FB7">
        <w:rPr>
          <w:sz w:val="22"/>
          <w:szCs w:val="22"/>
        </w:rPr>
        <w:t xml:space="preserve"> program participants</w:t>
      </w:r>
      <w:r w:rsidR="00841A4D" w:rsidRPr="00E50FB7">
        <w:rPr>
          <w:sz w:val="22"/>
          <w:szCs w:val="22"/>
        </w:rPr>
        <w:t xml:space="preserve">, door to door neighborhood canvasing, </w:t>
      </w:r>
      <w:r w:rsidRPr="00E50FB7">
        <w:rPr>
          <w:sz w:val="22"/>
          <w:szCs w:val="22"/>
        </w:rPr>
        <w:t>direct mail, email, community based organizations</w:t>
      </w:r>
      <w:r w:rsidR="00B100FA" w:rsidRPr="00E50FB7">
        <w:rPr>
          <w:sz w:val="22"/>
          <w:szCs w:val="22"/>
        </w:rPr>
        <w:t xml:space="preserve">, categorical enrollment, </w:t>
      </w:r>
      <w:r w:rsidRPr="00E50FB7">
        <w:rPr>
          <w:sz w:val="22"/>
          <w:szCs w:val="22"/>
        </w:rPr>
        <w:t xml:space="preserve">and community events. </w:t>
      </w:r>
    </w:p>
    <w:p w:rsidR="0082140B" w:rsidRPr="00E50FB7" w:rsidRDefault="0082140B" w:rsidP="0082140B">
      <w:pPr>
        <w:numPr>
          <w:ilvl w:val="0"/>
          <w:numId w:val="10"/>
        </w:numPr>
        <w:rPr>
          <w:sz w:val="22"/>
          <w:szCs w:val="22"/>
        </w:rPr>
      </w:pPr>
      <w:r w:rsidRPr="00E50FB7">
        <w:rPr>
          <w:sz w:val="22"/>
          <w:szCs w:val="22"/>
        </w:rPr>
        <w:t>ESA is an income verified program</w:t>
      </w:r>
      <w:r w:rsidR="000C0FE8" w:rsidRPr="00E50FB7">
        <w:rPr>
          <w:sz w:val="22"/>
          <w:szCs w:val="22"/>
        </w:rPr>
        <w:t xml:space="preserve">. Customers can also enroll </w:t>
      </w:r>
      <w:r w:rsidR="00427823" w:rsidRPr="00E50FB7">
        <w:rPr>
          <w:sz w:val="22"/>
          <w:szCs w:val="22"/>
        </w:rPr>
        <w:t>automatically if</w:t>
      </w:r>
      <w:r w:rsidR="000C0FE8" w:rsidRPr="00E50FB7">
        <w:rPr>
          <w:sz w:val="22"/>
          <w:szCs w:val="22"/>
        </w:rPr>
        <w:t xml:space="preserve"> their</w:t>
      </w:r>
      <w:r w:rsidRPr="00E50FB7">
        <w:rPr>
          <w:sz w:val="22"/>
          <w:szCs w:val="22"/>
        </w:rPr>
        <w:t xml:space="preserve"> household is </w:t>
      </w:r>
      <w:r w:rsidR="000C0FE8" w:rsidRPr="00E50FB7">
        <w:rPr>
          <w:sz w:val="22"/>
          <w:szCs w:val="22"/>
        </w:rPr>
        <w:t xml:space="preserve">already </w:t>
      </w:r>
      <w:r w:rsidRPr="00E50FB7">
        <w:rPr>
          <w:sz w:val="22"/>
          <w:szCs w:val="22"/>
        </w:rPr>
        <w:t>enrolled</w:t>
      </w:r>
      <w:r w:rsidR="00A20C55" w:rsidRPr="00E50FB7">
        <w:rPr>
          <w:sz w:val="22"/>
          <w:szCs w:val="22"/>
        </w:rPr>
        <w:t xml:space="preserve"> </w:t>
      </w:r>
      <w:r w:rsidR="000C0FE8" w:rsidRPr="00E50FB7">
        <w:rPr>
          <w:sz w:val="22"/>
          <w:szCs w:val="22"/>
        </w:rPr>
        <w:t xml:space="preserve">in another assistance program with similar </w:t>
      </w:r>
      <w:r w:rsidR="00A20C55" w:rsidRPr="00E50FB7">
        <w:rPr>
          <w:sz w:val="22"/>
          <w:szCs w:val="22"/>
        </w:rPr>
        <w:t xml:space="preserve">financial </w:t>
      </w:r>
      <w:r w:rsidR="000C0FE8" w:rsidRPr="00E50FB7">
        <w:rPr>
          <w:sz w:val="22"/>
          <w:szCs w:val="22"/>
        </w:rPr>
        <w:t xml:space="preserve">criteria. </w:t>
      </w:r>
    </w:p>
    <w:p w:rsidR="0082140B" w:rsidRPr="00E50FB7" w:rsidRDefault="00B100FA" w:rsidP="0082140B">
      <w:pPr>
        <w:numPr>
          <w:ilvl w:val="0"/>
          <w:numId w:val="10"/>
        </w:numPr>
        <w:rPr>
          <w:sz w:val="22"/>
          <w:szCs w:val="22"/>
        </w:rPr>
      </w:pPr>
      <w:r w:rsidRPr="00E50FB7">
        <w:rPr>
          <w:sz w:val="22"/>
          <w:szCs w:val="22"/>
        </w:rPr>
        <w:t>As the program mature</w:t>
      </w:r>
      <w:r w:rsidR="00E71701" w:rsidRPr="00E50FB7">
        <w:rPr>
          <w:sz w:val="22"/>
          <w:szCs w:val="22"/>
        </w:rPr>
        <w:t>s</w:t>
      </w:r>
      <w:r w:rsidRPr="00E50FB7">
        <w:rPr>
          <w:sz w:val="22"/>
          <w:szCs w:val="22"/>
        </w:rPr>
        <w:t xml:space="preserve"> and </w:t>
      </w:r>
      <w:r w:rsidR="00E71701" w:rsidRPr="00E50FB7">
        <w:rPr>
          <w:sz w:val="22"/>
          <w:szCs w:val="22"/>
        </w:rPr>
        <w:t xml:space="preserve">nears its 2020 goal, </w:t>
      </w:r>
      <w:r w:rsidR="000C0FE8" w:rsidRPr="00E50FB7">
        <w:rPr>
          <w:sz w:val="22"/>
          <w:szCs w:val="22"/>
        </w:rPr>
        <w:t xml:space="preserve">the program will be targeting </w:t>
      </w:r>
      <w:r w:rsidR="004000D1" w:rsidRPr="00E50FB7">
        <w:rPr>
          <w:sz w:val="22"/>
          <w:szCs w:val="22"/>
        </w:rPr>
        <w:t>h</w:t>
      </w:r>
      <w:r w:rsidR="0082140B" w:rsidRPr="00E50FB7">
        <w:rPr>
          <w:sz w:val="22"/>
          <w:szCs w:val="22"/>
        </w:rPr>
        <w:t xml:space="preserve">igh </w:t>
      </w:r>
      <w:r w:rsidR="000C0FE8" w:rsidRPr="00E50FB7">
        <w:rPr>
          <w:sz w:val="22"/>
          <w:szCs w:val="22"/>
        </w:rPr>
        <w:t xml:space="preserve">energy </w:t>
      </w:r>
      <w:r w:rsidR="0082140B" w:rsidRPr="00E50FB7">
        <w:rPr>
          <w:sz w:val="22"/>
          <w:szCs w:val="22"/>
        </w:rPr>
        <w:t xml:space="preserve">usage and hard to reach customers </w:t>
      </w:r>
      <w:r w:rsidR="00500AD6" w:rsidRPr="00E50FB7">
        <w:rPr>
          <w:sz w:val="22"/>
          <w:szCs w:val="22"/>
        </w:rPr>
        <w:t>not yet enrolled</w:t>
      </w:r>
      <w:r w:rsidR="0082140B" w:rsidRPr="00E50FB7">
        <w:rPr>
          <w:sz w:val="22"/>
          <w:szCs w:val="22"/>
        </w:rPr>
        <w:t>.</w:t>
      </w:r>
    </w:p>
    <w:p w:rsidR="0082140B" w:rsidRDefault="0082140B" w:rsidP="0082140B">
      <w:pPr>
        <w:rPr>
          <w:sz w:val="22"/>
          <w:szCs w:val="22"/>
        </w:rPr>
      </w:pPr>
    </w:p>
    <w:p w:rsidR="0082140B" w:rsidRDefault="008E477E" w:rsidP="0082140B">
      <w:pPr>
        <w:rPr>
          <w:sz w:val="22"/>
          <w:szCs w:val="22"/>
        </w:rPr>
      </w:pPr>
      <w:r w:rsidRPr="008E477E">
        <w:rPr>
          <w:sz w:val="22"/>
          <w:szCs w:val="22"/>
        </w:rPr>
        <w:t xml:space="preserve">Program Year 2016 </w:t>
      </w:r>
      <w:r w:rsidR="0082140B" w:rsidRPr="00E06576">
        <w:rPr>
          <w:sz w:val="22"/>
          <w:szCs w:val="22"/>
        </w:rPr>
        <w:t>Program Accomplishments</w:t>
      </w:r>
      <w:r w:rsidR="0082140B" w:rsidRPr="00E06576">
        <w:rPr>
          <w:rStyle w:val="FootnoteReference"/>
          <w:sz w:val="22"/>
          <w:szCs w:val="22"/>
        </w:rPr>
        <w:footnoteReference w:id="7"/>
      </w:r>
      <w:r w:rsidR="0082140B" w:rsidRPr="00E06576">
        <w:rPr>
          <w:sz w:val="22"/>
          <w:szCs w:val="22"/>
        </w:rPr>
        <w:t>:</w:t>
      </w:r>
    </w:p>
    <w:p w:rsidR="008D7AAE" w:rsidRDefault="008D7AAE" w:rsidP="0082140B">
      <w:pPr>
        <w:rPr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142"/>
        <w:gridCol w:w="1018"/>
        <w:gridCol w:w="1440"/>
        <w:gridCol w:w="1504"/>
        <w:gridCol w:w="1485"/>
        <w:gridCol w:w="1560"/>
        <w:gridCol w:w="1709"/>
      </w:tblGrid>
      <w:tr w:rsidR="005C5F27" w:rsidRPr="001C484D" w:rsidTr="00E1195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Default="005C5F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Utility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7" w:rsidRDefault="005C5F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ESA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Default="005C5F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Expenditures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7" w:rsidRDefault="005C5F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Energy Saved (Annual kWh , Therms)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Default="005C5F2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Homes Weatherized</w:t>
            </w:r>
            <w:r w:rsidR="00EC24B5">
              <w:rPr>
                <w:rStyle w:val="FootnoteReference"/>
                <w:b/>
                <w:bCs/>
                <w:color w:val="000000"/>
                <w:sz w:val="20"/>
                <w:szCs w:val="20"/>
              </w:rPr>
              <w:footnoteReference w:id="8"/>
            </w:r>
            <w:r w:rsidR="00FE0BDC">
              <w:rPr>
                <w:b/>
                <w:bCs/>
                <w:color w:val="000000"/>
                <w:sz w:val="20"/>
                <w:szCs w:val="20"/>
              </w:rPr>
              <w:t xml:space="preserve"> in 2016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Default="00E11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Avg </w:t>
            </w:r>
            <w:r w:rsidR="005C5F27">
              <w:rPr>
                <w:b/>
                <w:bCs/>
                <w:color w:val="000000"/>
                <w:sz w:val="20"/>
                <w:szCs w:val="20"/>
              </w:rPr>
              <w:t xml:space="preserve">1st Year Bill Savings / Treated Households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Default="00E119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Avg </w:t>
            </w:r>
            <w:r w:rsidR="005C5F27">
              <w:rPr>
                <w:b/>
                <w:bCs/>
                <w:color w:val="000000"/>
                <w:sz w:val="20"/>
                <w:szCs w:val="20"/>
              </w:rPr>
              <w:t>Lifecycle Bill Savings / Treated Households</w:t>
            </w:r>
          </w:p>
        </w:tc>
      </w:tr>
      <w:tr w:rsidR="005C5F27" w:rsidRPr="00992998" w:rsidTr="00E1195B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PG&amp;E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7" w:rsidRPr="005C5F27" w:rsidRDefault="005C5F27">
            <w:pPr>
              <w:jc w:val="center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$59,116,944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5C5F27">
              <w:rPr>
                <w:color w:val="000000"/>
                <w:sz w:val="20"/>
                <w:szCs w:val="20"/>
              </w:rPr>
              <w:t xml:space="preserve">25,859,062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Pr="005C5F27">
              <w:rPr>
                <w:color w:val="000000"/>
                <w:sz w:val="20"/>
                <w:szCs w:val="20"/>
              </w:rPr>
              <w:t xml:space="preserve">     72,459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$75 </w:t>
            </w:r>
          </w:p>
          <w:p w:rsidR="005C5F27" w:rsidRPr="005C5F27" w:rsidRDefault="005C5F27" w:rsidP="00941859">
            <w:pPr>
              <w:tabs>
                <w:tab w:val="left" w:pos="1656"/>
              </w:tabs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$721 </w:t>
            </w:r>
          </w:p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F27" w:rsidRPr="00992998" w:rsidTr="00E1195B"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7" w:rsidRPr="005C5F27" w:rsidRDefault="005C5F27" w:rsidP="00941859">
            <w:pPr>
              <w:jc w:val="center"/>
              <w:rPr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Gas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jc w:val="right"/>
              <w:rPr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$46,069,237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Pr="005C5F27">
              <w:rPr>
                <w:color w:val="000000"/>
                <w:sz w:val="20"/>
                <w:szCs w:val="20"/>
              </w:rPr>
              <w:t xml:space="preserve">1,524,512 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tabs>
                <w:tab w:val="left" w:pos="1656"/>
              </w:tabs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tabs>
                <w:tab w:val="left" w:pos="1656"/>
              </w:tabs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tabs>
                <w:tab w:val="left" w:pos="1656"/>
              </w:tabs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C5F27" w:rsidRPr="00992998" w:rsidTr="00E1195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SCE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7" w:rsidRPr="005C5F27" w:rsidRDefault="005C5F27">
            <w:pPr>
              <w:jc w:val="center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$56,855,018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5C5F27">
              <w:rPr>
                <w:color w:val="000000"/>
                <w:sz w:val="20"/>
                <w:szCs w:val="20"/>
              </w:rPr>
              <w:t xml:space="preserve">27,490,490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            41,070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$87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$1,076 </w:t>
            </w:r>
          </w:p>
        </w:tc>
      </w:tr>
      <w:tr w:rsidR="005C5F27" w:rsidRPr="00992998" w:rsidTr="00E1195B"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SDG&amp;E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7" w:rsidRPr="005C5F27" w:rsidRDefault="005C5F27">
            <w:pPr>
              <w:jc w:val="center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Electric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$8,444,373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5C5F27">
              <w:rPr>
                <w:color w:val="000000"/>
                <w:sz w:val="20"/>
                <w:szCs w:val="20"/>
              </w:rPr>
              <w:t xml:space="preserve">3,259,200 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            17,740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5C5F2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$38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$373 </w:t>
            </w:r>
          </w:p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C5F27" w:rsidRPr="00992998" w:rsidTr="00E1195B"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7" w:rsidRPr="005C5F27" w:rsidRDefault="005C5F27" w:rsidP="00941859">
            <w:pPr>
              <w:jc w:val="center"/>
              <w:rPr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Gas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jc w:val="right"/>
              <w:rPr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$8,975,217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5C5F27">
              <w:rPr>
                <w:color w:val="000000"/>
                <w:sz w:val="20"/>
                <w:szCs w:val="20"/>
              </w:rPr>
              <w:t xml:space="preserve">264,716 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94185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5C5F27" w:rsidRPr="00992998" w:rsidTr="00E1195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SoCalGas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27" w:rsidRPr="005C5F27" w:rsidRDefault="005C5F27">
            <w:pPr>
              <w:jc w:val="center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Gas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$58,235,948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5C5F27">
            <w:pPr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            950,355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            56,608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$9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 xml:space="preserve">$79 </w:t>
            </w:r>
          </w:p>
        </w:tc>
      </w:tr>
      <w:tr w:rsidR="005C5F27" w:rsidRPr="00992998" w:rsidTr="00E1195B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27">
              <w:rPr>
                <w:b/>
                <w:bCs/>
                <w:color w:val="000000"/>
                <w:sz w:val="20"/>
                <w:szCs w:val="20"/>
              </w:rPr>
              <w:t>Statewide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F27" w:rsidRPr="005C5F27" w:rsidRDefault="005C5F27">
            <w:pPr>
              <w:rPr>
                <w:color w:val="000000"/>
                <w:sz w:val="20"/>
                <w:szCs w:val="20"/>
              </w:rPr>
            </w:pPr>
            <w:r w:rsidRPr="005C5F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 w:rsidP="005C5F2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5F27">
              <w:rPr>
                <w:b/>
                <w:bCs/>
                <w:color w:val="000000"/>
                <w:sz w:val="20"/>
                <w:szCs w:val="20"/>
              </w:rPr>
              <w:t xml:space="preserve"> $237,696,736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F27">
              <w:rPr>
                <w:b/>
                <w:bCs/>
                <w:color w:val="000000"/>
                <w:sz w:val="20"/>
                <w:szCs w:val="20"/>
              </w:rPr>
              <w:t xml:space="preserve">          187,877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F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7" w:rsidRPr="005C5F27" w:rsidRDefault="005C5F2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5F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A0C8F" w:rsidRDefault="007A0C8F" w:rsidP="00B21BA5">
      <w:pPr>
        <w:rPr>
          <w:sz w:val="24"/>
          <w:szCs w:val="24"/>
        </w:rPr>
      </w:pPr>
    </w:p>
    <w:p w:rsidR="00E50FB7" w:rsidRDefault="00E50FB7" w:rsidP="001D68BB">
      <w:pPr>
        <w:rPr>
          <w:rFonts w:ascii="Arial" w:hAnsi="Arial"/>
          <w:sz w:val="16"/>
        </w:rPr>
      </w:pPr>
    </w:p>
    <w:p w:rsidR="00E50FB7" w:rsidRDefault="00E50FB7" w:rsidP="001D68BB">
      <w:pPr>
        <w:rPr>
          <w:rFonts w:ascii="Arial" w:hAnsi="Arial"/>
          <w:sz w:val="16"/>
        </w:rPr>
      </w:pPr>
    </w:p>
    <w:p w:rsidR="00E50FB7" w:rsidRDefault="00E50FB7" w:rsidP="001D68BB">
      <w:pPr>
        <w:rPr>
          <w:rFonts w:ascii="Arial" w:hAnsi="Arial"/>
          <w:sz w:val="16"/>
        </w:rPr>
      </w:pPr>
    </w:p>
    <w:p w:rsidR="00E50FB7" w:rsidRDefault="00E50FB7" w:rsidP="001D68BB">
      <w:pPr>
        <w:rPr>
          <w:rFonts w:ascii="Arial" w:hAnsi="Arial"/>
          <w:sz w:val="16"/>
        </w:rPr>
      </w:pPr>
    </w:p>
    <w:p w:rsidR="008E477E" w:rsidRDefault="008E477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1D68BB" w:rsidRDefault="001D68BB" w:rsidP="001D68BB">
      <w:pPr>
        <w:rPr>
          <w:rFonts w:ascii="Arial" w:hAnsi="Arial"/>
          <w:i/>
        </w:rPr>
      </w:pPr>
      <w:r>
        <w:rPr>
          <w:rFonts w:ascii="Arial" w:hAnsi="Arial"/>
          <w:sz w:val="16"/>
        </w:rPr>
        <w:lastRenderedPageBreak/>
        <w:t>STATE OF CALIFORNIA</w:t>
      </w:r>
      <w:r>
        <w:rPr>
          <w:rFonts w:ascii="Arial" w:hAnsi="Arial"/>
        </w:rPr>
        <w:t xml:space="preserve">                                                                                                Edmund G. Brown Jr.</w:t>
      </w:r>
      <w:r>
        <w:rPr>
          <w:rFonts w:ascii="Arial" w:hAnsi="Arial"/>
          <w:sz w:val="16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</w:rPr>
        <w:t>Governor</w:t>
      </w:r>
    </w:p>
    <w:p w:rsidR="001D68BB" w:rsidRDefault="001D68BB" w:rsidP="001D68BB">
      <w:pPr>
        <w:framePr w:hSpace="180" w:wrap="auto" w:vAnchor="text" w:hAnchor="page" w:x="10157" w:y="195"/>
      </w:pPr>
      <w:r>
        <w:rPr>
          <w:noProof/>
        </w:rPr>
        <w:drawing>
          <wp:inline distT="0" distB="0" distL="0" distR="0" wp14:anchorId="58EC1250" wp14:editId="738774AE">
            <wp:extent cx="654050" cy="6032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BB" w:rsidRDefault="001D68BB" w:rsidP="001D68BB">
      <w:pPr>
        <w:tabs>
          <w:tab w:val="right" w:pos="11070"/>
        </w:tabs>
        <w:spacing w:before="80"/>
        <w:rPr>
          <w:rFonts w:ascii="Arial" w:hAnsi="Arial"/>
        </w:rPr>
      </w:pPr>
      <w:r>
        <w:rPr>
          <w:rFonts w:ascii="Arial" w:hAnsi="Arial"/>
        </w:rPr>
        <w:t>PUBLIC UTILITIES COMMISSION</w:t>
      </w:r>
    </w:p>
    <w:p w:rsidR="001D68BB" w:rsidRDefault="001D68BB" w:rsidP="001D68BB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505 VAN NESS AVENUE</w:t>
      </w:r>
    </w:p>
    <w:p w:rsidR="001D68BB" w:rsidRDefault="001D68BB" w:rsidP="001D68BB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:rsidR="00E0797E" w:rsidRDefault="00E0797E" w:rsidP="00E0797E">
      <w:pPr>
        <w:jc w:val="center"/>
        <w:rPr>
          <w:b/>
          <w:sz w:val="24"/>
          <w:szCs w:val="24"/>
        </w:rPr>
      </w:pPr>
      <w:r w:rsidRPr="00941859">
        <w:rPr>
          <w:b/>
          <w:sz w:val="24"/>
          <w:szCs w:val="24"/>
        </w:rPr>
        <w:t>CPUC Low Income Energy Programs</w:t>
      </w:r>
      <w:r>
        <w:rPr>
          <w:b/>
          <w:sz w:val="24"/>
          <w:szCs w:val="24"/>
        </w:rPr>
        <w:t xml:space="preserve"> </w:t>
      </w:r>
    </w:p>
    <w:p w:rsidR="00E0797E" w:rsidRPr="00941859" w:rsidRDefault="00E0797E" w:rsidP="00E0797E">
      <w:pPr>
        <w:jc w:val="center"/>
        <w:rPr>
          <w:b/>
          <w:sz w:val="24"/>
          <w:szCs w:val="24"/>
        </w:rPr>
      </w:pPr>
      <w:r w:rsidRPr="00941859">
        <w:rPr>
          <w:b/>
          <w:sz w:val="24"/>
          <w:szCs w:val="24"/>
        </w:rPr>
        <w:t xml:space="preserve">Energy Savings Assistance Program </w:t>
      </w:r>
    </w:p>
    <w:p w:rsidR="00E0797E" w:rsidRDefault="00E0797E" w:rsidP="00E0797E">
      <w:pPr>
        <w:ind w:left="2880" w:firstLine="720"/>
        <w:rPr>
          <w:b/>
          <w:sz w:val="24"/>
          <w:szCs w:val="24"/>
        </w:rPr>
      </w:pPr>
      <w:r w:rsidRPr="00941859">
        <w:rPr>
          <w:b/>
          <w:sz w:val="24"/>
          <w:szCs w:val="24"/>
        </w:rPr>
        <w:t>Fact Sheet</w:t>
      </w:r>
      <w:r>
        <w:rPr>
          <w:b/>
          <w:sz w:val="24"/>
          <w:szCs w:val="24"/>
        </w:rPr>
        <w:t xml:space="preserve"> (cont.)</w:t>
      </w:r>
    </w:p>
    <w:p w:rsidR="00E0797E" w:rsidRDefault="00E0797E" w:rsidP="00E0797E">
      <w:pPr>
        <w:ind w:left="2880" w:firstLine="720"/>
        <w:rPr>
          <w:b/>
          <w:sz w:val="24"/>
          <w:szCs w:val="24"/>
        </w:rPr>
      </w:pPr>
    </w:p>
    <w:p w:rsidR="005F03F9" w:rsidRDefault="000C2272" w:rsidP="005F03F9">
      <w:pPr>
        <w:rPr>
          <w:sz w:val="22"/>
          <w:szCs w:val="22"/>
        </w:rPr>
      </w:pPr>
      <w:r>
        <w:rPr>
          <w:sz w:val="22"/>
          <w:szCs w:val="22"/>
        </w:rPr>
        <w:t>Program</w:t>
      </w:r>
      <w:r w:rsidR="005F03F9">
        <w:rPr>
          <w:sz w:val="22"/>
          <w:szCs w:val="22"/>
        </w:rPr>
        <w:t xml:space="preserve"> </w:t>
      </w:r>
      <w:r w:rsidR="00FE0BDC">
        <w:rPr>
          <w:sz w:val="22"/>
          <w:szCs w:val="22"/>
        </w:rPr>
        <w:t>Treatment Rate</w:t>
      </w:r>
      <w:r w:rsidR="005F03F9" w:rsidRPr="00E06576">
        <w:rPr>
          <w:sz w:val="22"/>
          <w:szCs w:val="22"/>
        </w:rPr>
        <w:t>:</w:t>
      </w:r>
    </w:p>
    <w:p w:rsidR="008D7AAE" w:rsidRDefault="008D7AAE" w:rsidP="005F03F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068"/>
        <w:gridCol w:w="2072"/>
        <w:gridCol w:w="1980"/>
        <w:gridCol w:w="2070"/>
      </w:tblGrid>
      <w:tr w:rsidR="005F03F9" w:rsidRPr="005F03F9" w:rsidTr="00B021B9">
        <w:trPr>
          <w:trHeight w:val="288"/>
        </w:trPr>
        <w:tc>
          <w:tcPr>
            <w:tcW w:w="9378" w:type="dxa"/>
            <w:gridSpan w:val="5"/>
            <w:noWrap/>
            <w:hideMark/>
          </w:tcPr>
          <w:p w:rsidR="005F03F9" w:rsidRPr="005F03F9" w:rsidRDefault="005F03F9" w:rsidP="006B75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3F9">
              <w:rPr>
                <w:b/>
                <w:bCs/>
                <w:color w:val="000000"/>
                <w:sz w:val="20"/>
                <w:szCs w:val="20"/>
              </w:rPr>
              <w:t>ESA Treatment Rat</w:t>
            </w:r>
            <w:r w:rsidR="006B75BF">
              <w:rPr>
                <w:b/>
                <w:bCs/>
                <w:color w:val="000000"/>
                <w:sz w:val="20"/>
                <w:szCs w:val="20"/>
              </w:rPr>
              <w:t>e</w:t>
            </w:r>
            <w:r w:rsidR="00924ABB">
              <w:rPr>
                <w:b/>
                <w:bCs/>
                <w:color w:val="000000"/>
                <w:sz w:val="20"/>
                <w:szCs w:val="20"/>
              </w:rPr>
              <w:t xml:space="preserve"> as of December 2016</w:t>
            </w:r>
          </w:p>
        </w:tc>
      </w:tr>
      <w:tr w:rsidR="00796B4A" w:rsidRPr="005F03F9" w:rsidTr="00B021B9">
        <w:trPr>
          <w:trHeight w:val="864"/>
        </w:trPr>
        <w:tc>
          <w:tcPr>
            <w:tcW w:w="1188" w:type="dxa"/>
            <w:hideMark/>
          </w:tcPr>
          <w:p w:rsidR="00796B4A" w:rsidRPr="005F03F9" w:rsidRDefault="00796B4A" w:rsidP="005F0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3F9">
              <w:rPr>
                <w:b/>
                <w:bCs/>
                <w:color w:val="000000"/>
                <w:sz w:val="20"/>
                <w:szCs w:val="20"/>
              </w:rPr>
              <w:t xml:space="preserve"> IOU </w:t>
            </w:r>
          </w:p>
        </w:tc>
        <w:tc>
          <w:tcPr>
            <w:tcW w:w="2068" w:type="dxa"/>
            <w:hideMark/>
          </w:tcPr>
          <w:p w:rsidR="00796B4A" w:rsidRPr="005F03F9" w:rsidRDefault="00796B4A" w:rsidP="005F0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3F9">
              <w:rPr>
                <w:b/>
                <w:bCs/>
                <w:color w:val="000000"/>
                <w:sz w:val="20"/>
                <w:szCs w:val="20"/>
              </w:rPr>
              <w:t xml:space="preserve"> Est. Eligible ESA </w:t>
            </w:r>
            <w:r>
              <w:rPr>
                <w:b/>
                <w:bCs/>
                <w:color w:val="000000"/>
                <w:sz w:val="20"/>
                <w:szCs w:val="20"/>
              </w:rPr>
              <w:t>Households</w:t>
            </w:r>
            <w:r>
              <w:rPr>
                <w:rStyle w:val="FootnoteReference"/>
                <w:sz w:val="22"/>
                <w:szCs w:val="22"/>
              </w:rPr>
              <w:footnoteReference w:id="9"/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F03F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72" w:type="dxa"/>
            <w:hideMark/>
          </w:tcPr>
          <w:p w:rsidR="00796B4A" w:rsidRPr="005F03F9" w:rsidRDefault="00796B4A" w:rsidP="005F0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3F9">
              <w:rPr>
                <w:b/>
                <w:bCs/>
                <w:color w:val="000000"/>
                <w:sz w:val="20"/>
                <w:szCs w:val="20"/>
              </w:rPr>
              <w:t xml:space="preserve"> Households Treated  by ESA Program 2002-2016 </w:t>
            </w:r>
          </w:p>
        </w:tc>
        <w:tc>
          <w:tcPr>
            <w:tcW w:w="1980" w:type="dxa"/>
            <w:hideMark/>
          </w:tcPr>
          <w:p w:rsidR="00796B4A" w:rsidRPr="005F03F9" w:rsidRDefault="00796B4A" w:rsidP="005F0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3F9">
              <w:rPr>
                <w:b/>
                <w:bCs/>
                <w:color w:val="000000"/>
                <w:sz w:val="20"/>
                <w:szCs w:val="20"/>
              </w:rPr>
              <w:t xml:space="preserve"> % Households Treated  by ESA Program 2002-2016 </w:t>
            </w:r>
          </w:p>
        </w:tc>
        <w:tc>
          <w:tcPr>
            <w:tcW w:w="2070" w:type="dxa"/>
            <w:hideMark/>
          </w:tcPr>
          <w:p w:rsidR="00796B4A" w:rsidRPr="005F03F9" w:rsidRDefault="00796B4A" w:rsidP="005F03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3F9">
              <w:rPr>
                <w:b/>
                <w:bCs/>
                <w:color w:val="000000"/>
                <w:sz w:val="20"/>
                <w:szCs w:val="20"/>
              </w:rPr>
              <w:t xml:space="preserve"> Remaining Households to treat by 2020 </w:t>
            </w:r>
          </w:p>
        </w:tc>
      </w:tr>
      <w:tr w:rsidR="00796B4A" w:rsidRPr="00EC12BB" w:rsidTr="00B021B9">
        <w:trPr>
          <w:trHeight w:val="197"/>
        </w:trPr>
        <w:tc>
          <w:tcPr>
            <w:tcW w:w="1188" w:type="dxa"/>
            <w:hideMark/>
          </w:tcPr>
          <w:p w:rsidR="00796B4A" w:rsidRPr="005F03F9" w:rsidRDefault="00796B4A">
            <w:pPr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 xml:space="preserve"> PG&amp;E </w:t>
            </w:r>
          </w:p>
        </w:tc>
        <w:tc>
          <w:tcPr>
            <w:tcW w:w="2068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1,471,142</w:t>
            </w:r>
          </w:p>
        </w:tc>
        <w:tc>
          <w:tcPr>
            <w:tcW w:w="2072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1,292,580</w:t>
            </w:r>
          </w:p>
        </w:tc>
        <w:tc>
          <w:tcPr>
            <w:tcW w:w="1980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88%</w:t>
            </w:r>
          </w:p>
        </w:tc>
        <w:tc>
          <w:tcPr>
            <w:tcW w:w="2070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178,562</w:t>
            </w:r>
          </w:p>
        </w:tc>
      </w:tr>
      <w:tr w:rsidR="00796B4A" w:rsidRPr="00EC12BB" w:rsidTr="00B021B9">
        <w:trPr>
          <w:trHeight w:val="134"/>
        </w:trPr>
        <w:tc>
          <w:tcPr>
            <w:tcW w:w="1188" w:type="dxa"/>
            <w:hideMark/>
          </w:tcPr>
          <w:p w:rsidR="00796B4A" w:rsidRPr="005F03F9" w:rsidRDefault="00796B4A">
            <w:pPr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 xml:space="preserve"> SCE </w:t>
            </w:r>
          </w:p>
        </w:tc>
        <w:tc>
          <w:tcPr>
            <w:tcW w:w="2068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1,178,140</w:t>
            </w:r>
          </w:p>
        </w:tc>
        <w:tc>
          <w:tcPr>
            <w:tcW w:w="2072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856,017</w:t>
            </w:r>
          </w:p>
        </w:tc>
        <w:tc>
          <w:tcPr>
            <w:tcW w:w="1980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73%</w:t>
            </w:r>
          </w:p>
        </w:tc>
        <w:tc>
          <w:tcPr>
            <w:tcW w:w="2070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322,123</w:t>
            </w:r>
          </w:p>
        </w:tc>
      </w:tr>
      <w:tr w:rsidR="00796B4A" w:rsidRPr="00EC12BB" w:rsidTr="00B021B9">
        <w:trPr>
          <w:trHeight w:val="170"/>
        </w:trPr>
        <w:tc>
          <w:tcPr>
            <w:tcW w:w="1188" w:type="dxa"/>
            <w:hideMark/>
          </w:tcPr>
          <w:p w:rsidR="00796B4A" w:rsidRPr="005F03F9" w:rsidRDefault="00796B4A" w:rsidP="000B10A0">
            <w:pPr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 xml:space="preserve"> SDG&amp;E </w:t>
            </w:r>
          </w:p>
        </w:tc>
        <w:tc>
          <w:tcPr>
            <w:tcW w:w="2068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305,140</w:t>
            </w:r>
          </w:p>
        </w:tc>
        <w:tc>
          <w:tcPr>
            <w:tcW w:w="2072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270,452</w:t>
            </w:r>
          </w:p>
        </w:tc>
        <w:tc>
          <w:tcPr>
            <w:tcW w:w="1980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89%</w:t>
            </w:r>
          </w:p>
        </w:tc>
        <w:tc>
          <w:tcPr>
            <w:tcW w:w="2070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34,688</w:t>
            </w:r>
          </w:p>
        </w:tc>
      </w:tr>
      <w:tr w:rsidR="00796B4A" w:rsidRPr="00EC12BB" w:rsidTr="00B021B9">
        <w:trPr>
          <w:trHeight w:val="206"/>
        </w:trPr>
        <w:tc>
          <w:tcPr>
            <w:tcW w:w="1188" w:type="dxa"/>
            <w:hideMark/>
          </w:tcPr>
          <w:p w:rsidR="00796B4A" w:rsidRPr="005F03F9" w:rsidRDefault="00796B4A">
            <w:pPr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 xml:space="preserve"> SoCalGas </w:t>
            </w:r>
          </w:p>
        </w:tc>
        <w:tc>
          <w:tcPr>
            <w:tcW w:w="2068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1,628,596</w:t>
            </w:r>
          </w:p>
        </w:tc>
        <w:tc>
          <w:tcPr>
            <w:tcW w:w="2072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1,135,633</w:t>
            </w:r>
          </w:p>
        </w:tc>
        <w:tc>
          <w:tcPr>
            <w:tcW w:w="1980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70%</w:t>
            </w:r>
          </w:p>
        </w:tc>
        <w:tc>
          <w:tcPr>
            <w:tcW w:w="2070" w:type="dxa"/>
            <w:hideMark/>
          </w:tcPr>
          <w:p w:rsidR="00796B4A" w:rsidRPr="005F03F9" w:rsidRDefault="00796B4A" w:rsidP="00EC12BB">
            <w:pPr>
              <w:jc w:val="center"/>
              <w:rPr>
                <w:color w:val="000000"/>
                <w:sz w:val="20"/>
                <w:szCs w:val="20"/>
              </w:rPr>
            </w:pPr>
            <w:r w:rsidRPr="005F03F9">
              <w:rPr>
                <w:color w:val="000000"/>
                <w:sz w:val="20"/>
                <w:szCs w:val="20"/>
              </w:rPr>
              <w:t>492,963</w:t>
            </w:r>
          </w:p>
        </w:tc>
      </w:tr>
    </w:tbl>
    <w:p w:rsidR="005F03F9" w:rsidRDefault="005F03F9" w:rsidP="00E0797E">
      <w:pPr>
        <w:rPr>
          <w:sz w:val="22"/>
          <w:szCs w:val="22"/>
        </w:rPr>
      </w:pPr>
    </w:p>
    <w:p w:rsidR="005F03F9" w:rsidRDefault="005F03F9" w:rsidP="00E0797E">
      <w:pPr>
        <w:rPr>
          <w:sz w:val="22"/>
          <w:szCs w:val="22"/>
        </w:rPr>
      </w:pPr>
    </w:p>
    <w:p w:rsidR="00E0797E" w:rsidRDefault="00B8645A" w:rsidP="00E0797E">
      <w:pPr>
        <w:rPr>
          <w:sz w:val="22"/>
          <w:szCs w:val="22"/>
        </w:rPr>
      </w:pPr>
      <w:r>
        <w:rPr>
          <w:sz w:val="22"/>
          <w:szCs w:val="22"/>
        </w:rPr>
        <w:t>Program Years 2017-2020</w:t>
      </w:r>
      <w:r w:rsidR="00E0797E">
        <w:rPr>
          <w:sz w:val="22"/>
          <w:szCs w:val="22"/>
        </w:rPr>
        <w:t xml:space="preserve"> Program Authorized</w:t>
      </w:r>
      <w:r w:rsidR="00E0797E" w:rsidRPr="00EC66DC">
        <w:rPr>
          <w:sz w:val="22"/>
          <w:szCs w:val="22"/>
        </w:rPr>
        <w:t xml:space="preserve"> Budgets &amp; </w:t>
      </w:r>
      <w:r w:rsidR="00E0797E">
        <w:rPr>
          <w:sz w:val="22"/>
          <w:szCs w:val="22"/>
        </w:rPr>
        <w:t>Household Treatment Goals</w:t>
      </w:r>
      <w:r w:rsidR="00E0797E">
        <w:rPr>
          <w:rStyle w:val="FootnoteReference"/>
          <w:sz w:val="22"/>
          <w:szCs w:val="22"/>
        </w:rPr>
        <w:footnoteReference w:id="10"/>
      </w:r>
      <w:r w:rsidR="00E0797E" w:rsidRPr="00E06576">
        <w:rPr>
          <w:sz w:val="22"/>
          <w:szCs w:val="22"/>
        </w:rPr>
        <w:t>:</w:t>
      </w:r>
    </w:p>
    <w:p w:rsidR="008D7AAE" w:rsidRDefault="008D7AAE" w:rsidP="00E0797E">
      <w:pPr>
        <w:rPr>
          <w:sz w:val="22"/>
          <w:szCs w:val="22"/>
        </w:rPr>
      </w:pPr>
    </w:p>
    <w:tbl>
      <w:tblPr>
        <w:tblW w:w="7420" w:type="dxa"/>
        <w:tblInd w:w="103" w:type="dxa"/>
        <w:tblLook w:val="04A0" w:firstRow="1" w:lastRow="0" w:firstColumn="1" w:lastColumn="0" w:noHBand="0" w:noVBand="1"/>
      </w:tblPr>
      <w:tblGrid>
        <w:gridCol w:w="1068"/>
        <w:gridCol w:w="1588"/>
        <w:gridCol w:w="1588"/>
        <w:gridCol w:w="1588"/>
        <w:gridCol w:w="1588"/>
      </w:tblGrid>
      <w:tr w:rsidR="00A6081F" w:rsidRPr="00A6081F" w:rsidTr="00A6081F">
        <w:trPr>
          <w:trHeight w:val="276"/>
        </w:trPr>
        <w:tc>
          <w:tcPr>
            <w:tcW w:w="7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E0797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 w:rsidRPr="00A6081F">
              <w:rPr>
                <w:rFonts w:eastAsiaTheme="minorHAnsi"/>
                <w:b/>
                <w:bCs/>
                <w:color w:val="000000"/>
              </w:rPr>
              <w:t>Authorized ESA Program Budgets</w:t>
            </w:r>
          </w:p>
        </w:tc>
      </w:tr>
      <w:tr w:rsidR="00A6081F" w:rsidRPr="00A6081F" w:rsidTr="00A6081F">
        <w:trPr>
          <w:trHeight w:val="2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A6081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6081F">
              <w:rPr>
                <w:rFonts w:eastAsiaTheme="minorHAnsi"/>
                <w:b/>
                <w:bCs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A6081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6081F">
              <w:rPr>
                <w:rFonts w:eastAsiaTheme="minorHAnsi"/>
                <w:b/>
                <w:bCs/>
                <w:color w:val="000000"/>
              </w:rPr>
              <w:t>2017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A6081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6081F">
              <w:rPr>
                <w:rFonts w:eastAsiaTheme="minorHAnsi"/>
                <w:b/>
                <w:bCs/>
                <w:color w:val="000000"/>
              </w:rPr>
              <w:t>2018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A6081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6081F">
              <w:rPr>
                <w:rFonts w:eastAsiaTheme="minorHAnsi"/>
                <w:b/>
                <w:bCs/>
                <w:color w:val="000000"/>
              </w:rPr>
              <w:t>2019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A6081F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A6081F">
              <w:rPr>
                <w:rFonts w:eastAsiaTheme="minorHAnsi"/>
                <w:b/>
                <w:bCs/>
                <w:color w:val="000000"/>
              </w:rPr>
              <w:t>2020</w:t>
            </w:r>
          </w:p>
        </w:tc>
      </w:tr>
      <w:tr w:rsidR="00A6081F" w:rsidRPr="00A6081F" w:rsidTr="00A6081F">
        <w:trPr>
          <w:trHeight w:val="2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rPr>
                <w:color w:val="000000"/>
              </w:rPr>
            </w:pPr>
            <w:r w:rsidRPr="00A6081F">
              <w:rPr>
                <w:color w:val="000000"/>
              </w:rPr>
              <w:t>PG&amp;E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$152,928,421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$155,920,833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$159,039,250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$162,220,000 </w:t>
            </w:r>
          </w:p>
        </w:tc>
      </w:tr>
      <w:tr w:rsidR="00A6081F" w:rsidRPr="00A6081F" w:rsidTr="00A6081F">
        <w:trPr>
          <w:trHeight w:val="2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rPr>
                <w:color w:val="000000"/>
              </w:rPr>
            </w:pPr>
            <w:r w:rsidRPr="00A6081F">
              <w:rPr>
                <w:color w:val="000000"/>
              </w:rPr>
              <w:t>SCE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$62,375,617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$62,540,498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$63,791,300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$65,067,100 </w:t>
            </w:r>
          </w:p>
        </w:tc>
      </w:tr>
      <w:tr w:rsidR="00A6081F" w:rsidRPr="00A6081F" w:rsidTr="00A6081F">
        <w:trPr>
          <w:trHeight w:val="2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rPr>
                <w:color w:val="000000"/>
              </w:rPr>
            </w:pPr>
            <w:r w:rsidRPr="00A6081F">
              <w:rPr>
                <w:color w:val="000000"/>
              </w:rPr>
              <w:t>SDG&amp;E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$30,649,505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$31,631,921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$32,264,550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$32,909,800 </w:t>
            </w:r>
          </w:p>
        </w:tc>
      </w:tr>
      <w:tr w:rsidR="00A6081F" w:rsidRPr="00A6081F" w:rsidTr="00A6081F">
        <w:trPr>
          <w:trHeight w:val="2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rPr>
                <w:color w:val="000000"/>
              </w:rPr>
            </w:pPr>
            <w:r w:rsidRPr="00A6081F">
              <w:rPr>
                <w:color w:val="000000"/>
              </w:rPr>
              <w:t>SoCalGas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$126,782,639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$129,251,729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$131,836,750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color w:val="000000"/>
              </w:rPr>
            </w:pPr>
            <w:r w:rsidRPr="00A6081F">
              <w:rPr>
                <w:color w:val="000000"/>
              </w:rPr>
              <w:t xml:space="preserve">$134,473,450 </w:t>
            </w:r>
          </w:p>
        </w:tc>
      </w:tr>
      <w:tr w:rsidR="00A6081F" w:rsidRPr="00A6081F" w:rsidTr="00A6081F">
        <w:trPr>
          <w:trHeight w:val="276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rPr>
                <w:b/>
                <w:color w:val="000000"/>
              </w:rPr>
            </w:pPr>
            <w:r w:rsidRPr="00A6081F">
              <w:rPr>
                <w:b/>
                <w:color w:val="000000"/>
              </w:rPr>
              <w:t>Total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b/>
                <w:color w:val="000000"/>
              </w:rPr>
            </w:pPr>
            <w:r w:rsidRPr="00A6081F">
              <w:rPr>
                <w:b/>
                <w:color w:val="000000"/>
              </w:rPr>
              <w:t xml:space="preserve">$372,736,182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b/>
                <w:color w:val="000000"/>
              </w:rPr>
            </w:pPr>
            <w:r w:rsidRPr="00A6081F">
              <w:rPr>
                <w:b/>
                <w:color w:val="000000"/>
              </w:rPr>
              <w:t xml:space="preserve">$379,344,981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b/>
                <w:color w:val="000000"/>
              </w:rPr>
            </w:pPr>
            <w:r w:rsidRPr="00A6081F">
              <w:rPr>
                <w:b/>
                <w:color w:val="000000"/>
              </w:rPr>
              <w:t xml:space="preserve">$386,931,850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81F" w:rsidRPr="00A6081F" w:rsidRDefault="00A6081F" w:rsidP="001D68BB">
            <w:pPr>
              <w:jc w:val="center"/>
              <w:rPr>
                <w:b/>
                <w:color w:val="000000"/>
              </w:rPr>
            </w:pPr>
            <w:r w:rsidRPr="00A6081F">
              <w:rPr>
                <w:b/>
                <w:color w:val="000000"/>
              </w:rPr>
              <w:t xml:space="preserve">$394,670,350 </w:t>
            </w:r>
          </w:p>
        </w:tc>
      </w:tr>
    </w:tbl>
    <w:p w:rsidR="00A6081F" w:rsidRDefault="00A6081F" w:rsidP="00B21BA5">
      <w:pPr>
        <w:rPr>
          <w:sz w:val="24"/>
          <w:szCs w:val="24"/>
        </w:rPr>
      </w:pPr>
    </w:p>
    <w:p w:rsidR="00673799" w:rsidRDefault="00673799" w:rsidP="00B21BA5">
      <w:pPr>
        <w:rPr>
          <w:sz w:val="24"/>
          <w:szCs w:val="24"/>
        </w:rPr>
      </w:pPr>
    </w:p>
    <w:tbl>
      <w:tblPr>
        <w:tblW w:w="8740" w:type="dxa"/>
        <w:tblInd w:w="103" w:type="dxa"/>
        <w:tblLook w:val="04A0" w:firstRow="1" w:lastRow="0" w:firstColumn="1" w:lastColumn="0" w:noHBand="0" w:noVBand="1"/>
      </w:tblPr>
      <w:tblGrid>
        <w:gridCol w:w="1554"/>
        <w:gridCol w:w="1375"/>
        <w:gridCol w:w="1375"/>
        <w:gridCol w:w="1375"/>
        <w:gridCol w:w="1375"/>
        <w:gridCol w:w="1686"/>
      </w:tblGrid>
      <w:tr w:rsidR="00E0797E" w:rsidRPr="00E0797E" w:rsidTr="00E0797E">
        <w:trPr>
          <w:trHeight w:val="276"/>
        </w:trPr>
        <w:tc>
          <w:tcPr>
            <w:tcW w:w="8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E0797E">
              <w:rPr>
                <w:rFonts w:eastAsiaTheme="minorHAnsi"/>
                <w:b/>
                <w:bCs/>
                <w:color w:val="000000"/>
              </w:rPr>
              <w:t>ESA H</w:t>
            </w:r>
            <w:r>
              <w:rPr>
                <w:rFonts w:eastAsiaTheme="minorHAnsi"/>
                <w:b/>
                <w:bCs/>
                <w:color w:val="000000"/>
              </w:rPr>
              <w:t>ousehold</w:t>
            </w:r>
            <w:r w:rsidRPr="00E0797E">
              <w:rPr>
                <w:rFonts w:eastAsiaTheme="minorHAnsi"/>
                <w:b/>
                <w:bCs/>
                <w:color w:val="000000"/>
              </w:rPr>
              <w:t xml:space="preserve"> Treatment Goal 2017-2020</w:t>
            </w:r>
          </w:p>
        </w:tc>
      </w:tr>
      <w:tr w:rsidR="00E0797E" w:rsidRPr="00E0797E" w:rsidTr="00E0797E">
        <w:trPr>
          <w:trHeight w:val="27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E0797E">
              <w:rPr>
                <w:rFonts w:eastAsiaTheme="minorHAnsi"/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E0797E">
              <w:rPr>
                <w:rFonts w:eastAsiaTheme="minorHAnsi"/>
                <w:b/>
                <w:bCs/>
                <w:color w:val="000000"/>
              </w:rPr>
              <w:t>2017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E0797E">
              <w:rPr>
                <w:rFonts w:eastAsiaTheme="minorHAnsi"/>
                <w:b/>
                <w:bCs/>
                <w:color w:val="000000"/>
              </w:rPr>
              <w:t>2018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E0797E">
              <w:rPr>
                <w:rFonts w:eastAsiaTheme="minorHAnsi"/>
                <w:b/>
                <w:bCs/>
                <w:color w:val="000000"/>
              </w:rPr>
              <w:t>2019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E0797E">
              <w:rPr>
                <w:rFonts w:eastAsiaTheme="minorHAnsi"/>
                <w:b/>
                <w:bCs/>
                <w:color w:val="000000"/>
              </w:rPr>
              <w:t>2020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 w:rsidRPr="00E0797E">
              <w:rPr>
                <w:rFonts w:eastAsiaTheme="minorHAnsi"/>
                <w:b/>
                <w:bCs/>
                <w:color w:val="000000"/>
              </w:rPr>
              <w:t>Total</w:t>
            </w:r>
          </w:p>
        </w:tc>
      </w:tr>
      <w:tr w:rsidR="00E0797E" w:rsidRPr="00E0797E" w:rsidTr="00E0797E">
        <w:trPr>
          <w:trHeight w:val="27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rPr>
                <w:color w:val="000000"/>
              </w:rPr>
            </w:pPr>
            <w:r w:rsidRPr="00E0797E">
              <w:rPr>
                <w:color w:val="000000"/>
              </w:rPr>
              <w:t>PG&amp;E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90,030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94,532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99,258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104,221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388,041 </w:t>
            </w:r>
          </w:p>
        </w:tc>
      </w:tr>
      <w:tr w:rsidR="00E0797E" w:rsidRPr="00E0797E" w:rsidTr="00E0797E">
        <w:trPr>
          <w:trHeight w:val="27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rPr>
                <w:color w:val="000000"/>
              </w:rPr>
            </w:pPr>
            <w:r w:rsidRPr="00E0797E">
              <w:rPr>
                <w:color w:val="000000"/>
              </w:rPr>
              <w:t>SCE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54,509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57,234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60,096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63,101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234,940 </w:t>
            </w:r>
          </w:p>
        </w:tc>
      </w:tr>
      <w:tr w:rsidR="00E0797E" w:rsidRPr="00E0797E" w:rsidTr="00E0797E">
        <w:trPr>
          <w:trHeight w:val="27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rPr>
                <w:color w:val="000000"/>
              </w:rPr>
            </w:pPr>
            <w:r w:rsidRPr="00E0797E">
              <w:rPr>
                <w:color w:val="000000"/>
              </w:rPr>
              <w:t>SDG&amp;E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20,316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21,332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22,398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23,518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87,564 </w:t>
            </w:r>
          </w:p>
        </w:tc>
      </w:tr>
      <w:tr w:rsidR="00E0797E" w:rsidRPr="00E0797E" w:rsidTr="00E0797E">
        <w:trPr>
          <w:trHeight w:val="27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rPr>
                <w:color w:val="000000"/>
              </w:rPr>
            </w:pPr>
            <w:r w:rsidRPr="00E0797E">
              <w:rPr>
                <w:color w:val="000000"/>
              </w:rPr>
              <w:t>SoCalGas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110,000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115,500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121,275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127,339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color w:val="000000"/>
              </w:rPr>
            </w:pPr>
            <w:r w:rsidRPr="00E0797E">
              <w:rPr>
                <w:color w:val="000000"/>
              </w:rPr>
              <w:t xml:space="preserve">474,114 </w:t>
            </w:r>
          </w:p>
        </w:tc>
      </w:tr>
      <w:tr w:rsidR="00E0797E" w:rsidRPr="00E0797E" w:rsidTr="00E0797E">
        <w:trPr>
          <w:trHeight w:val="276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rPr>
                <w:b/>
                <w:color w:val="000000"/>
              </w:rPr>
            </w:pPr>
            <w:r w:rsidRPr="00E0797E">
              <w:rPr>
                <w:b/>
                <w:color w:val="000000"/>
              </w:rPr>
              <w:t>Total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b/>
                <w:color w:val="000000"/>
              </w:rPr>
            </w:pPr>
            <w:r w:rsidRPr="00E0797E">
              <w:rPr>
                <w:b/>
                <w:color w:val="000000"/>
              </w:rPr>
              <w:t xml:space="preserve">274,855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b/>
                <w:color w:val="000000"/>
              </w:rPr>
            </w:pPr>
            <w:r w:rsidRPr="00E0797E">
              <w:rPr>
                <w:b/>
                <w:color w:val="000000"/>
              </w:rPr>
              <w:t xml:space="preserve">288,598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b/>
                <w:color w:val="000000"/>
              </w:rPr>
            </w:pPr>
            <w:r w:rsidRPr="00E0797E">
              <w:rPr>
                <w:b/>
                <w:color w:val="000000"/>
              </w:rPr>
              <w:t xml:space="preserve">303,027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b/>
                <w:color w:val="000000"/>
              </w:rPr>
            </w:pPr>
            <w:r w:rsidRPr="00E0797E">
              <w:rPr>
                <w:b/>
                <w:color w:val="000000"/>
              </w:rPr>
              <w:t xml:space="preserve">318,179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97E" w:rsidRPr="00E0797E" w:rsidRDefault="00E0797E" w:rsidP="00E0797E">
            <w:pPr>
              <w:jc w:val="right"/>
              <w:rPr>
                <w:b/>
                <w:color w:val="000000"/>
              </w:rPr>
            </w:pPr>
            <w:r w:rsidRPr="00E0797E">
              <w:rPr>
                <w:b/>
                <w:color w:val="000000"/>
              </w:rPr>
              <w:t xml:space="preserve">1,184,659 </w:t>
            </w:r>
          </w:p>
        </w:tc>
      </w:tr>
    </w:tbl>
    <w:p w:rsidR="00232DA7" w:rsidRDefault="00232DA7" w:rsidP="00B21BA5">
      <w:pPr>
        <w:rPr>
          <w:i/>
          <w:color w:val="000000"/>
        </w:rPr>
      </w:pPr>
    </w:p>
    <w:p w:rsidR="00E0797E" w:rsidRPr="00232DA7" w:rsidRDefault="00232DA7" w:rsidP="00B21BA5">
      <w:pPr>
        <w:rPr>
          <w:i/>
          <w:color w:val="000000"/>
        </w:rPr>
      </w:pPr>
      <w:r>
        <w:rPr>
          <w:i/>
          <w:color w:val="000000"/>
        </w:rPr>
        <w:t>*</w:t>
      </w:r>
      <w:r w:rsidR="00B8645A" w:rsidRPr="00232DA7">
        <w:rPr>
          <w:i/>
          <w:color w:val="000000"/>
        </w:rPr>
        <w:t>Household treatment goals allow for first time treatments (</w:t>
      </w:r>
      <w:r w:rsidR="00817A08">
        <w:rPr>
          <w:i/>
          <w:color w:val="000000"/>
        </w:rPr>
        <w:t xml:space="preserve">homes never treated or treated </w:t>
      </w:r>
      <w:r w:rsidR="00B8645A" w:rsidRPr="00232DA7">
        <w:rPr>
          <w:i/>
          <w:color w:val="000000"/>
        </w:rPr>
        <w:t>pre-2002) as well as retreatments</w:t>
      </w:r>
      <w:r w:rsidR="00817A08">
        <w:rPr>
          <w:i/>
          <w:color w:val="000000"/>
        </w:rPr>
        <w:t xml:space="preserve"> (homes treated post 2002).</w:t>
      </w:r>
    </w:p>
    <w:sectPr w:rsidR="00E0797E" w:rsidRPr="00232DA7" w:rsidSect="004C4E49">
      <w:footerReference w:type="even" r:id="rId10"/>
      <w:footerReference w:type="default" r:id="rId11"/>
      <w:footerReference w:type="first" r:id="rId12"/>
      <w:pgSz w:w="12240" w:h="15840"/>
      <w:pgMar w:top="720" w:right="1200" w:bottom="720" w:left="12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D0" w:rsidRDefault="00F807D0">
      <w:r>
        <w:separator/>
      </w:r>
    </w:p>
  </w:endnote>
  <w:endnote w:type="continuationSeparator" w:id="0">
    <w:p w:rsidR="00F807D0" w:rsidRDefault="00F8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59" w:rsidRDefault="009418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1859" w:rsidRDefault="00941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59" w:rsidRDefault="009418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B37">
      <w:rPr>
        <w:rStyle w:val="PageNumber"/>
        <w:noProof/>
      </w:rPr>
      <w:t>1</w:t>
    </w:r>
    <w:r>
      <w:rPr>
        <w:rStyle w:val="PageNumber"/>
      </w:rPr>
      <w:fldChar w:fldCharType="end"/>
    </w:r>
  </w:p>
  <w:p w:rsidR="00941859" w:rsidRPr="004C4E49" w:rsidRDefault="004C4E49">
    <w:pPr>
      <w:pStyle w:val="Footer"/>
      <w:rPr>
        <w:i/>
      </w:rPr>
    </w:pPr>
    <w:r w:rsidRPr="004C4E49">
      <w:rPr>
        <w:i/>
      </w:rPr>
      <w:t>Updated 4.20.17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0A9" w:rsidRDefault="005C10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Last Updated 04.25.17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C4E49" w:rsidRPr="004C4E4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C10A9" w:rsidRDefault="005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D0" w:rsidRDefault="00F807D0">
      <w:r>
        <w:separator/>
      </w:r>
    </w:p>
  </w:footnote>
  <w:footnote w:type="continuationSeparator" w:id="0">
    <w:p w:rsidR="00F807D0" w:rsidRDefault="00F807D0">
      <w:r>
        <w:continuationSeparator/>
      </w:r>
    </w:p>
  </w:footnote>
  <w:footnote w:id="1">
    <w:p w:rsidR="00941859" w:rsidRDefault="009418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3350A">
        <w:rPr>
          <w:sz w:val="16"/>
          <w:szCs w:val="16"/>
        </w:rPr>
        <w:t>SB 327 (2012) provides that CARE discounts should be not less than 30% and not more than 35%</w:t>
      </w:r>
      <w:r>
        <w:rPr>
          <w:sz w:val="16"/>
          <w:szCs w:val="16"/>
        </w:rPr>
        <w:t>, discounts are being reduced in phases to prevent rate shock</w:t>
      </w:r>
      <w:r w:rsidRPr="0053350A">
        <w:rPr>
          <w:sz w:val="16"/>
          <w:szCs w:val="16"/>
        </w:rPr>
        <w:t>.</w:t>
      </w:r>
    </w:p>
  </w:footnote>
  <w:footnote w:id="2">
    <w:p w:rsidR="00941859" w:rsidRDefault="00941859" w:rsidP="005335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5A3A">
        <w:rPr>
          <w:sz w:val="16"/>
          <w:szCs w:val="16"/>
        </w:rPr>
        <w:t xml:space="preserve">Source: </w:t>
      </w:r>
      <w:r w:rsidR="00CE707D">
        <w:rPr>
          <w:sz w:val="16"/>
          <w:szCs w:val="16"/>
        </w:rPr>
        <w:t xml:space="preserve">Investor Owned Utilities’ Dec 2016 Monthly CARE and ESA program </w:t>
      </w:r>
      <w:r>
        <w:rPr>
          <w:sz w:val="16"/>
          <w:szCs w:val="16"/>
        </w:rPr>
        <w:t>Report</w:t>
      </w:r>
      <w:r w:rsidR="00F93A9F">
        <w:rPr>
          <w:sz w:val="16"/>
          <w:szCs w:val="16"/>
        </w:rPr>
        <w:t xml:space="preserve"> </w:t>
      </w:r>
      <w:r w:rsidR="00CE707D">
        <w:rPr>
          <w:sz w:val="16"/>
          <w:szCs w:val="16"/>
        </w:rPr>
        <w:t>unless otherwise noted</w:t>
      </w:r>
      <w:r w:rsidRPr="00F561C5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</w:footnote>
  <w:footnote w:id="3">
    <w:p w:rsidR="00AE769A" w:rsidRDefault="00AE76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0FA2">
        <w:rPr>
          <w:sz w:val="16"/>
          <w:szCs w:val="16"/>
        </w:rPr>
        <w:t>PGE AL 5011-E, SDG&amp;E AL 3033-E, SCE AL 3509-E</w:t>
      </w:r>
    </w:p>
  </w:footnote>
  <w:footnote w:id="4">
    <w:p w:rsidR="004C1038" w:rsidRDefault="004C10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D3F90" w:rsidRPr="00C35E40">
        <w:rPr>
          <w:sz w:val="16"/>
          <w:szCs w:val="16"/>
        </w:rPr>
        <w:t xml:space="preserve">Source: </w:t>
      </w:r>
      <w:r w:rsidR="00EC12BB">
        <w:rPr>
          <w:sz w:val="16"/>
          <w:szCs w:val="16"/>
        </w:rPr>
        <w:t>2017</w:t>
      </w:r>
      <w:r w:rsidR="002D3F90">
        <w:rPr>
          <w:sz w:val="16"/>
          <w:szCs w:val="16"/>
        </w:rPr>
        <w:t xml:space="preserve"> Athens Report of Annual Estimates of CARE Eligible customers. M</w:t>
      </w:r>
      <w:r w:rsidR="002D3F90" w:rsidRPr="00485615">
        <w:rPr>
          <w:sz w:val="16"/>
          <w:szCs w:val="16"/>
        </w:rPr>
        <w:t xml:space="preserve">easures the number of </w:t>
      </w:r>
      <w:r w:rsidR="002D3F90">
        <w:rPr>
          <w:sz w:val="16"/>
          <w:szCs w:val="16"/>
        </w:rPr>
        <w:t>households</w:t>
      </w:r>
      <w:r w:rsidR="002D3F90" w:rsidRPr="00485615">
        <w:rPr>
          <w:sz w:val="16"/>
          <w:szCs w:val="16"/>
        </w:rPr>
        <w:t xml:space="preserve"> qualified for the program</w:t>
      </w:r>
      <w:r w:rsidR="002D3F90">
        <w:rPr>
          <w:sz w:val="16"/>
          <w:szCs w:val="16"/>
        </w:rPr>
        <w:t xml:space="preserve"> in each utility’s service territory, and d</w:t>
      </w:r>
      <w:r>
        <w:rPr>
          <w:sz w:val="16"/>
          <w:szCs w:val="16"/>
        </w:rPr>
        <w:t>oes not account for overlapping customers who receive</w:t>
      </w:r>
      <w:r w:rsidR="00177D26">
        <w:rPr>
          <w:sz w:val="16"/>
          <w:szCs w:val="16"/>
        </w:rPr>
        <w:t xml:space="preserve"> service from more than one</w:t>
      </w:r>
      <w:r>
        <w:rPr>
          <w:sz w:val="16"/>
          <w:szCs w:val="16"/>
        </w:rPr>
        <w:t xml:space="preserve"> IOU.</w:t>
      </w:r>
    </w:p>
  </w:footnote>
  <w:footnote w:id="5">
    <w:p w:rsidR="00AE769A" w:rsidRDefault="00AE76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Some customers are enrolled in more than one program, for example SCE for electricity and SoCalGas for natural gas.</w:t>
      </w:r>
    </w:p>
  </w:footnote>
  <w:footnote w:id="6">
    <w:p w:rsidR="00EC66DC" w:rsidRDefault="00EC66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66DC">
        <w:rPr>
          <w:sz w:val="16"/>
          <w:szCs w:val="16"/>
        </w:rPr>
        <w:t>Decision 16-11-022</w:t>
      </w:r>
    </w:p>
  </w:footnote>
  <w:footnote w:id="7">
    <w:p w:rsidR="00941859" w:rsidRDefault="00941859" w:rsidP="008214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0797E" w:rsidRPr="00C85A3A">
        <w:rPr>
          <w:sz w:val="16"/>
          <w:szCs w:val="16"/>
        </w:rPr>
        <w:t xml:space="preserve">Source: </w:t>
      </w:r>
      <w:r w:rsidR="00E0797E">
        <w:rPr>
          <w:sz w:val="16"/>
          <w:szCs w:val="16"/>
        </w:rPr>
        <w:t>Investor Owned Utilities’ Dec 2016 Monthly CARE and ESA program Report unless otherwise noted</w:t>
      </w:r>
      <w:r w:rsidR="00E0797E" w:rsidRPr="00F561C5">
        <w:rPr>
          <w:sz w:val="16"/>
          <w:szCs w:val="16"/>
        </w:rPr>
        <w:t>.</w:t>
      </w:r>
    </w:p>
  </w:footnote>
  <w:footnote w:id="8">
    <w:p w:rsidR="00EC24B5" w:rsidRDefault="00EC24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Some households may have been treated by more than one program, for example SCE for electricity and SoCalGas for natural gas.</w:t>
      </w:r>
    </w:p>
  </w:footnote>
  <w:footnote w:id="9">
    <w:p w:rsidR="00796B4A" w:rsidRDefault="00796B4A" w:rsidP="00796B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5E40">
        <w:rPr>
          <w:sz w:val="16"/>
          <w:szCs w:val="16"/>
        </w:rPr>
        <w:t>Source:</w:t>
      </w:r>
      <w:r>
        <w:rPr>
          <w:sz w:val="16"/>
          <w:szCs w:val="16"/>
        </w:rPr>
        <w:t xml:space="preserve"> </w:t>
      </w:r>
      <w:r w:rsidRPr="00A232BE">
        <w:rPr>
          <w:sz w:val="16"/>
          <w:szCs w:val="16"/>
        </w:rPr>
        <w:t>Advice Letters</w:t>
      </w:r>
      <w:r>
        <w:rPr>
          <w:sz w:val="16"/>
          <w:szCs w:val="16"/>
        </w:rPr>
        <w:t xml:space="preserve"> </w:t>
      </w:r>
      <w:r w:rsidRPr="00A232BE">
        <w:rPr>
          <w:sz w:val="16"/>
          <w:szCs w:val="16"/>
        </w:rPr>
        <w:t>PG&amp;E AL 3830-G/5043-E, SDG&amp;E AL 3065-E/2568-G, SCG AL5111, SCE AL 3585-E</w:t>
      </w:r>
      <w:r>
        <w:rPr>
          <w:sz w:val="16"/>
          <w:szCs w:val="16"/>
        </w:rPr>
        <w:t xml:space="preserve">.  These estimates are based on the 2017 Athens Report of Annual Estimates of CARE Eligible customers, and are then </w:t>
      </w:r>
      <w:r w:rsidRPr="00A232BE">
        <w:rPr>
          <w:sz w:val="16"/>
          <w:szCs w:val="16"/>
        </w:rPr>
        <w:t xml:space="preserve">adjusted for </w:t>
      </w:r>
      <w:r>
        <w:rPr>
          <w:sz w:val="16"/>
          <w:szCs w:val="16"/>
        </w:rPr>
        <w:t xml:space="preserve">the 60% </w:t>
      </w:r>
      <w:r w:rsidRPr="00A232BE">
        <w:rPr>
          <w:sz w:val="16"/>
          <w:szCs w:val="16"/>
        </w:rPr>
        <w:t>willingness to participate factor, and Homes treated by CSD</w:t>
      </w:r>
      <w:r>
        <w:rPr>
          <w:sz w:val="16"/>
          <w:szCs w:val="16"/>
        </w:rPr>
        <w:t>.</w:t>
      </w:r>
    </w:p>
  </w:footnote>
  <w:footnote w:id="10">
    <w:p w:rsidR="00E0797E" w:rsidRDefault="00E0797E" w:rsidP="00E079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66DC">
        <w:rPr>
          <w:sz w:val="16"/>
          <w:szCs w:val="16"/>
        </w:rPr>
        <w:t>Decision 16-11-022</w:t>
      </w:r>
      <w:r w:rsidRPr="00E0797E">
        <w:rPr>
          <w:sz w:val="16"/>
          <w:szCs w:val="16"/>
        </w:rPr>
        <w:t>, and d</w:t>
      </w:r>
      <w:r w:rsidRPr="001D68BB">
        <w:rPr>
          <w:sz w:val="16"/>
          <w:szCs w:val="16"/>
        </w:rPr>
        <w:t>oes not include $400M in unspent funds</w:t>
      </w:r>
      <w:r>
        <w:rPr>
          <w:sz w:val="16"/>
          <w:szCs w:val="16"/>
        </w:rPr>
        <w:t xml:space="preserve"> accumulated between 2009-2015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BA4"/>
    <w:multiLevelType w:val="hybridMultilevel"/>
    <w:tmpl w:val="EEAA9E2E"/>
    <w:lvl w:ilvl="0" w:tplc="F4226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22F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06F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06A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889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B20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442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5A7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4A41FD"/>
    <w:multiLevelType w:val="hybridMultilevel"/>
    <w:tmpl w:val="B1D27340"/>
    <w:lvl w:ilvl="0" w:tplc="D4D20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C4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8E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561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2B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CD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69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C3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5E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C22210"/>
    <w:multiLevelType w:val="hybridMultilevel"/>
    <w:tmpl w:val="D7D8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6048D"/>
    <w:multiLevelType w:val="hybridMultilevel"/>
    <w:tmpl w:val="9DE4ABF0"/>
    <w:lvl w:ilvl="0" w:tplc="AB3CB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A8C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0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C0B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6A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C5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4A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CF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0C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E03DAF"/>
    <w:multiLevelType w:val="hybridMultilevel"/>
    <w:tmpl w:val="36689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315C"/>
    <w:multiLevelType w:val="hybridMultilevel"/>
    <w:tmpl w:val="AAF87D62"/>
    <w:lvl w:ilvl="0" w:tplc="C0AC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EC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AA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4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CD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9C9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D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0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64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712264"/>
    <w:multiLevelType w:val="hybridMultilevel"/>
    <w:tmpl w:val="32240C44"/>
    <w:lvl w:ilvl="0" w:tplc="D9D69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A7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4A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0B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65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C3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45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26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CE6C8D"/>
    <w:multiLevelType w:val="hybridMultilevel"/>
    <w:tmpl w:val="5FD869A6"/>
    <w:lvl w:ilvl="0" w:tplc="6A5E0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07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2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CF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22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ECF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F07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A6A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E4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7107AA"/>
    <w:multiLevelType w:val="hybridMultilevel"/>
    <w:tmpl w:val="4F283E86"/>
    <w:lvl w:ilvl="0" w:tplc="1FAEC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24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E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6F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E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2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440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CB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8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4FF0DC2"/>
    <w:multiLevelType w:val="hybridMultilevel"/>
    <w:tmpl w:val="1C94AD90"/>
    <w:lvl w:ilvl="0" w:tplc="FCAAA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ED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AF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C1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20A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A7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D84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6B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64D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01C6202"/>
    <w:multiLevelType w:val="hybridMultilevel"/>
    <w:tmpl w:val="6AA6FF1A"/>
    <w:lvl w:ilvl="0" w:tplc="2D487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06D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49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E03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4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6B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8A1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A7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0C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0BF3807"/>
    <w:multiLevelType w:val="hybridMultilevel"/>
    <w:tmpl w:val="5BE2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3493F"/>
    <w:multiLevelType w:val="hybridMultilevel"/>
    <w:tmpl w:val="721C039C"/>
    <w:lvl w:ilvl="0" w:tplc="D682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98B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81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CF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A0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27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00A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CA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A3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D860829"/>
    <w:multiLevelType w:val="hybridMultilevel"/>
    <w:tmpl w:val="77BA9DC4"/>
    <w:lvl w:ilvl="0" w:tplc="138EAF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672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BE25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400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461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E4B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1A29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C1A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EFA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445EB"/>
    <w:multiLevelType w:val="hybridMultilevel"/>
    <w:tmpl w:val="F6E2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50F16"/>
    <w:multiLevelType w:val="hybridMultilevel"/>
    <w:tmpl w:val="C68C7484"/>
    <w:lvl w:ilvl="0" w:tplc="67F6C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389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6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85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28D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01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26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F0F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6F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1C30FD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abstractNum w:abstractNumId="17">
    <w:nsid w:val="7F716394"/>
    <w:multiLevelType w:val="hybridMultilevel"/>
    <w:tmpl w:val="FA041E8C"/>
    <w:lvl w:ilvl="0" w:tplc="6A26C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DCB642">
      <w:start w:val="13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8D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2C7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2B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C4D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68C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E7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13"/>
  </w:num>
  <w:num w:numId="10">
    <w:abstractNumId w:val="17"/>
  </w:num>
  <w:num w:numId="11">
    <w:abstractNumId w:val="10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8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B6"/>
    <w:rsid w:val="00022B34"/>
    <w:rsid w:val="00024F5E"/>
    <w:rsid w:val="0002774D"/>
    <w:rsid w:val="00040CA5"/>
    <w:rsid w:val="000418A0"/>
    <w:rsid w:val="000514E0"/>
    <w:rsid w:val="000533D8"/>
    <w:rsid w:val="00073F32"/>
    <w:rsid w:val="00083FD8"/>
    <w:rsid w:val="000A6BDC"/>
    <w:rsid w:val="000B05EC"/>
    <w:rsid w:val="000B0B37"/>
    <w:rsid w:val="000B2B2B"/>
    <w:rsid w:val="000B3AD2"/>
    <w:rsid w:val="000B5645"/>
    <w:rsid w:val="000C0FE8"/>
    <w:rsid w:val="000C1C28"/>
    <w:rsid w:val="000C2272"/>
    <w:rsid w:val="000C3BFF"/>
    <w:rsid w:val="000C5550"/>
    <w:rsid w:val="000C7259"/>
    <w:rsid w:val="000E0B67"/>
    <w:rsid w:val="000E5D34"/>
    <w:rsid w:val="000F4EE4"/>
    <w:rsid w:val="00101354"/>
    <w:rsid w:val="00121202"/>
    <w:rsid w:val="00123C31"/>
    <w:rsid w:val="00161617"/>
    <w:rsid w:val="00177D26"/>
    <w:rsid w:val="001A184A"/>
    <w:rsid w:val="001A3A11"/>
    <w:rsid w:val="001B53F2"/>
    <w:rsid w:val="001B58AA"/>
    <w:rsid w:val="001C16AC"/>
    <w:rsid w:val="001C484D"/>
    <w:rsid w:val="001C504F"/>
    <w:rsid w:val="001C545B"/>
    <w:rsid w:val="001D3ECE"/>
    <w:rsid w:val="001D68BB"/>
    <w:rsid w:val="001E34A5"/>
    <w:rsid w:val="001F66ED"/>
    <w:rsid w:val="00202EEE"/>
    <w:rsid w:val="00210327"/>
    <w:rsid w:val="0021330D"/>
    <w:rsid w:val="00213672"/>
    <w:rsid w:val="00216E26"/>
    <w:rsid w:val="00221FEC"/>
    <w:rsid w:val="00230F88"/>
    <w:rsid w:val="00232DA7"/>
    <w:rsid w:val="002442BF"/>
    <w:rsid w:val="00255C02"/>
    <w:rsid w:val="002659B5"/>
    <w:rsid w:val="002873A0"/>
    <w:rsid w:val="002971D6"/>
    <w:rsid w:val="002B483D"/>
    <w:rsid w:val="002C0FA2"/>
    <w:rsid w:val="002C6CF3"/>
    <w:rsid w:val="002D360B"/>
    <w:rsid w:val="002D3F90"/>
    <w:rsid w:val="002E5C8D"/>
    <w:rsid w:val="00305B37"/>
    <w:rsid w:val="003079A7"/>
    <w:rsid w:val="00333B23"/>
    <w:rsid w:val="00342E75"/>
    <w:rsid w:val="0034324F"/>
    <w:rsid w:val="003479F4"/>
    <w:rsid w:val="00362673"/>
    <w:rsid w:val="00367614"/>
    <w:rsid w:val="0037065D"/>
    <w:rsid w:val="00374258"/>
    <w:rsid w:val="00377335"/>
    <w:rsid w:val="00384D9D"/>
    <w:rsid w:val="00386709"/>
    <w:rsid w:val="00386EC3"/>
    <w:rsid w:val="00393CA3"/>
    <w:rsid w:val="003C313F"/>
    <w:rsid w:val="003C63F7"/>
    <w:rsid w:val="003D4EC7"/>
    <w:rsid w:val="003D5033"/>
    <w:rsid w:val="003E7DD3"/>
    <w:rsid w:val="003F4C2F"/>
    <w:rsid w:val="004000D1"/>
    <w:rsid w:val="00400472"/>
    <w:rsid w:val="00401962"/>
    <w:rsid w:val="00407FB7"/>
    <w:rsid w:val="00414C37"/>
    <w:rsid w:val="00415306"/>
    <w:rsid w:val="00427823"/>
    <w:rsid w:val="00443C9F"/>
    <w:rsid w:val="00452105"/>
    <w:rsid w:val="004543E1"/>
    <w:rsid w:val="00475D78"/>
    <w:rsid w:val="00485615"/>
    <w:rsid w:val="004A3B48"/>
    <w:rsid w:val="004A568B"/>
    <w:rsid w:val="004B34A8"/>
    <w:rsid w:val="004B6F45"/>
    <w:rsid w:val="004C1038"/>
    <w:rsid w:val="004C4E49"/>
    <w:rsid w:val="004C5C73"/>
    <w:rsid w:val="004E5AB2"/>
    <w:rsid w:val="004F23FA"/>
    <w:rsid w:val="00500AD6"/>
    <w:rsid w:val="0050368A"/>
    <w:rsid w:val="0051619B"/>
    <w:rsid w:val="00525A18"/>
    <w:rsid w:val="00531624"/>
    <w:rsid w:val="0053222E"/>
    <w:rsid w:val="0053350A"/>
    <w:rsid w:val="00542391"/>
    <w:rsid w:val="00543C39"/>
    <w:rsid w:val="005457D4"/>
    <w:rsid w:val="00552186"/>
    <w:rsid w:val="00572907"/>
    <w:rsid w:val="00573715"/>
    <w:rsid w:val="0059069E"/>
    <w:rsid w:val="00590C39"/>
    <w:rsid w:val="0059500A"/>
    <w:rsid w:val="00597EA7"/>
    <w:rsid w:val="005B37C5"/>
    <w:rsid w:val="005C10A9"/>
    <w:rsid w:val="005C3E08"/>
    <w:rsid w:val="005C5D7C"/>
    <w:rsid w:val="005C5F27"/>
    <w:rsid w:val="005D4816"/>
    <w:rsid w:val="005F03F9"/>
    <w:rsid w:val="005F3004"/>
    <w:rsid w:val="00624679"/>
    <w:rsid w:val="0063243A"/>
    <w:rsid w:val="00647B07"/>
    <w:rsid w:val="0065101D"/>
    <w:rsid w:val="00673799"/>
    <w:rsid w:val="00683AF1"/>
    <w:rsid w:val="006846F2"/>
    <w:rsid w:val="00685EFD"/>
    <w:rsid w:val="00694F04"/>
    <w:rsid w:val="006A65B6"/>
    <w:rsid w:val="006B75BF"/>
    <w:rsid w:val="006D4691"/>
    <w:rsid w:val="006F388E"/>
    <w:rsid w:val="0071071A"/>
    <w:rsid w:val="0071182F"/>
    <w:rsid w:val="00711ADE"/>
    <w:rsid w:val="00715730"/>
    <w:rsid w:val="007326AB"/>
    <w:rsid w:val="007424A5"/>
    <w:rsid w:val="00753C9A"/>
    <w:rsid w:val="00757646"/>
    <w:rsid w:val="00763598"/>
    <w:rsid w:val="00765287"/>
    <w:rsid w:val="00783A2F"/>
    <w:rsid w:val="00796B4A"/>
    <w:rsid w:val="007A0C8F"/>
    <w:rsid w:val="007A2E3E"/>
    <w:rsid w:val="007A4458"/>
    <w:rsid w:val="007B5E2C"/>
    <w:rsid w:val="007D52D8"/>
    <w:rsid w:val="007D58C2"/>
    <w:rsid w:val="007E22E5"/>
    <w:rsid w:val="007E4834"/>
    <w:rsid w:val="007E700A"/>
    <w:rsid w:val="007F3DFE"/>
    <w:rsid w:val="00817A08"/>
    <w:rsid w:val="0082140B"/>
    <w:rsid w:val="00822DB4"/>
    <w:rsid w:val="00841A4D"/>
    <w:rsid w:val="00843FF4"/>
    <w:rsid w:val="00890D2A"/>
    <w:rsid w:val="008D2823"/>
    <w:rsid w:val="008D6F29"/>
    <w:rsid w:val="008D7AAE"/>
    <w:rsid w:val="008E477E"/>
    <w:rsid w:val="008F2A96"/>
    <w:rsid w:val="009061E6"/>
    <w:rsid w:val="00921D01"/>
    <w:rsid w:val="00924ABB"/>
    <w:rsid w:val="0093434A"/>
    <w:rsid w:val="00941859"/>
    <w:rsid w:val="00983F7A"/>
    <w:rsid w:val="00984983"/>
    <w:rsid w:val="0098558B"/>
    <w:rsid w:val="00987567"/>
    <w:rsid w:val="00992998"/>
    <w:rsid w:val="009A03CB"/>
    <w:rsid w:val="009A41EF"/>
    <w:rsid w:val="009B077B"/>
    <w:rsid w:val="009B285E"/>
    <w:rsid w:val="009B74D8"/>
    <w:rsid w:val="009C5BD6"/>
    <w:rsid w:val="009E2B9C"/>
    <w:rsid w:val="009E6D81"/>
    <w:rsid w:val="009F166C"/>
    <w:rsid w:val="009F431F"/>
    <w:rsid w:val="00A10BF5"/>
    <w:rsid w:val="00A15B28"/>
    <w:rsid w:val="00A20C55"/>
    <w:rsid w:val="00A232BE"/>
    <w:rsid w:val="00A30AE2"/>
    <w:rsid w:val="00A42C1B"/>
    <w:rsid w:val="00A6081F"/>
    <w:rsid w:val="00A63ADC"/>
    <w:rsid w:val="00A72BB9"/>
    <w:rsid w:val="00A83739"/>
    <w:rsid w:val="00A84EE0"/>
    <w:rsid w:val="00AB26CE"/>
    <w:rsid w:val="00AC3005"/>
    <w:rsid w:val="00AC48DC"/>
    <w:rsid w:val="00AC546A"/>
    <w:rsid w:val="00AD0A1F"/>
    <w:rsid w:val="00AD6348"/>
    <w:rsid w:val="00AE769A"/>
    <w:rsid w:val="00AF1C7B"/>
    <w:rsid w:val="00B00860"/>
    <w:rsid w:val="00B021B9"/>
    <w:rsid w:val="00B100FA"/>
    <w:rsid w:val="00B16719"/>
    <w:rsid w:val="00B21BA5"/>
    <w:rsid w:val="00B24818"/>
    <w:rsid w:val="00B27E43"/>
    <w:rsid w:val="00B7348E"/>
    <w:rsid w:val="00B73578"/>
    <w:rsid w:val="00B8645A"/>
    <w:rsid w:val="00B90426"/>
    <w:rsid w:val="00BB7C8A"/>
    <w:rsid w:val="00BC0EB3"/>
    <w:rsid w:val="00BC24BF"/>
    <w:rsid w:val="00BD7CD9"/>
    <w:rsid w:val="00BE08B0"/>
    <w:rsid w:val="00BE7EAF"/>
    <w:rsid w:val="00BF16EB"/>
    <w:rsid w:val="00BF49C1"/>
    <w:rsid w:val="00C07BA9"/>
    <w:rsid w:val="00C120D7"/>
    <w:rsid w:val="00C314A8"/>
    <w:rsid w:val="00C35E40"/>
    <w:rsid w:val="00C4274F"/>
    <w:rsid w:val="00C51340"/>
    <w:rsid w:val="00C6012B"/>
    <w:rsid w:val="00C63A10"/>
    <w:rsid w:val="00C64958"/>
    <w:rsid w:val="00C72D5A"/>
    <w:rsid w:val="00C73668"/>
    <w:rsid w:val="00C85A3A"/>
    <w:rsid w:val="00C922AE"/>
    <w:rsid w:val="00C96C04"/>
    <w:rsid w:val="00C979AB"/>
    <w:rsid w:val="00CA2D7D"/>
    <w:rsid w:val="00CB0142"/>
    <w:rsid w:val="00CC5646"/>
    <w:rsid w:val="00CD4BE9"/>
    <w:rsid w:val="00CE2597"/>
    <w:rsid w:val="00CE707D"/>
    <w:rsid w:val="00D02B77"/>
    <w:rsid w:val="00D0444B"/>
    <w:rsid w:val="00D044E6"/>
    <w:rsid w:val="00D10512"/>
    <w:rsid w:val="00D36337"/>
    <w:rsid w:val="00D37BA8"/>
    <w:rsid w:val="00D42230"/>
    <w:rsid w:val="00D43516"/>
    <w:rsid w:val="00D569D0"/>
    <w:rsid w:val="00D9708C"/>
    <w:rsid w:val="00DC1EBA"/>
    <w:rsid w:val="00DC287F"/>
    <w:rsid w:val="00E02D42"/>
    <w:rsid w:val="00E06576"/>
    <w:rsid w:val="00E06DF6"/>
    <w:rsid w:val="00E0797E"/>
    <w:rsid w:val="00E1195B"/>
    <w:rsid w:val="00E1353C"/>
    <w:rsid w:val="00E15E3C"/>
    <w:rsid w:val="00E34624"/>
    <w:rsid w:val="00E46AAB"/>
    <w:rsid w:val="00E50FB7"/>
    <w:rsid w:val="00E56B03"/>
    <w:rsid w:val="00E707FE"/>
    <w:rsid w:val="00E71701"/>
    <w:rsid w:val="00E75A17"/>
    <w:rsid w:val="00E8530A"/>
    <w:rsid w:val="00E9070E"/>
    <w:rsid w:val="00E942D6"/>
    <w:rsid w:val="00EA06E5"/>
    <w:rsid w:val="00EA7BEA"/>
    <w:rsid w:val="00EB6A11"/>
    <w:rsid w:val="00EC12BB"/>
    <w:rsid w:val="00EC24B5"/>
    <w:rsid w:val="00EC66DC"/>
    <w:rsid w:val="00EF2444"/>
    <w:rsid w:val="00F028B7"/>
    <w:rsid w:val="00F218D3"/>
    <w:rsid w:val="00F24FD3"/>
    <w:rsid w:val="00F31264"/>
    <w:rsid w:val="00F34535"/>
    <w:rsid w:val="00F361D1"/>
    <w:rsid w:val="00F400EB"/>
    <w:rsid w:val="00F516AE"/>
    <w:rsid w:val="00F525D7"/>
    <w:rsid w:val="00F561C5"/>
    <w:rsid w:val="00F62957"/>
    <w:rsid w:val="00F807D0"/>
    <w:rsid w:val="00F93A9F"/>
    <w:rsid w:val="00F97849"/>
    <w:rsid w:val="00FB330C"/>
    <w:rsid w:val="00FC6A20"/>
    <w:rsid w:val="00FE04B4"/>
    <w:rsid w:val="00FE0BDC"/>
    <w:rsid w:val="00FF1B3C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54" w:line="360" w:lineRule="auto"/>
      <w:ind w:left="720" w:right="648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 w:right="648"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before="254" w:line="360" w:lineRule="auto"/>
      <w:ind w:left="720" w:right="648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um1">
    <w:name w:val="num1"/>
    <w:basedOn w:val="Normal"/>
    <w:pPr>
      <w:tabs>
        <w:tab w:val="left" w:pos="-720"/>
      </w:tabs>
      <w:suppressAutoHyphens/>
      <w:spacing w:line="360" w:lineRule="auto"/>
      <w:ind w:firstLine="360"/>
    </w:pPr>
    <w:rPr>
      <w:rFonts w:ascii="Palatino" w:hAnsi="Palatino"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11pt">
    <w:name w:val="Normal + 11 pt"/>
    <w:basedOn w:val="Normal"/>
    <w:rsid w:val="005D4816"/>
    <w:rPr>
      <w:sz w:val="24"/>
      <w:szCs w:val="24"/>
    </w:rPr>
  </w:style>
  <w:style w:type="paragraph" w:customStyle="1" w:styleId="Default">
    <w:name w:val="Default"/>
    <w:rsid w:val="005D4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B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6CE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link w:val="standardChar"/>
    <w:rsid w:val="00F516AE"/>
    <w:pPr>
      <w:spacing w:line="360" w:lineRule="auto"/>
      <w:ind w:firstLine="720"/>
    </w:pPr>
    <w:rPr>
      <w:rFonts w:ascii="Palatino" w:hAnsi="Palatino"/>
      <w:sz w:val="26"/>
    </w:rPr>
  </w:style>
  <w:style w:type="character" w:customStyle="1" w:styleId="standardChar">
    <w:name w:val="standard Char"/>
    <w:link w:val="standard"/>
    <w:rsid w:val="00F516AE"/>
    <w:rPr>
      <w:rFonts w:ascii="Palatino" w:hAnsi="Palatino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597"/>
  </w:style>
  <w:style w:type="table" w:styleId="TableGrid">
    <w:name w:val="Table Grid"/>
    <w:basedOn w:val="TableNormal"/>
    <w:uiPriority w:val="59"/>
    <w:rsid w:val="00B21BA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24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350A"/>
    <w:pPr>
      <w:ind w:left="720"/>
      <w:contextualSpacing/>
    </w:pPr>
  </w:style>
  <w:style w:type="character" w:styleId="CommentReference">
    <w:name w:val="annotation reference"/>
    <w:basedOn w:val="DefaultParagraphFont"/>
    <w:rsid w:val="001D3E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ECE"/>
  </w:style>
  <w:style w:type="character" w:customStyle="1" w:styleId="CommentTextChar">
    <w:name w:val="Comment Text Char"/>
    <w:basedOn w:val="DefaultParagraphFont"/>
    <w:link w:val="CommentText"/>
    <w:rsid w:val="001D3ECE"/>
  </w:style>
  <w:style w:type="paragraph" w:styleId="CommentSubject">
    <w:name w:val="annotation subject"/>
    <w:basedOn w:val="CommentText"/>
    <w:next w:val="CommentText"/>
    <w:link w:val="CommentSubjectChar"/>
    <w:rsid w:val="001D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EC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C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54" w:line="360" w:lineRule="auto"/>
      <w:ind w:left="720" w:right="648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 w:right="648"/>
      <w:outlineLvl w:val="1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before="254" w:line="360" w:lineRule="auto"/>
      <w:ind w:left="720" w:right="648"/>
    </w:pPr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num1">
    <w:name w:val="num1"/>
    <w:basedOn w:val="Normal"/>
    <w:pPr>
      <w:tabs>
        <w:tab w:val="left" w:pos="-720"/>
      </w:tabs>
      <w:suppressAutoHyphens/>
      <w:spacing w:line="360" w:lineRule="auto"/>
      <w:ind w:firstLine="360"/>
    </w:pPr>
    <w:rPr>
      <w:rFonts w:ascii="Palatino" w:hAnsi="Palatino"/>
      <w:sz w:val="2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11pt">
    <w:name w:val="Normal + 11 pt"/>
    <w:basedOn w:val="Normal"/>
    <w:rsid w:val="005D4816"/>
    <w:rPr>
      <w:sz w:val="24"/>
      <w:szCs w:val="24"/>
    </w:rPr>
  </w:style>
  <w:style w:type="paragraph" w:customStyle="1" w:styleId="Default">
    <w:name w:val="Default"/>
    <w:rsid w:val="005D4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B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26CE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"/>
    <w:link w:val="standardChar"/>
    <w:rsid w:val="00F516AE"/>
    <w:pPr>
      <w:spacing w:line="360" w:lineRule="auto"/>
      <w:ind w:firstLine="720"/>
    </w:pPr>
    <w:rPr>
      <w:rFonts w:ascii="Palatino" w:hAnsi="Palatino"/>
      <w:sz w:val="26"/>
    </w:rPr>
  </w:style>
  <w:style w:type="character" w:customStyle="1" w:styleId="standardChar">
    <w:name w:val="standard Char"/>
    <w:link w:val="standard"/>
    <w:rsid w:val="00F516AE"/>
    <w:rPr>
      <w:rFonts w:ascii="Palatino" w:hAnsi="Palatino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2597"/>
  </w:style>
  <w:style w:type="table" w:styleId="TableGrid">
    <w:name w:val="Table Grid"/>
    <w:basedOn w:val="TableNormal"/>
    <w:uiPriority w:val="59"/>
    <w:rsid w:val="00B21BA5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243A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350A"/>
    <w:pPr>
      <w:ind w:left="720"/>
      <w:contextualSpacing/>
    </w:pPr>
  </w:style>
  <w:style w:type="character" w:styleId="CommentReference">
    <w:name w:val="annotation reference"/>
    <w:basedOn w:val="DefaultParagraphFont"/>
    <w:rsid w:val="001D3E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3ECE"/>
  </w:style>
  <w:style w:type="character" w:customStyle="1" w:styleId="CommentTextChar">
    <w:name w:val="Comment Text Char"/>
    <w:basedOn w:val="DefaultParagraphFont"/>
    <w:link w:val="CommentText"/>
    <w:rsid w:val="001D3ECE"/>
  </w:style>
  <w:style w:type="paragraph" w:styleId="CommentSubject">
    <w:name w:val="annotation subject"/>
    <w:basedOn w:val="CommentText"/>
    <w:next w:val="CommentText"/>
    <w:link w:val="CommentSubjectChar"/>
    <w:rsid w:val="001D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3EC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C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9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0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9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6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37B2-3564-4ED7-8CD7-06537C3B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Richard Maniscalco</dc:creator>
  <cp:lastModifiedBy>Tran, Ava N.</cp:lastModifiedBy>
  <cp:revision>2</cp:revision>
  <cp:lastPrinted>2003-07-22T21:22:00Z</cp:lastPrinted>
  <dcterms:created xsi:type="dcterms:W3CDTF">2017-06-19T17:20:00Z</dcterms:created>
  <dcterms:modified xsi:type="dcterms:W3CDTF">2017-06-19T17:20:00Z</dcterms:modified>
</cp:coreProperties>
</file>