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7F7F7"/>
  <w:body>
    <w:p w14:paraId="56231C82" w14:textId="1C098198" w:rsidR="00567D79" w:rsidRDefault="00567D79" w:rsidP="00B07653"/>
    <w:p w14:paraId="33BD59F2" w14:textId="77777777" w:rsidR="00567D79" w:rsidRDefault="00567D79"/>
    <w:tbl>
      <w:tblPr>
        <w:tblStyle w:val="TableGrid"/>
        <w:tblpPr w:leftFromText="187" w:rightFromText="187" w:vertAnchor="text" w:tblpXSpec="center" w:tblpY="1"/>
        <w:tblOverlap w:val="never"/>
        <w:tblW w:w="15450" w:type="dxa"/>
        <w:tblBorders>
          <w:top w:val="none" w:sz="0" w:space="0" w:color="auto"/>
          <w:left w:val="none" w:sz="0" w:space="0" w:color="auto"/>
          <w:bottom w:val="none" w:sz="0" w:space="0" w:color="auto"/>
          <w:right w:val="single" w:sz="4" w:space="0" w:color="F7F7F7"/>
          <w:insideH w:val="single" w:sz="36" w:space="0" w:color="EAEAEA"/>
          <w:insideV w:val="single" w:sz="36" w:space="0" w:color="EAEAEA"/>
        </w:tblBorders>
        <w:shd w:val="clear" w:color="auto" w:fill="FFFFFF" w:themeFill="background1"/>
        <w:tblLook w:val="04A0" w:firstRow="1" w:lastRow="0" w:firstColumn="1" w:lastColumn="0" w:noHBand="0" w:noVBand="1"/>
      </w:tblPr>
      <w:tblGrid>
        <w:gridCol w:w="2700"/>
        <w:gridCol w:w="12750"/>
      </w:tblGrid>
      <w:tr w:rsidR="00C77881" w14:paraId="6779F195" w14:textId="77777777" w:rsidTr="5A18FFBF">
        <w:trPr>
          <w:trHeight w:val="2304"/>
        </w:trPr>
        <w:tc>
          <w:tcPr>
            <w:tcW w:w="2700" w:type="dxa"/>
            <w:tcBorders>
              <w:top w:val="nil"/>
              <w:bottom w:val="nil"/>
              <w:right w:val="single" w:sz="36" w:space="0" w:color="F7F7F7"/>
            </w:tcBorders>
            <w:shd w:val="clear" w:color="auto" w:fill="FFFFFF" w:themeFill="background1"/>
            <w:vAlign w:val="center"/>
          </w:tcPr>
          <w:p w14:paraId="17AAB84B" w14:textId="73738721" w:rsidR="00B306FC" w:rsidRDefault="00C77881" w:rsidP="000D7A92">
            <w:pPr>
              <w:spacing w:after="480"/>
              <w:rPr>
                <w:rFonts w:ascii="Century Gothic" w:hAnsi="Century Gothic"/>
                <w:b/>
                <w:sz w:val="36"/>
                <w:szCs w:val="36"/>
              </w:rPr>
            </w:pPr>
            <w:bookmarkStart w:id="0" w:name="_Hlk512934282"/>
            <w:r>
              <w:rPr>
                <w:rFonts w:ascii="Century Gothic" w:hAnsi="Century Gothic"/>
                <w:b/>
                <w:noProof/>
                <w:color w:val="2B579A"/>
                <w:sz w:val="36"/>
                <w:szCs w:val="36"/>
                <w:shd w:val="clear" w:color="auto" w:fill="E6E6E6"/>
              </w:rPr>
              <w:drawing>
                <wp:anchor distT="0" distB="0" distL="114300" distR="114300" simplePos="0" relativeHeight="251658240" behindDoc="0" locked="0" layoutInCell="1" allowOverlap="1" wp14:anchorId="4904A997" wp14:editId="1E316BAD">
                  <wp:simplePos x="0" y="0"/>
                  <wp:positionH relativeFrom="margin">
                    <wp:posOffset>135255</wp:posOffset>
                  </wp:positionH>
                  <wp:positionV relativeFrom="margin">
                    <wp:posOffset>-20320</wp:posOffset>
                  </wp:positionV>
                  <wp:extent cx="1280795" cy="12801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puc hi res logo  - PNG from JP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0795" cy="1280160"/>
                          </a:xfrm>
                          <a:prstGeom prst="rect">
                            <a:avLst/>
                          </a:prstGeom>
                        </pic:spPr>
                      </pic:pic>
                    </a:graphicData>
                  </a:graphic>
                  <wp14:sizeRelH relativeFrom="margin">
                    <wp14:pctWidth>0</wp14:pctWidth>
                  </wp14:sizeRelH>
                  <wp14:sizeRelV relativeFrom="margin">
                    <wp14:pctHeight>0</wp14:pctHeight>
                  </wp14:sizeRelV>
                </wp:anchor>
              </w:drawing>
            </w:r>
          </w:p>
        </w:tc>
        <w:tc>
          <w:tcPr>
            <w:tcW w:w="12750" w:type="dxa"/>
            <w:tcBorders>
              <w:left w:val="single" w:sz="36" w:space="0" w:color="F7F7F7"/>
            </w:tcBorders>
            <w:shd w:val="clear" w:color="auto" w:fill="FFFFFF" w:themeFill="background1"/>
            <w:vAlign w:val="center"/>
          </w:tcPr>
          <w:p w14:paraId="518870D3" w14:textId="5FBE1932" w:rsidR="00472530" w:rsidRPr="00DA7253" w:rsidRDefault="000055F1" w:rsidP="000D7A92">
            <w:pPr>
              <w:spacing w:after="120"/>
              <w:ind w:left="432"/>
              <w:rPr>
                <w:rFonts w:ascii="Century Gothic" w:hAnsi="Century Gothic"/>
                <w:color w:val="FF0000"/>
                <w:spacing w:val="-20"/>
                <w:sz w:val="36"/>
                <w:szCs w:val="78"/>
              </w:rPr>
            </w:pPr>
            <w:r>
              <w:rPr>
                <w:rFonts w:ascii="Century Gothic" w:hAnsi="Century Gothic"/>
                <w:color w:val="FF0000"/>
                <w:spacing w:val="-20"/>
                <w:sz w:val="36"/>
                <w:szCs w:val="78"/>
              </w:rPr>
              <w:t xml:space="preserve">CPUC </w:t>
            </w:r>
            <w:r w:rsidR="00472530" w:rsidRPr="00DA7253">
              <w:rPr>
                <w:rFonts w:ascii="Century Gothic" w:hAnsi="Century Gothic"/>
                <w:color w:val="FF0000"/>
                <w:spacing w:val="-20"/>
                <w:sz w:val="36"/>
                <w:szCs w:val="78"/>
              </w:rPr>
              <w:t>Fact Sheet</w:t>
            </w:r>
            <w:r w:rsidR="00C524A3">
              <w:rPr>
                <w:rFonts w:ascii="Century Gothic" w:hAnsi="Century Gothic"/>
                <w:color w:val="FF0000"/>
                <w:spacing w:val="-20"/>
                <w:sz w:val="36"/>
                <w:szCs w:val="78"/>
              </w:rPr>
              <w:t xml:space="preserve"> – PG&amp;E General Rate Case</w:t>
            </w:r>
          </w:p>
          <w:p w14:paraId="6E78BCE2" w14:textId="71788DD7" w:rsidR="00060378" w:rsidRDefault="00515F40" w:rsidP="000D7A92">
            <w:pPr>
              <w:spacing w:after="120"/>
              <w:ind w:left="435"/>
              <w:rPr>
                <w:rFonts w:ascii="Century Gothic" w:hAnsi="Century Gothic"/>
                <w:szCs w:val="36"/>
              </w:rPr>
            </w:pPr>
            <w:r>
              <w:rPr>
                <w:rFonts w:ascii="Century Gothic" w:hAnsi="Century Gothic"/>
                <w:szCs w:val="36"/>
              </w:rPr>
              <w:t>Pacific Gas and Electric Company</w:t>
            </w:r>
            <w:r w:rsidR="00060378">
              <w:rPr>
                <w:rFonts w:ascii="Century Gothic" w:hAnsi="Century Gothic"/>
                <w:szCs w:val="36"/>
              </w:rPr>
              <w:t xml:space="preserve"> </w:t>
            </w:r>
          </w:p>
          <w:p w14:paraId="25F30AB2" w14:textId="3C5DEBF8" w:rsidR="005237C1" w:rsidRDefault="00060378" w:rsidP="000D7A92">
            <w:pPr>
              <w:spacing w:after="120"/>
              <w:ind w:left="435"/>
              <w:rPr>
                <w:rFonts w:ascii="Century Gothic" w:hAnsi="Century Gothic"/>
                <w:szCs w:val="36"/>
              </w:rPr>
            </w:pPr>
            <w:r>
              <w:rPr>
                <w:rFonts w:ascii="Century Gothic" w:hAnsi="Century Gothic"/>
                <w:szCs w:val="36"/>
              </w:rPr>
              <w:t xml:space="preserve">Application </w:t>
            </w:r>
            <w:r w:rsidR="00515F40">
              <w:rPr>
                <w:rFonts w:ascii="Century Gothic" w:hAnsi="Century Gothic"/>
                <w:szCs w:val="36"/>
              </w:rPr>
              <w:t>21-06-0</w:t>
            </w:r>
            <w:r w:rsidR="0008625A">
              <w:rPr>
                <w:rFonts w:ascii="Century Gothic" w:hAnsi="Century Gothic"/>
                <w:szCs w:val="36"/>
              </w:rPr>
              <w:t>21</w:t>
            </w:r>
          </w:p>
          <w:p w14:paraId="0B6CC97A" w14:textId="1C2B8D0C" w:rsidR="00472530" w:rsidRPr="005237C1" w:rsidRDefault="00EF61A9" w:rsidP="003D78F5">
            <w:pPr>
              <w:spacing w:after="120"/>
              <w:ind w:left="435"/>
              <w:rPr>
                <w:rFonts w:ascii="Century Gothic" w:hAnsi="Century Gothic"/>
                <w:sz w:val="28"/>
                <w:szCs w:val="28"/>
              </w:rPr>
            </w:pPr>
            <w:r w:rsidRPr="00C524A3">
              <w:rPr>
                <w:rFonts w:ascii="Century Gothic" w:hAnsi="Century Gothic"/>
                <w:color w:val="C00000"/>
              </w:rPr>
              <w:t>(</w:t>
            </w:r>
            <w:proofErr w:type="gramStart"/>
            <w:r w:rsidRPr="00C524A3">
              <w:rPr>
                <w:rFonts w:ascii="Century Gothic" w:hAnsi="Century Gothic"/>
                <w:color w:val="C00000"/>
              </w:rPr>
              <w:t>updated</w:t>
            </w:r>
            <w:proofErr w:type="gramEnd"/>
            <w:r w:rsidRPr="00C524A3">
              <w:rPr>
                <w:rFonts w:ascii="Century Gothic" w:hAnsi="Century Gothic"/>
                <w:color w:val="C00000"/>
              </w:rPr>
              <w:t xml:space="preserve"> as </w:t>
            </w:r>
            <w:r w:rsidRPr="00B62DFA">
              <w:rPr>
                <w:rFonts w:ascii="Century Gothic" w:hAnsi="Century Gothic"/>
                <w:color w:val="C00000"/>
              </w:rPr>
              <w:t xml:space="preserve">of </w:t>
            </w:r>
            <w:r w:rsidR="583055E9" w:rsidRPr="00B62DFA">
              <w:rPr>
                <w:rFonts w:ascii="Century Gothic" w:hAnsi="Century Gothic"/>
                <w:color w:val="C00000"/>
              </w:rPr>
              <w:t>December</w:t>
            </w:r>
            <w:r w:rsidR="00E669EA" w:rsidRPr="00B62DFA">
              <w:rPr>
                <w:rFonts w:ascii="Century Gothic" w:hAnsi="Century Gothic"/>
                <w:color w:val="C00000"/>
              </w:rPr>
              <w:t xml:space="preserve"> </w:t>
            </w:r>
            <w:r w:rsidR="00B62DFA" w:rsidRPr="00B62DFA">
              <w:rPr>
                <w:rFonts w:ascii="Century Gothic" w:hAnsi="Century Gothic"/>
                <w:color w:val="C00000"/>
              </w:rPr>
              <w:t>9</w:t>
            </w:r>
            <w:r w:rsidR="00A1249A" w:rsidRPr="00B62DFA">
              <w:rPr>
                <w:rFonts w:ascii="Century Gothic" w:hAnsi="Century Gothic"/>
                <w:color w:val="C00000"/>
              </w:rPr>
              <w:t xml:space="preserve">, </w:t>
            </w:r>
            <w:r w:rsidR="45E28237" w:rsidRPr="00B62DFA">
              <w:rPr>
                <w:rFonts w:ascii="Century Gothic" w:hAnsi="Century Gothic"/>
                <w:color w:val="C00000"/>
              </w:rPr>
              <w:t>202</w:t>
            </w:r>
            <w:r w:rsidR="00515F40" w:rsidRPr="00B62DFA">
              <w:rPr>
                <w:rFonts w:ascii="Century Gothic" w:hAnsi="Century Gothic"/>
                <w:color w:val="C00000"/>
              </w:rPr>
              <w:t>2</w:t>
            </w:r>
            <w:r w:rsidRPr="00B62DFA">
              <w:rPr>
                <w:rFonts w:ascii="Century Gothic" w:hAnsi="Century Gothic"/>
                <w:color w:val="C00000"/>
              </w:rPr>
              <w:t>)</w:t>
            </w:r>
          </w:p>
        </w:tc>
      </w:tr>
      <w:bookmarkEnd w:id="0"/>
    </w:tbl>
    <w:p w14:paraId="5C0C8005" w14:textId="6C38EF74" w:rsidR="0065156E" w:rsidRDefault="0065156E" w:rsidP="0065156E">
      <w:pPr>
        <w:rPr>
          <w:rFonts w:ascii="Century Gothic" w:hAnsi="Century Gothic"/>
          <w:color w:val="7F7F7F" w:themeColor="text1" w:themeTint="80"/>
          <w:sz w:val="16"/>
          <w:szCs w:val="16"/>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800"/>
      </w:tblGrid>
      <w:tr w:rsidR="00582A4D" w:rsidRPr="00515F40" w14:paraId="10590F95" w14:textId="77777777" w:rsidTr="204BEDC3">
        <w:trPr>
          <w:trHeight w:val="5580"/>
          <w:jc w:val="center"/>
        </w:trPr>
        <w:tc>
          <w:tcPr>
            <w:tcW w:w="10800" w:type="dxa"/>
            <w:shd w:val="clear" w:color="auto" w:fill="FFFFFF" w:themeFill="background1"/>
            <w:vAlign w:val="center"/>
          </w:tcPr>
          <w:p w14:paraId="016D911D" w14:textId="5A25ECC0" w:rsidR="00582A4D" w:rsidRPr="00515F40" w:rsidRDefault="00582A4D" w:rsidP="00582A4D">
            <w:pPr>
              <w:pBdr>
                <w:top w:val="single" w:sz="8" w:space="1" w:color="ECF2F8" w:themeColor="accent1" w:themeTint="33"/>
                <w:bottom w:val="single" w:sz="8" w:space="1" w:color="ECF2F8" w:themeColor="accent1" w:themeTint="33"/>
              </w:pBdr>
              <w:shd w:val="clear" w:color="auto" w:fill="DAE5F1" w:themeFill="accent1" w:themeFillTint="66"/>
              <w:spacing w:before="60" w:after="60"/>
              <w:rPr>
                <w:b/>
                <w:color w:val="auto"/>
                <w:sz w:val="26"/>
                <w:szCs w:val="26"/>
              </w:rPr>
            </w:pPr>
            <w:r w:rsidRPr="00D26D14">
              <w:rPr>
                <w:b/>
                <w:sz w:val="26"/>
                <w:szCs w:val="26"/>
              </w:rPr>
              <w:t xml:space="preserve"> </w:t>
            </w:r>
            <w:r w:rsidRPr="00515F40">
              <w:rPr>
                <w:b/>
                <w:color w:val="auto"/>
                <w:sz w:val="26"/>
                <w:szCs w:val="26"/>
              </w:rPr>
              <w:t xml:space="preserve">What </w:t>
            </w:r>
            <w:r w:rsidR="00060378" w:rsidRPr="00515F40">
              <w:rPr>
                <w:b/>
                <w:color w:val="auto"/>
                <w:sz w:val="26"/>
                <w:szCs w:val="26"/>
              </w:rPr>
              <w:t xml:space="preserve">is </w:t>
            </w:r>
            <w:r w:rsidR="20179DAC" w:rsidRPr="0AE025ED">
              <w:rPr>
                <w:b/>
                <w:bCs/>
                <w:color w:val="auto"/>
                <w:sz w:val="26"/>
                <w:szCs w:val="26"/>
              </w:rPr>
              <w:t>th</w:t>
            </w:r>
            <w:r w:rsidR="7E1CA4E6" w:rsidRPr="0AE025ED">
              <w:rPr>
                <w:b/>
                <w:bCs/>
                <w:color w:val="auto"/>
                <w:sz w:val="26"/>
                <w:szCs w:val="26"/>
              </w:rPr>
              <w:t>e</w:t>
            </w:r>
            <w:r w:rsidR="00060378" w:rsidRPr="00515F40">
              <w:rPr>
                <w:b/>
                <w:color w:val="auto"/>
                <w:sz w:val="26"/>
                <w:szCs w:val="26"/>
              </w:rPr>
              <w:t xml:space="preserve"> </w:t>
            </w:r>
            <w:r w:rsidR="009F51C6">
              <w:rPr>
                <w:b/>
                <w:color w:val="auto"/>
                <w:sz w:val="26"/>
                <w:szCs w:val="26"/>
              </w:rPr>
              <w:t xml:space="preserve">PG&amp;E </w:t>
            </w:r>
            <w:r w:rsidR="5C076737" w:rsidRPr="0AE025ED">
              <w:rPr>
                <w:b/>
                <w:bCs/>
                <w:color w:val="auto"/>
                <w:sz w:val="26"/>
                <w:szCs w:val="26"/>
              </w:rPr>
              <w:t xml:space="preserve">General </w:t>
            </w:r>
            <w:r w:rsidR="00060378" w:rsidRPr="00515F40">
              <w:rPr>
                <w:b/>
                <w:color w:val="auto"/>
                <w:sz w:val="26"/>
                <w:szCs w:val="26"/>
              </w:rPr>
              <w:t xml:space="preserve">Rate </w:t>
            </w:r>
            <w:r w:rsidR="5D326266" w:rsidRPr="0AE025ED">
              <w:rPr>
                <w:b/>
                <w:bCs/>
                <w:color w:val="auto"/>
                <w:sz w:val="26"/>
                <w:szCs w:val="26"/>
              </w:rPr>
              <w:t xml:space="preserve">Case </w:t>
            </w:r>
            <w:r w:rsidR="00060378" w:rsidRPr="00515F40">
              <w:rPr>
                <w:b/>
                <w:color w:val="auto"/>
                <w:sz w:val="26"/>
                <w:szCs w:val="26"/>
              </w:rPr>
              <w:t>Application About?</w:t>
            </w:r>
          </w:p>
          <w:p w14:paraId="7902D435" w14:textId="2CF46BCF" w:rsidR="00914275" w:rsidRPr="007B248C" w:rsidRDefault="00060378" w:rsidP="00060378">
            <w:pPr>
              <w:spacing w:before="60" w:after="60"/>
              <w:rPr>
                <w:color w:val="auto"/>
                <w:lang w:val="en"/>
              </w:rPr>
            </w:pPr>
            <w:r w:rsidRPr="007B248C">
              <w:rPr>
                <w:color w:val="auto"/>
                <w:lang w:val="en"/>
              </w:rPr>
              <w:t>Every four years</w:t>
            </w:r>
            <w:r w:rsidR="005D1BF7">
              <w:rPr>
                <w:color w:val="auto"/>
                <w:lang w:val="en"/>
              </w:rPr>
              <w:t>,</w:t>
            </w:r>
            <w:r w:rsidRPr="007B248C">
              <w:rPr>
                <w:color w:val="auto"/>
                <w:lang w:val="en"/>
              </w:rPr>
              <w:t xml:space="preserve"> the California Public Utilities Commission (</w:t>
            </w:r>
            <w:r w:rsidR="00E722A5" w:rsidRPr="007B248C">
              <w:rPr>
                <w:color w:val="auto"/>
                <w:lang w:val="en"/>
              </w:rPr>
              <w:t>CPUC</w:t>
            </w:r>
            <w:r w:rsidRPr="007B248C">
              <w:rPr>
                <w:color w:val="auto"/>
                <w:lang w:val="en"/>
              </w:rPr>
              <w:t xml:space="preserve">) requires </w:t>
            </w:r>
            <w:r w:rsidR="00515F40" w:rsidRPr="007B248C">
              <w:rPr>
                <w:color w:val="auto"/>
                <w:lang w:val="en"/>
              </w:rPr>
              <w:t xml:space="preserve">Pacific Gas and Electric Company (PG&amp;E) </w:t>
            </w:r>
            <w:r w:rsidRPr="007B248C">
              <w:rPr>
                <w:color w:val="auto"/>
                <w:lang w:val="en"/>
              </w:rPr>
              <w:t>to file a</w:t>
            </w:r>
            <w:r w:rsidR="009F51C6">
              <w:rPr>
                <w:color w:val="auto"/>
                <w:lang w:val="en"/>
              </w:rPr>
              <w:t xml:space="preserve">n </w:t>
            </w:r>
            <w:r w:rsidR="00274710">
              <w:rPr>
                <w:color w:val="auto"/>
                <w:lang w:val="en"/>
              </w:rPr>
              <w:t>A</w:t>
            </w:r>
            <w:r w:rsidR="009F51C6">
              <w:rPr>
                <w:color w:val="auto"/>
                <w:lang w:val="en"/>
              </w:rPr>
              <w:t xml:space="preserve">pplication, referred to as </w:t>
            </w:r>
            <w:r w:rsidR="00852E50">
              <w:rPr>
                <w:color w:val="auto"/>
                <w:lang w:val="en"/>
              </w:rPr>
              <w:t>a</w:t>
            </w:r>
            <w:r w:rsidRPr="007B248C">
              <w:rPr>
                <w:color w:val="auto"/>
                <w:lang w:val="en"/>
              </w:rPr>
              <w:t xml:space="preserve"> General Rate Case (GRC) </w:t>
            </w:r>
            <w:r w:rsidR="00274710">
              <w:rPr>
                <w:color w:val="auto"/>
                <w:lang w:val="en"/>
              </w:rPr>
              <w:t>A</w:t>
            </w:r>
            <w:r w:rsidRPr="007B248C">
              <w:rPr>
                <w:color w:val="auto"/>
                <w:lang w:val="en"/>
              </w:rPr>
              <w:t>pplication.</w:t>
            </w:r>
            <w:r w:rsidR="007B248C" w:rsidRPr="007B248C">
              <w:rPr>
                <w:rStyle w:val="FootnoteReference"/>
              </w:rPr>
              <w:t xml:space="preserve"> </w:t>
            </w:r>
            <w:r w:rsidR="00C75B37">
              <w:t xml:space="preserve"> </w:t>
            </w:r>
            <w:proofErr w:type="spellStart"/>
            <w:r w:rsidR="00274710">
              <w:t>T</w:t>
            </w:r>
            <w:r w:rsidRPr="007B248C">
              <w:rPr>
                <w:color w:val="auto"/>
                <w:lang w:val="en"/>
              </w:rPr>
              <w:t>he</w:t>
            </w:r>
            <w:proofErr w:type="spellEnd"/>
            <w:r w:rsidRPr="007B248C">
              <w:rPr>
                <w:color w:val="auto"/>
                <w:lang w:val="en"/>
              </w:rPr>
              <w:t xml:space="preserve"> </w:t>
            </w:r>
            <w:r w:rsidR="00E722A5" w:rsidRPr="007B248C">
              <w:rPr>
                <w:color w:val="auto"/>
                <w:lang w:val="en"/>
              </w:rPr>
              <w:t xml:space="preserve">CPUC </w:t>
            </w:r>
            <w:r w:rsidR="00274710">
              <w:rPr>
                <w:color w:val="auto"/>
                <w:lang w:val="en"/>
              </w:rPr>
              <w:t>review</w:t>
            </w:r>
            <w:r w:rsidR="00852E50">
              <w:rPr>
                <w:color w:val="auto"/>
                <w:lang w:val="en"/>
              </w:rPr>
              <w:t>s</w:t>
            </w:r>
            <w:r w:rsidR="00274710">
              <w:rPr>
                <w:color w:val="auto"/>
                <w:lang w:val="en"/>
              </w:rPr>
              <w:t xml:space="preserve"> this Application </w:t>
            </w:r>
            <w:r w:rsidRPr="007B248C">
              <w:rPr>
                <w:color w:val="auto"/>
                <w:lang w:val="en"/>
              </w:rPr>
              <w:t>to take a</w:t>
            </w:r>
            <w:r w:rsidR="009F51C6">
              <w:rPr>
                <w:color w:val="auto"/>
                <w:lang w:val="en"/>
              </w:rPr>
              <w:t xml:space="preserve">n </w:t>
            </w:r>
            <w:r w:rsidRPr="007B248C">
              <w:rPr>
                <w:color w:val="auto"/>
                <w:lang w:val="en"/>
              </w:rPr>
              <w:t xml:space="preserve">in-depth look at </w:t>
            </w:r>
            <w:r w:rsidR="00515F40" w:rsidRPr="007B248C">
              <w:rPr>
                <w:color w:val="auto"/>
                <w:lang w:val="en"/>
              </w:rPr>
              <w:t>PG&amp;E’s</w:t>
            </w:r>
            <w:r w:rsidRPr="007B248C">
              <w:rPr>
                <w:color w:val="auto"/>
                <w:lang w:val="en"/>
              </w:rPr>
              <w:t xml:space="preserve"> </w:t>
            </w:r>
            <w:r w:rsidR="4736F45E" w:rsidRPr="007B248C">
              <w:rPr>
                <w:color w:val="auto"/>
                <w:lang w:val="en"/>
              </w:rPr>
              <w:t xml:space="preserve">forecasted </w:t>
            </w:r>
            <w:r w:rsidR="007E1E87">
              <w:rPr>
                <w:color w:val="auto"/>
                <w:lang w:val="en"/>
              </w:rPr>
              <w:t>costs</w:t>
            </w:r>
            <w:r w:rsidR="003F12D5">
              <w:rPr>
                <w:color w:val="auto"/>
                <w:lang w:val="en"/>
              </w:rPr>
              <w:t>,</w:t>
            </w:r>
            <w:r w:rsidR="00EF61A9">
              <w:rPr>
                <w:color w:val="auto"/>
                <w:lang w:val="en"/>
              </w:rPr>
              <w:t xml:space="preserve"> </w:t>
            </w:r>
            <w:r w:rsidR="009F51C6">
              <w:rPr>
                <w:color w:val="auto"/>
                <w:lang w:val="en"/>
              </w:rPr>
              <w:t xml:space="preserve">its </w:t>
            </w:r>
            <w:r w:rsidR="008D76CC">
              <w:rPr>
                <w:color w:val="auto"/>
                <w:lang w:val="en"/>
              </w:rPr>
              <w:t xml:space="preserve">forecasted </w:t>
            </w:r>
            <w:r w:rsidRPr="007B248C">
              <w:rPr>
                <w:color w:val="auto"/>
                <w:lang w:val="en"/>
              </w:rPr>
              <w:t>service</w:t>
            </w:r>
            <w:r w:rsidR="008D76CC">
              <w:rPr>
                <w:color w:val="auto"/>
                <w:lang w:val="en"/>
              </w:rPr>
              <w:t>s and projects</w:t>
            </w:r>
            <w:r w:rsidR="003F12D5">
              <w:rPr>
                <w:color w:val="auto"/>
                <w:lang w:val="en"/>
              </w:rPr>
              <w:t>,</w:t>
            </w:r>
            <w:r w:rsidRPr="007B248C">
              <w:rPr>
                <w:color w:val="auto"/>
                <w:lang w:val="en"/>
              </w:rPr>
              <w:t xml:space="preserve"> and other factors,</w:t>
            </w:r>
            <w:r w:rsidR="00A90465">
              <w:rPr>
                <w:color w:val="auto"/>
                <w:lang w:val="en"/>
              </w:rPr>
              <w:t xml:space="preserve"> and </w:t>
            </w:r>
            <w:r w:rsidRPr="007B248C">
              <w:rPr>
                <w:color w:val="auto"/>
                <w:lang w:val="en"/>
              </w:rPr>
              <w:t>decide</w:t>
            </w:r>
            <w:r w:rsidR="00274710">
              <w:rPr>
                <w:color w:val="auto"/>
                <w:lang w:val="en"/>
              </w:rPr>
              <w:t>s</w:t>
            </w:r>
            <w:r w:rsidRPr="007B248C">
              <w:rPr>
                <w:color w:val="auto"/>
                <w:lang w:val="en"/>
              </w:rPr>
              <w:t xml:space="preserve"> whether to </w:t>
            </w:r>
            <w:r w:rsidR="00C524A3">
              <w:rPr>
                <w:color w:val="auto"/>
                <w:lang w:val="en"/>
              </w:rPr>
              <w:t xml:space="preserve">modify </w:t>
            </w:r>
            <w:r w:rsidR="00C524A3" w:rsidRPr="007B248C">
              <w:rPr>
                <w:color w:val="auto"/>
                <w:lang w:val="en"/>
              </w:rPr>
              <w:t>the</w:t>
            </w:r>
            <w:r w:rsidR="00B64702" w:rsidRPr="00B64702">
              <w:rPr>
                <w:color w:val="auto"/>
                <w:lang w:val="en"/>
              </w:rPr>
              <w:t xml:space="preserve"> </w:t>
            </w:r>
            <w:r w:rsidR="00803B69">
              <w:rPr>
                <w:color w:val="auto"/>
                <w:lang w:val="en"/>
              </w:rPr>
              <w:t>rates</w:t>
            </w:r>
            <w:r w:rsidR="00B64702" w:rsidRPr="00B64702">
              <w:rPr>
                <w:color w:val="auto"/>
                <w:lang w:val="en"/>
              </w:rPr>
              <w:t xml:space="preserve"> PG&amp;E is authorized to charge its customers </w:t>
            </w:r>
            <w:r w:rsidRPr="007B248C">
              <w:rPr>
                <w:color w:val="auto"/>
                <w:lang w:val="en"/>
              </w:rPr>
              <w:t xml:space="preserve">and whether to require other changes in </w:t>
            </w:r>
            <w:r w:rsidR="00515F40" w:rsidRPr="007B248C">
              <w:rPr>
                <w:color w:val="auto"/>
                <w:lang w:val="en"/>
              </w:rPr>
              <w:t>PG&amp;</w:t>
            </w:r>
            <w:r w:rsidRPr="007B248C">
              <w:rPr>
                <w:color w:val="auto"/>
                <w:lang w:val="en"/>
              </w:rPr>
              <w:t xml:space="preserve">E’s </w:t>
            </w:r>
            <w:r w:rsidR="00D60796">
              <w:rPr>
                <w:color w:val="auto"/>
                <w:lang w:val="en"/>
              </w:rPr>
              <w:t xml:space="preserve">future </w:t>
            </w:r>
            <w:r w:rsidRPr="007B248C">
              <w:rPr>
                <w:color w:val="auto"/>
                <w:lang w:val="en"/>
              </w:rPr>
              <w:t>operations</w:t>
            </w:r>
            <w:r w:rsidR="00914275" w:rsidRPr="007B248C">
              <w:rPr>
                <w:color w:val="auto"/>
                <w:lang w:val="en"/>
              </w:rPr>
              <w:t>.</w:t>
            </w:r>
            <w:r w:rsidR="00C75B37">
              <w:rPr>
                <w:rStyle w:val="FootnoteReference"/>
                <w:color w:val="auto"/>
                <w:lang w:val="en"/>
              </w:rPr>
              <w:footnoteReference w:id="2"/>
            </w:r>
            <w:r w:rsidR="00914275" w:rsidRPr="007B248C">
              <w:rPr>
                <w:color w:val="auto"/>
                <w:lang w:val="en"/>
              </w:rPr>
              <w:t xml:space="preserve">  </w:t>
            </w:r>
            <w:r w:rsidR="00E73913">
              <w:rPr>
                <w:color w:val="auto"/>
                <w:lang w:val="en"/>
              </w:rPr>
              <w:t xml:space="preserve"> </w:t>
            </w:r>
          </w:p>
          <w:p w14:paraId="53E5F3B2" w14:textId="77777777" w:rsidR="00914275" w:rsidRPr="007B248C" w:rsidRDefault="00914275" w:rsidP="00060378">
            <w:pPr>
              <w:spacing w:before="60" w:after="60"/>
              <w:rPr>
                <w:color w:val="auto"/>
                <w:sz w:val="14"/>
                <w:szCs w:val="14"/>
                <w:lang w:val="en"/>
              </w:rPr>
            </w:pPr>
          </w:p>
          <w:p w14:paraId="72B88FC9" w14:textId="717CC100" w:rsidR="007B248C" w:rsidRDefault="59F5527F" w:rsidP="00060378">
            <w:pPr>
              <w:spacing w:before="60" w:after="60"/>
              <w:rPr>
                <w:color w:val="auto"/>
                <w:lang w:val="en"/>
              </w:rPr>
            </w:pPr>
            <w:r w:rsidRPr="00871AA9">
              <w:rPr>
                <w:color w:val="auto"/>
                <w:lang w:val="en"/>
              </w:rPr>
              <w:t xml:space="preserve">In this </w:t>
            </w:r>
            <w:r w:rsidR="00274710">
              <w:rPr>
                <w:color w:val="auto"/>
                <w:lang w:val="en"/>
              </w:rPr>
              <w:t>A</w:t>
            </w:r>
            <w:r w:rsidRPr="00871AA9">
              <w:rPr>
                <w:color w:val="auto"/>
                <w:lang w:val="en"/>
              </w:rPr>
              <w:t xml:space="preserve">pplication, </w:t>
            </w:r>
            <w:r w:rsidR="516FAD27" w:rsidRPr="00871AA9">
              <w:rPr>
                <w:color w:val="auto"/>
                <w:lang w:val="en"/>
              </w:rPr>
              <w:t>PG&amp;E</w:t>
            </w:r>
            <w:r w:rsidRPr="00871AA9">
              <w:rPr>
                <w:color w:val="auto"/>
                <w:lang w:val="en"/>
              </w:rPr>
              <w:t xml:space="preserve"> is requesting the </w:t>
            </w:r>
            <w:r w:rsidR="00E722A5" w:rsidRPr="00871AA9">
              <w:rPr>
                <w:color w:val="auto"/>
                <w:lang w:val="en"/>
              </w:rPr>
              <w:t xml:space="preserve">CPUC </w:t>
            </w:r>
            <w:r w:rsidR="458BFCD6" w:rsidRPr="00871AA9">
              <w:rPr>
                <w:color w:val="auto"/>
                <w:lang w:val="en"/>
              </w:rPr>
              <w:t xml:space="preserve">to </w:t>
            </w:r>
            <w:r w:rsidRPr="00871AA9">
              <w:rPr>
                <w:color w:val="auto"/>
                <w:lang w:val="en"/>
              </w:rPr>
              <w:t>approve</w:t>
            </w:r>
            <w:r w:rsidR="458BFCD6" w:rsidRPr="00871AA9">
              <w:rPr>
                <w:color w:val="auto"/>
                <w:lang w:val="en"/>
              </w:rPr>
              <w:t xml:space="preserve"> </w:t>
            </w:r>
            <w:r w:rsidRPr="00871AA9">
              <w:rPr>
                <w:color w:val="auto"/>
                <w:lang w:val="en"/>
              </w:rPr>
              <w:t>rate increase</w:t>
            </w:r>
            <w:r w:rsidR="1E5E45AC" w:rsidRPr="00871AA9">
              <w:rPr>
                <w:color w:val="auto"/>
                <w:lang w:val="en"/>
              </w:rPr>
              <w:t>s</w:t>
            </w:r>
            <w:r w:rsidR="07EFED21" w:rsidRPr="00871AA9">
              <w:rPr>
                <w:color w:val="auto"/>
                <w:lang w:val="en"/>
              </w:rPr>
              <w:t xml:space="preserve"> for its electric and gas customers</w:t>
            </w:r>
            <w:r w:rsidR="52CBB019" w:rsidRPr="00871AA9">
              <w:rPr>
                <w:color w:val="auto"/>
                <w:lang w:val="en"/>
              </w:rPr>
              <w:t xml:space="preserve"> for the </w:t>
            </w:r>
            <w:r w:rsidR="0286B81D" w:rsidRPr="00871AA9">
              <w:rPr>
                <w:color w:val="auto"/>
                <w:lang w:val="en"/>
              </w:rPr>
              <w:t xml:space="preserve">calendar </w:t>
            </w:r>
            <w:r w:rsidR="52CBB019" w:rsidRPr="00871AA9">
              <w:rPr>
                <w:color w:val="auto"/>
                <w:lang w:val="en"/>
              </w:rPr>
              <w:t>years 2023 through 2026</w:t>
            </w:r>
            <w:r w:rsidRPr="00871AA9">
              <w:rPr>
                <w:color w:val="auto"/>
                <w:lang w:val="en"/>
              </w:rPr>
              <w:t>.</w:t>
            </w:r>
            <w:r w:rsidR="305CE162" w:rsidRPr="00871AA9">
              <w:rPr>
                <w:color w:val="auto"/>
                <w:lang w:val="en"/>
              </w:rPr>
              <w:t xml:space="preserve"> </w:t>
            </w:r>
            <w:r w:rsidR="00515F40" w:rsidRPr="00871AA9">
              <w:rPr>
                <w:color w:val="auto"/>
                <w:lang w:val="en"/>
              </w:rPr>
              <w:t>PG&amp;E</w:t>
            </w:r>
            <w:r w:rsidR="372B3471" w:rsidRPr="00871AA9">
              <w:rPr>
                <w:color w:val="auto"/>
                <w:lang w:val="en"/>
              </w:rPr>
              <w:t xml:space="preserve"> initially submitted its GRC </w:t>
            </w:r>
            <w:r w:rsidR="00274710">
              <w:rPr>
                <w:color w:val="auto"/>
                <w:lang w:val="en"/>
              </w:rPr>
              <w:t>A</w:t>
            </w:r>
            <w:r w:rsidR="372B3471" w:rsidRPr="00871AA9">
              <w:rPr>
                <w:color w:val="auto"/>
                <w:lang w:val="en"/>
              </w:rPr>
              <w:t xml:space="preserve">pplication on </w:t>
            </w:r>
            <w:r w:rsidR="5D88AA54" w:rsidRPr="00871AA9">
              <w:rPr>
                <w:color w:val="auto"/>
                <w:lang w:val="en"/>
              </w:rPr>
              <w:t xml:space="preserve">June 30, </w:t>
            </w:r>
            <w:proofErr w:type="gramStart"/>
            <w:r w:rsidR="5D88AA54" w:rsidRPr="00871AA9">
              <w:rPr>
                <w:color w:val="auto"/>
                <w:lang w:val="en"/>
              </w:rPr>
              <w:t>2021</w:t>
            </w:r>
            <w:proofErr w:type="gramEnd"/>
            <w:r w:rsidR="184BD35D" w:rsidRPr="00871AA9">
              <w:rPr>
                <w:color w:val="auto"/>
                <w:lang w:val="en"/>
              </w:rPr>
              <w:t xml:space="preserve"> </w:t>
            </w:r>
            <w:r w:rsidR="3C57C212" w:rsidRPr="00871AA9">
              <w:rPr>
                <w:color w:val="auto"/>
                <w:lang w:val="en"/>
              </w:rPr>
              <w:t>and</w:t>
            </w:r>
            <w:r w:rsidR="372B3471" w:rsidRPr="00871AA9">
              <w:rPr>
                <w:color w:val="auto"/>
                <w:lang w:val="en"/>
              </w:rPr>
              <w:t xml:space="preserve"> submitted </w:t>
            </w:r>
            <w:r w:rsidR="00585F98">
              <w:rPr>
                <w:color w:val="auto"/>
                <w:lang w:val="en"/>
              </w:rPr>
              <w:t xml:space="preserve">modifications on </w:t>
            </w:r>
            <w:r w:rsidR="0036701F" w:rsidRPr="00871AA9">
              <w:rPr>
                <w:color w:val="auto"/>
                <w:lang w:val="en"/>
              </w:rPr>
              <w:t>March 10, 2022</w:t>
            </w:r>
            <w:r w:rsidR="009847B4">
              <w:rPr>
                <w:color w:val="auto"/>
                <w:lang w:val="en"/>
              </w:rPr>
              <w:t xml:space="preserve"> and September 6, 2022</w:t>
            </w:r>
            <w:r w:rsidR="372B3471" w:rsidRPr="00871AA9">
              <w:rPr>
                <w:color w:val="auto"/>
                <w:lang w:val="en"/>
              </w:rPr>
              <w:t>.</w:t>
            </w:r>
            <w:r w:rsidR="00585F98">
              <w:rPr>
                <w:color w:val="auto"/>
                <w:lang w:val="en"/>
              </w:rPr>
              <w:t xml:space="preserve"> PG&amp;E’s March 10, </w:t>
            </w:r>
            <w:proofErr w:type="gramStart"/>
            <w:r w:rsidR="00585F98">
              <w:rPr>
                <w:color w:val="auto"/>
                <w:lang w:val="en"/>
              </w:rPr>
              <w:t>2022</w:t>
            </w:r>
            <w:proofErr w:type="gramEnd"/>
            <w:r w:rsidR="00585F98">
              <w:rPr>
                <w:color w:val="auto"/>
                <w:lang w:val="en"/>
              </w:rPr>
              <w:t xml:space="preserve"> </w:t>
            </w:r>
            <w:r w:rsidR="007B0E4F">
              <w:rPr>
                <w:color w:val="auto"/>
                <w:lang w:val="en"/>
              </w:rPr>
              <w:t>request</w:t>
            </w:r>
            <w:r w:rsidR="002203A6">
              <w:rPr>
                <w:color w:val="auto"/>
                <w:lang w:val="en"/>
              </w:rPr>
              <w:t xml:space="preserve"> </w:t>
            </w:r>
            <w:r w:rsidR="00585F98">
              <w:rPr>
                <w:color w:val="auto"/>
                <w:lang w:val="en"/>
              </w:rPr>
              <w:t xml:space="preserve">incorporates its proposal to underground </w:t>
            </w:r>
            <w:r w:rsidR="00D722D0">
              <w:rPr>
                <w:color w:val="auto"/>
                <w:lang w:val="en"/>
              </w:rPr>
              <w:t>approximately 3300 miles of overhead electrical facilities.</w:t>
            </w:r>
            <w:r w:rsidR="372B3471" w:rsidRPr="00871AA9">
              <w:rPr>
                <w:color w:val="auto"/>
                <w:lang w:val="en"/>
              </w:rPr>
              <w:t xml:space="preserve"> PG&amp;E</w:t>
            </w:r>
            <w:r w:rsidR="009847B4">
              <w:rPr>
                <w:color w:val="auto"/>
                <w:lang w:val="en"/>
              </w:rPr>
              <w:t xml:space="preserve">’s </w:t>
            </w:r>
            <w:r w:rsidR="372B3471" w:rsidRPr="00871AA9">
              <w:rPr>
                <w:color w:val="auto"/>
                <w:lang w:val="en"/>
              </w:rPr>
              <w:t xml:space="preserve">September 6, </w:t>
            </w:r>
            <w:proofErr w:type="gramStart"/>
            <w:r w:rsidR="372B3471" w:rsidRPr="00871AA9">
              <w:rPr>
                <w:color w:val="auto"/>
                <w:lang w:val="en"/>
              </w:rPr>
              <w:t>2022</w:t>
            </w:r>
            <w:proofErr w:type="gramEnd"/>
            <w:r w:rsidR="068D3CF8" w:rsidRPr="00871AA9">
              <w:rPr>
                <w:color w:val="auto"/>
                <w:lang w:val="en"/>
              </w:rPr>
              <w:t xml:space="preserve"> </w:t>
            </w:r>
            <w:r w:rsidR="009847B4">
              <w:rPr>
                <w:color w:val="auto"/>
                <w:lang w:val="en"/>
              </w:rPr>
              <w:t>update</w:t>
            </w:r>
            <w:r w:rsidR="002203A6">
              <w:rPr>
                <w:color w:val="auto"/>
                <w:lang w:val="en"/>
              </w:rPr>
              <w:t xml:space="preserve"> </w:t>
            </w:r>
            <w:r w:rsidR="00D722D0">
              <w:rPr>
                <w:color w:val="auto"/>
                <w:lang w:val="en"/>
              </w:rPr>
              <w:t>reflects</w:t>
            </w:r>
            <w:r w:rsidR="068D3CF8" w:rsidRPr="00871AA9">
              <w:rPr>
                <w:color w:val="auto"/>
                <w:lang w:val="en"/>
              </w:rPr>
              <w:t xml:space="preserve"> inflation and tax </w:t>
            </w:r>
            <w:r w:rsidR="009847B4">
              <w:rPr>
                <w:color w:val="auto"/>
                <w:lang w:val="en"/>
              </w:rPr>
              <w:t>changes</w:t>
            </w:r>
            <w:r w:rsidR="5A3CAD28" w:rsidRPr="00871AA9">
              <w:rPr>
                <w:color w:val="auto"/>
                <w:lang w:val="en"/>
              </w:rPr>
              <w:t>.</w:t>
            </w:r>
            <w:r w:rsidR="372B3471" w:rsidRPr="00871AA9">
              <w:rPr>
                <w:color w:val="auto"/>
                <w:lang w:val="en"/>
              </w:rPr>
              <w:t xml:space="preserve"> </w:t>
            </w:r>
            <w:r w:rsidRPr="00871AA9">
              <w:rPr>
                <w:color w:val="auto"/>
                <w:lang w:val="en"/>
              </w:rPr>
              <w:t xml:space="preserve">The </w:t>
            </w:r>
            <w:r w:rsidR="00E722A5" w:rsidRPr="00871AA9">
              <w:rPr>
                <w:color w:val="auto"/>
                <w:lang w:val="en"/>
              </w:rPr>
              <w:t xml:space="preserve">CPUC </w:t>
            </w:r>
            <w:r w:rsidR="009847B4">
              <w:rPr>
                <w:color w:val="auto"/>
                <w:lang w:val="en"/>
              </w:rPr>
              <w:t>heard</w:t>
            </w:r>
            <w:r w:rsidRPr="00871AA9">
              <w:rPr>
                <w:color w:val="auto"/>
                <w:lang w:val="en"/>
              </w:rPr>
              <w:t xml:space="preserve"> comments from the public </w:t>
            </w:r>
            <w:r w:rsidR="009847B4">
              <w:rPr>
                <w:color w:val="auto"/>
                <w:lang w:val="en"/>
              </w:rPr>
              <w:t>during</w:t>
            </w:r>
            <w:r w:rsidR="11E8EB84" w:rsidRPr="00871AA9">
              <w:rPr>
                <w:color w:val="auto"/>
                <w:lang w:val="en"/>
              </w:rPr>
              <w:t xml:space="preserve"> Public </w:t>
            </w:r>
            <w:r w:rsidR="420BDB67" w:rsidRPr="00871AA9">
              <w:rPr>
                <w:color w:val="auto"/>
                <w:lang w:val="en"/>
              </w:rPr>
              <w:t xml:space="preserve">Participation Hearings </w:t>
            </w:r>
            <w:r w:rsidR="009847B4">
              <w:rPr>
                <w:color w:val="auto"/>
                <w:lang w:val="en"/>
              </w:rPr>
              <w:t xml:space="preserve">in </w:t>
            </w:r>
            <w:r w:rsidR="00D5572E" w:rsidRPr="00871AA9">
              <w:rPr>
                <w:color w:val="auto"/>
                <w:lang w:val="en"/>
              </w:rPr>
              <w:t>March</w:t>
            </w:r>
            <w:r w:rsidR="009847B4">
              <w:rPr>
                <w:color w:val="auto"/>
                <w:lang w:val="en"/>
              </w:rPr>
              <w:t xml:space="preserve"> 2022</w:t>
            </w:r>
            <w:r w:rsidR="00771C3D">
              <w:rPr>
                <w:color w:val="auto"/>
                <w:lang w:val="en"/>
              </w:rPr>
              <w:t xml:space="preserve"> </w:t>
            </w:r>
            <w:r w:rsidR="0B9A6CBA" w:rsidRPr="00871AA9">
              <w:rPr>
                <w:color w:val="auto"/>
                <w:lang w:val="en"/>
              </w:rPr>
              <w:t>and h</w:t>
            </w:r>
            <w:r w:rsidR="5A3CAD28" w:rsidRPr="00871AA9">
              <w:rPr>
                <w:color w:val="auto"/>
                <w:lang w:val="en"/>
              </w:rPr>
              <w:t>e</w:t>
            </w:r>
            <w:r w:rsidR="0B9A6CBA" w:rsidRPr="00871AA9">
              <w:rPr>
                <w:color w:val="auto"/>
                <w:lang w:val="en"/>
              </w:rPr>
              <w:t xml:space="preserve">ld </w:t>
            </w:r>
            <w:r w:rsidR="774CF043" w:rsidRPr="00871AA9">
              <w:rPr>
                <w:color w:val="auto"/>
                <w:lang w:val="en"/>
              </w:rPr>
              <w:t>e</w:t>
            </w:r>
            <w:r w:rsidR="0B9A6CBA" w:rsidRPr="00871AA9">
              <w:rPr>
                <w:color w:val="auto"/>
                <w:lang w:val="en"/>
              </w:rPr>
              <w:t xml:space="preserve">videntiary </w:t>
            </w:r>
            <w:r w:rsidR="774CF043" w:rsidRPr="00871AA9">
              <w:rPr>
                <w:color w:val="auto"/>
                <w:lang w:val="en"/>
              </w:rPr>
              <w:t>h</w:t>
            </w:r>
            <w:r w:rsidR="0B9A6CBA" w:rsidRPr="00871AA9">
              <w:rPr>
                <w:color w:val="auto"/>
                <w:lang w:val="en"/>
              </w:rPr>
              <w:t xml:space="preserve">earings </w:t>
            </w:r>
            <w:r w:rsidR="009847B4">
              <w:rPr>
                <w:color w:val="auto"/>
                <w:lang w:val="en"/>
              </w:rPr>
              <w:t xml:space="preserve">in </w:t>
            </w:r>
            <w:r w:rsidR="00DA58E6" w:rsidRPr="00871AA9">
              <w:rPr>
                <w:color w:val="auto"/>
                <w:lang w:val="en"/>
              </w:rPr>
              <w:t>August</w:t>
            </w:r>
            <w:r w:rsidR="725FF7C7" w:rsidRPr="00871AA9">
              <w:rPr>
                <w:color w:val="auto"/>
                <w:lang w:val="en"/>
              </w:rPr>
              <w:t>2022</w:t>
            </w:r>
            <w:r w:rsidR="7038A5A5" w:rsidRPr="00871AA9">
              <w:rPr>
                <w:color w:val="auto"/>
                <w:lang w:val="en"/>
              </w:rPr>
              <w:t xml:space="preserve">. </w:t>
            </w:r>
            <w:r w:rsidR="45957B2B" w:rsidRPr="00871AA9">
              <w:rPr>
                <w:color w:val="auto"/>
                <w:lang w:val="en"/>
              </w:rPr>
              <w:t>The CPUC anticipates a final</w:t>
            </w:r>
            <w:r w:rsidR="372B3471" w:rsidRPr="00871AA9">
              <w:rPr>
                <w:color w:val="auto"/>
                <w:lang w:val="en"/>
              </w:rPr>
              <w:t xml:space="preserve"> decision</w:t>
            </w:r>
            <w:r w:rsidR="3C814C9B" w:rsidRPr="00871AA9">
              <w:rPr>
                <w:color w:val="auto"/>
                <w:lang w:val="en"/>
              </w:rPr>
              <w:t xml:space="preserve"> on PG&amp;E’s request</w:t>
            </w:r>
            <w:r w:rsidR="372B3471" w:rsidRPr="00871AA9">
              <w:rPr>
                <w:color w:val="auto"/>
                <w:lang w:val="en"/>
              </w:rPr>
              <w:t xml:space="preserve"> in </w:t>
            </w:r>
            <w:r w:rsidR="69006E8D" w:rsidRPr="00871AA9">
              <w:rPr>
                <w:color w:val="auto"/>
                <w:lang w:val="en"/>
              </w:rPr>
              <w:t xml:space="preserve">the third quarter of </w:t>
            </w:r>
            <w:r w:rsidR="372B3471" w:rsidRPr="00871AA9">
              <w:rPr>
                <w:color w:val="auto"/>
                <w:lang w:val="en"/>
              </w:rPr>
              <w:t>2023.</w:t>
            </w:r>
            <w:r w:rsidRPr="00871AA9">
              <w:rPr>
                <w:color w:val="auto"/>
                <w:lang w:val="en"/>
              </w:rPr>
              <w:t xml:space="preserve"> </w:t>
            </w:r>
          </w:p>
          <w:p w14:paraId="3EC55FC9" w14:textId="77777777" w:rsidR="00060378" w:rsidRPr="00211CC2" w:rsidRDefault="00060378" w:rsidP="00060378">
            <w:pPr>
              <w:spacing w:before="60" w:after="60"/>
              <w:rPr>
                <w:color w:val="auto"/>
                <w:sz w:val="14"/>
                <w:szCs w:val="14"/>
                <w:lang w:val="en"/>
              </w:rPr>
            </w:pPr>
          </w:p>
          <w:p w14:paraId="22B9CE5E" w14:textId="2557CB70" w:rsidR="00582A4D" w:rsidRPr="00211CC2" w:rsidRDefault="00582A4D" w:rsidP="00582A4D">
            <w:pPr>
              <w:pBdr>
                <w:top w:val="single" w:sz="8" w:space="1" w:color="ECF2F8" w:themeColor="accent1" w:themeTint="33"/>
                <w:bottom w:val="single" w:sz="8" w:space="1" w:color="ECF2F8" w:themeColor="accent1" w:themeTint="33"/>
              </w:pBdr>
              <w:shd w:val="clear" w:color="auto" w:fill="DAE5F1" w:themeFill="accent1" w:themeFillTint="66"/>
              <w:spacing w:before="60" w:after="60"/>
              <w:rPr>
                <w:b/>
                <w:color w:val="auto"/>
                <w:sz w:val="26"/>
                <w:szCs w:val="26"/>
              </w:rPr>
            </w:pPr>
            <w:r w:rsidRPr="00211CC2">
              <w:rPr>
                <w:b/>
                <w:color w:val="000000" w:themeColor="text1"/>
                <w:sz w:val="26"/>
                <w:szCs w:val="26"/>
              </w:rPr>
              <w:t xml:space="preserve"> </w:t>
            </w:r>
            <w:r w:rsidR="00985671">
              <w:rPr>
                <w:b/>
                <w:color w:val="000000" w:themeColor="text1"/>
                <w:sz w:val="26"/>
                <w:szCs w:val="26"/>
              </w:rPr>
              <w:t xml:space="preserve">How will </w:t>
            </w:r>
            <w:r w:rsidR="00515F40" w:rsidRPr="00211CC2">
              <w:rPr>
                <w:b/>
                <w:color w:val="auto"/>
                <w:sz w:val="26"/>
                <w:szCs w:val="26"/>
              </w:rPr>
              <w:t>PG&amp;E’s</w:t>
            </w:r>
            <w:r w:rsidR="00060378" w:rsidRPr="00211CC2">
              <w:rPr>
                <w:b/>
                <w:color w:val="auto"/>
                <w:sz w:val="26"/>
                <w:szCs w:val="26"/>
              </w:rPr>
              <w:t xml:space="preserve"> Requested Rate Increase </w:t>
            </w:r>
            <w:r w:rsidR="00985671">
              <w:rPr>
                <w:b/>
                <w:color w:val="auto"/>
                <w:sz w:val="26"/>
                <w:szCs w:val="26"/>
              </w:rPr>
              <w:t>Impact</w:t>
            </w:r>
            <w:r w:rsidR="00761E9A" w:rsidRPr="00211CC2">
              <w:rPr>
                <w:b/>
                <w:color w:val="auto"/>
                <w:sz w:val="26"/>
                <w:szCs w:val="26"/>
              </w:rPr>
              <w:t xml:space="preserve"> </w:t>
            </w:r>
            <w:r w:rsidR="00060378" w:rsidRPr="00211CC2">
              <w:rPr>
                <w:b/>
                <w:color w:val="auto"/>
                <w:sz w:val="26"/>
                <w:szCs w:val="26"/>
              </w:rPr>
              <w:t>You?</w:t>
            </w:r>
          </w:p>
          <w:p w14:paraId="62C607CB" w14:textId="511DCC4A" w:rsidR="00060378" w:rsidRDefault="0063479B" w:rsidP="00060378">
            <w:pPr>
              <w:rPr>
                <w:color w:val="auto"/>
                <w:lang w:val="en"/>
              </w:rPr>
            </w:pPr>
            <w:r w:rsidRPr="00EF353F">
              <w:rPr>
                <w:color w:val="auto"/>
                <w:lang w:val="en"/>
              </w:rPr>
              <w:t xml:space="preserve">Based on </w:t>
            </w:r>
            <w:r w:rsidR="6218C2C0" w:rsidRPr="00EF353F">
              <w:rPr>
                <w:color w:val="auto"/>
                <w:lang w:val="en"/>
              </w:rPr>
              <w:t xml:space="preserve">PG&amp;E’s request, as </w:t>
            </w:r>
            <w:r w:rsidR="00936F32">
              <w:rPr>
                <w:color w:val="auto"/>
                <w:lang w:val="en"/>
              </w:rPr>
              <w:t>modified</w:t>
            </w:r>
            <w:r w:rsidR="59F5527F" w:rsidRPr="00EF353F">
              <w:rPr>
                <w:color w:val="auto"/>
                <w:lang w:val="en"/>
              </w:rPr>
              <w:t xml:space="preserve">, the </w:t>
            </w:r>
            <w:r w:rsidR="00EF353F" w:rsidRPr="00EF353F">
              <w:rPr>
                <w:color w:val="auto"/>
                <w:lang w:val="en"/>
              </w:rPr>
              <w:t xml:space="preserve">estimated </w:t>
            </w:r>
            <w:r w:rsidR="59F5527F" w:rsidRPr="00EF353F">
              <w:rPr>
                <w:color w:val="auto"/>
                <w:lang w:val="en"/>
              </w:rPr>
              <w:t>monthly</w:t>
            </w:r>
            <w:r w:rsidR="0A7E6B18" w:rsidRPr="00EF353F">
              <w:rPr>
                <w:color w:val="auto"/>
                <w:lang w:val="en"/>
              </w:rPr>
              <w:t xml:space="preserve"> PG&amp;E</w:t>
            </w:r>
            <w:r w:rsidR="59F5527F" w:rsidRPr="00EF353F">
              <w:rPr>
                <w:color w:val="auto"/>
                <w:lang w:val="en"/>
              </w:rPr>
              <w:t xml:space="preserve"> bill for </w:t>
            </w:r>
            <w:r w:rsidR="00985671">
              <w:rPr>
                <w:color w:val="auto"/>
                <w:lang w:val="en"/>
              </w:rPr>
              <w:t>the</w:t>
            </w:r>
            <w:r w:rsidR="59F5527F" w:rsidRPr="00EF353F">
              <w:rPr>
                <w:color w:val="auto"/>
                <w:lang w:val="en"/>
              </w:rPr>
              <w:t xml:space="preserve"> typical residential customer and typical customer </w:t>
            </w:r>
            <w:r w:rsidR="00985671">
              <w:rPr>
                <w:color w:val="auto"/>
                <w:lang w:val="en"/>
              </w:rPr>
              <w:t>enrolled in</w:t>
            </w:r>
            <w:r w:rsidR="59F5527F" w:rsidRPr="00EF353F">
              <w:rPr>
                <w:color w:val="auto"/>
                <w:lang w:val="en"/>
              </w:rPr>
              <w:t xml:space="preserve"> California Alternate Rates for Energy (CARE) </w:t>
            </w:r>
            <w:proofErr w:type="gramStart"/>
            <w:r w:rsidR="00EF353F" w:rsidRPr="00EF353F">
              <w:rPr>
                <w:color w:val="auto"/>
                <w:lang w:val="en"/>
              </w:rPr>
              <w:t xml:space="preserve">would </w:t>
            </w:r>
            <w:r w:rsidR="59F5527F" w:rsidRPr="00EF353F">
              <w:rPr>
                <w:color w:val="auto"/>
                <w:lang w:val="en"/>
              </w:rPr>
              <w:t xml:space="preserve"> </w:t>
            </w:r>
            <w:r w:rsidR="59F5527F" w:rsidRPr="00CA4D24">
              <w:rPr>
                <w:color w:val="auto"/>
                <w:lang w:val="en"/>
              </w:rPr>
              <w:t>increase</w:t>
            </w:r>
            <w:proofErr w:type="gramEnd"/>
            <w:r w:rsidR="34E67CC0" w:rsidRPr="00CA4D24">
              <w:rPr>
                <w:color w:val="auto"/>
                <w:lang w:val="en"/>
              </w:rPr>
              <w:t xml:space="preserve"> </w:t>
            </w:r>
            <w:r w:rsidR="0036701F" w:rsidRPr="00CA4D24">
              <w:rPr>
                <w:color w:val="auto"/>
                <w:lang w:val="en"/>
              </w:rPr>
              <w:t>approximately</w:t>
            </w:r>
            <w:r w:rsidR="34E67CC0" w:rsidRPr="00CA4D24">
              <w:rPr>
                <w:color w:val="auto"/>
                <w:lang w:val="en"/>
              </w:rPr>
              <w:t xml:space="preserve"> </w:t>
            </w:r>
            <w:r w:rsidR="5102CCB9" w:rsidRPr="00CA4D24">
              <w:rPr>
                <w:color w:val="000000" w:themeColor="text1"/>
                <w:lang w:val="en"/>
              </w:rPr>
              <w:t>18</w:t>
            </w:r>
            <w:r w:rsidR="34E67CC0" w:rsidRPr="00CA4D24">
              <w:rPr>
                <w:color w:val="000000" w:themeColor="text1"/>
                <w:lang w:val="en"/>
              </w:rPr>
              <w:t>%</w:t>
            </w:r>
            <w:r w:rsidR="59F5527F" w:rsidRPr="00EF353F">
              <w:rPr>
                <w:b/>
                <w:bCs/>
                <w:color w:val="auto"/>
                <w:lang w:val="en"/>
              </w:rPr>
              <w:t xml:space="preserve"> </w:t>
            </w:r>
            <w:r w:rsidRPr="00EF353F">
              <w:rPr>
                <w:color w:val="auto"/>
                <w:lang w:val="en"/>
              </w:rPr>
              <w:t xml:space="preserve">on January </w:t>
            </w:r>
            <w:r w:rsidR="001560D6" w:rsidRPr="00EF353F">
              <w:rPr>
                <w:color w:val="auto"/>
                <w:lang w:val="en"/>
              </w:rPr>
              <w:t>1</w:t>
            </w:r>
            <w:r w:rsidRPr="00EF353F">
              <w:rPr>
                <w:color w:val="auto"/>
                <w:lang w:val="en"/>
              </w:rPr>
              <w:t xml:space="preserve">, </w:t>
            </w:r>
            <w:r w:rsidR="59F5527F" w:rsidRPr="00EF353F">
              <w:rPr>
                <w:color w:val="auto"/>
                <w:lang w:val="en"/>
              </w:rPr>
              <w:t>202</w:t>
            </w:r>
            <w:r w:rsidR="2D33F8DA" w:rsidRPr="00EF353F">
              <w:rPr>
                <w:color w:val="auto"/>
                <w:lang w:val="en"/>
              </w:rPr>
              <w:t>3</w:t>
            </w:r>
            <w:r w:rsidR="7E232FC8" w:rsidRPr="00EF353F">
              <w:rPr>
                <w:color w:val="auto"/>
                <w:lang w:val="en"/>
              </w:rPr>
              <w:t xml:space="preserve"> (as compared to January 1, 2022 rates)</w:t>
            </w:r>
            <w:r w:rsidR="0036701F" w:rsidRPr="00EF353F">
              <w:rPr>
                <w:color w:val="auto"/>
                <w:lang w:val="en"/>
              </w:rPr>
              <w:t>,</w:t>
            </w:r>
            <w:r w:rsidR="00985671">
              <w:rPr>
                <w:color w:val="auto"/>
                <w:lang w:val="en"/>
              </w:rPr>
              <w:t xml:space="preserve"> </w:t>
            </w:r>
            <w:r w:rsidR="59F5527F" w:rsidRPr="00EF353F">
              <w:rPr>
                <w:color w:val="auto"/>
                <w:lang w:val="en"/>
              </w:rPr>
              <w:t>as shown</w:t>
            </w:r>
            <w:r w:rsidRPr="00EF353F">
              <w:rPr>
                <w:color w:val="auto"/>
                <w:lang w:val="en"/>
              </w:rPr>
              <w:t xml:space="preserve"> below</w:t>
            </w:r>
            <w:r w:rsidR="59F5527F" w:rsidRPr="00EF353F">
              <w:rPr>
                <w:color w:val="auto"/>
                <w:lang w:val="en"/>
              </w:rPr>
              <w:t xml:space="preserve">: </w:t>
            </w:r>
          </w:p>
          <w:p w14:paraId="1E26F994" w14:textId="77777777" w:rsidR="00327EFD" w:rsidRPr="00EF353F" w:rsidRDefault="00327EFD" w:rsidP="00060378">
            <w:pPr>
              <w:rPr>
                <w:color w:val="auto"/>
                <w:lang w:val="en"/>
              </w:rPr>
            </w:pPr>
          </w:p>
          <w:p w14:paraId="21E09DA5" w14:textId="77777777" w:rsidR="00A51190" w:rsidRPr="006210EC" w:rsidRDefault="00A51190" w:rsidP="00060378">
            <w:pPr>
              <w:rPr>
                <w:color w:val="auto"/>
                <w:sz w:val="14"/>
                <w:szCs w:val="14"/>
                <w:lang w:val="en"/>
              </w:rPr>
            </w:pPr>
          </w:p>
          <w:p w14:paraId="6E8D2CE7" w14:textId="39009061" w:rsidR="00060378" w:rsidRPr="00515F40" w:rsidRDefault="00060378" w:rsidP="00582A4D">
            <w:pPr>
              <w:ind w:left="158"/>
              <w:rPr>
                <w:color w:val="auto"/>
                <w:sz w:val="14"/>
                <w:szCs w:val="14"/>
                <w:highlight w:val="yellow"/>
              </w:rPr>
            </w:pPr>
          </w:p>
          <w:tbl>
            <w:tblPr>
              <w:tblW w:w="906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3652"/>
              <w:gridCol w:w="1097"/>
              <w:gridCol w:w="2056"/>
              <w:gridCol w:w="1179"/>
              <w:gridCol w:w="1080"/>
            </w:tblGrid>
            <w:tr w:rsidR="00203B13" w:rsidRPr="00515F40" w14:paraId="3D80A6D4" w14:textId="77777777" w:rsidTr="00C23B32">
              <w:trPr>
                <w:jc w:val="center"/>
              </w:trPr>
              <w:tc>
                <w:tcPr>
                  <w:tcW w:w="9064" w:type="dxa"/>
                  <w:gridSpan w:val="5"/>
                  <w:shd w:val="clear" w:color="auto" w:fill="A5C0DE" w:themeFill="accent1"/>
                </w:tcPr>
                <w:p w14:paraId="05DAFF4B" w14:textId="77DA2132" w:rsidR="00203B13" w:rsidRPr="00ED6848" w:rsidRDefault="00CE231B" w:rsidP="008021D4">
                  <w:pPr>
                    <w:jc w:val="center"/>
                    <w:rPr>
                      <w:b/>
                      <w:bCs/>
                      <w:color w:val="000000" w:themeColor="text1"/>
                      <w:sz w:val="28"/>
                      <w:szCs w:val="28"/>
                    </w:rPr>
                  </w:pPr>
                  <w:r>
                    <w:rPr>
                      <w:b/>
                      <w:bCs/>
                      <w:color w:val="000000" w:themeColor="text1"/>
                      <w:sz w:val="26"/>
                      <w:szCs w:val="26"/>
                    </w:rPr>
                    <w:t xml:space="preserve">PG&amp;E </w:t>
                  </w:r>
                  <w:r w:rsidR="005B57D5">
                    <w:rPr>
                      <w:b/>
                      <w:bCs/>
                      <w:color w:val="000000" w:themeColor="text1"/>
                      <w:sz w:val="26"/>
                      <w:szCs w:val="26"/>
                    </w:rPr>
                    <w:t>Request</w:t>
                  </w:r>
                  <w:r>
                    <w:rPr>
                      <w:b/>
                      <w:bCs/>
                      <w:color w:val="000000" w:themeColor="text1"/>
                      <w:sz w:val="26"/>
                      <w:szCs w:val="26"/>
                    </w:rPr>
                    <w:t xml:space="preserve"> - </w:t>
                  </w:r>
                  <w:r w:rsidR="00203B13" w:rsidRPr="00ED6848">
                    <w:rPr>
                      <w:b/>
                      <w:bCs/>
                      <w:color w:val="000000" w:themeColor="text1"/>
                      <w:sz w:val="26"/>
                      <w:szCs w:val="26"/>
                    </w:rPr>
                    <w:t>202</w:t>
                  </w:r>
                  <w:r w:rsidR="00211CC2" w:rsidRPr="00ED6848">
                    <w:rPr>
                      <w:b/>
                      <w:bCs/>
                      <w:color w:val="000000" w:themeColor="text1"/>
                      <w:sz w:val="26"/>
                      <w:szCs w:val="26"/>
                    </w:rPr>
                    <w:t>3</w:t>
                  </w:r>
                  <w:r w:rsidR="00203B13" w:rsidRPr="00ED6848">
                    <w:rPr>
                      <w:b/>
                      <w:bCs/>
                      <w:color w:val="000000" w:themeColor="text1"/>
                      <w:sz w:val="26"/>
                      <w:szCs w:val="26"/>
                    </w:rPr>
                    <w:t xml:space="preserve"> Monthly Residential Bill Impact</w:t>
                  </w:r>
                  <w:r w:rsidR="00F151D3" w:rsidRPr="00853893">
                    <w:rPr>
                      <w:b/>
                      <w:bCs/>
                      <w:color w:val="000000" w:themeColor="text1"/>
                      <w:vertAlign w:val="superscript"/>
                    </w:rPr>
                    <w:footnoteReference w:id="3"/>
                  </w:r>
                </w:p>
              </w:tc>
            </w:tr>
            <w:tr w:rsidR="005B57D5" w:rsidRPr="00515F40" w14:paraId="6A302CB2" w14:textId="77777777" w:rsidTr="00E12ACC">
              <w:trPr>
                <w:jc w:val="center"/>
              </w:trPr>
              <w:tc>
                <w:tcPr>
                  <w:tcW w:w="4177" w:type="dxa"/>
                  <w:shd w:val="clear" w:color="auto" w:fill="A5C0DE" w:themeFill="accent1"/>
                </w:tcPr>
                <w:p w14:paraId="0B8CF0E8" w14:textId="63E8444A" w:rsidR="00203B13" w:rsidRPr="00853893" w:rsidRDefault="00203B13" w:rsidP="008021D4">
                  <w:pPr>
                    <w:rPr>
                      <w:b/>
                      <w:color w:val="000000" w:themeColor="text1"/>
                      <w:sz w:val="22"/>
                      <w:szCs w:val="22"/>
                    </w:rPr>
                  </w:pPr>
                  <w:r w:rsidRPr="0AE025ED">
                    <w:rPr>
                      <w:b/>
                      <w:color w:val="000000" w:themeColor="text1"/>
                      <w:sz w:val="22"/>
                      <w:szCs w:val="22"/>
                    </w:rPr>
                    <w:t>Customer</w:t>
                  </w:r>
                  <w:r w:rsidR="005B57D5" w:rsidRPr="0AE025ED">
                    <w:rPr>
                      <w:b/>
                      <w:color w:val="000000" w:themeColor="text1"/>
                      <w:sz w:val="22"/>
                      <w:szCs w:val="22"/>
                    </w:rPr>
                    <w:t>/</w:t>
                  </w:r>
                  <w:r w:rsidR="007E11AB" w:rsidRPr="0AE025ED">
                    <w:rPr>
                      <w:b/>
                      <w:color w:val="000000" w:themeColor="text1"/>
                      <w:sz w:val="22"/>
                      <w:szCs w:val="22"/>
                    </w:rPr>
                    <w:t>Typical</w:t>
                  </w:r>
                  <w:r w:rsidR="00BD7E02" w:rsidRPr="0AE025ED">
                    <w:rPr>
                      <w:b/>
                      <w:color w:val="000000" w:themeColor="text1"/>
                      <w:sz w:val="22"/>
                      <w:szCs w:val="22"/>
                    </w:rPr>
                    <w:t xml:space="preserve"> Monthly Usage</w:t>
                  </w:r>
                  <w:r w:rsidR="00B64702" w:rsidRPr="0AE025ED">
                    <w:rPr>
                      <w:rStyle w:val="FootnoteReference"/>
                      <w:b/>
                      <w:color w:val="000000" w:themeColor="text1"/>
                      <w:sz w:val="22"/>
                      <w:szCs w:val="22"/>
                    </w:rPr>
                    <w:footnoteReference w:id="4"/>
                  </w:r>
                </w:p>
              </w:tc>
              <w:tc>
                <w:tcPr>
                  <w:tcW w:w="1146" w:type="dxa"/>
                  <w:shd w:val="clear" w:color="auto" w:fill="A5C0DE" w:themeFill="accent1"/>
                </w:tcPr>
                <w:p w14:paraId="3902983F" w14:textId="5A372582" w:rsidR="00203B13" w:rsidRPr="00853893" w:rsidRDefault="0680A79F" w:rsidP="008021D4">
                  <w:pPr>
                    <w:jc w:val="center"/>
                    <w:rPr>
                      <w:b/>
                      <w:color w:val="000000" w:themeColor="text1"/>
                      <w:sz w:val="22"/>
                      <w:szCs w:val="22"/>
                    </w:rPr>
                  </w:pPr>
                  <w:r w:rsidRPr="0AE025ED">
                    <w:rPr>
                      <w:b/>
                      <w:color w:val="000000" w:themeColor="text1"/>
                      <w:sz w:val="22"/>
                      <w:szCs w:val="22"/>
                    </w:rPr>
                    <w:t>Current         Bill</w:t>
                  </w:r>
                </w:p>
              </w:tc>
              <w:tc>
                <w:tcPr>
                  <w:tcW w:w="2352" w:type="dxa"/>
                  <w:shd w:val="clear" w:color="auto" w:fill="A5C0DE" w:themeFill="accent1"/>
                </w:tcPr>
                <w:p w14:paraId="339789EC" w14:textId="263D7788" w:rsidR="00203B13" w:rsidRPr="00853893" w:rsidRDefault="005B57D5" w:rsidP="008021D4">
                  <w:pPr>
                    <w:jc w:val="center"/>
                    <w:rPr>
                      <w:b/>
                      <w:color w:val="000000" w:themeColor="text1"/>
                      <w:sz w:val="22"/>
                      <w:szCs w:val="22"/>
                    </w:rPr>
                  </w:pPr>
                  <w:r w:rsidRPr="0AE025ED">
                    <w:rPr>
                      <w:b/>
                      <w:color w:val="000000" w:themeColor="text1"/>
                      <w:sz w:val="22"/>
                      <w:szCs w:val="22"/>
                    </w:rPr>
                    <w:t xml:space="preserve">PG&amp;E </w:t>
                  </w:r>
                  <w:r w:rsidR="00203B13" w:rsidRPr="0AE025ED">
                    <w:rPr>
                      <w:b/>
                      <w:color w:val="000000" w:themeColor="text1"/>
                      <w:sz w:val="22"/>
                      <w:szCs w:val="22"/>
                    </w:rPr>
                    <w:t>Proposed Increase</w:t>
                  </w:r>
                </w:p>
              </w:tc>
              <w:tc>
                <w:tcPr>
                  <w:tcW w:w="287" w:type="dxa"/>
                  <w:shd w:val="clear" w:color="auto" w:fill="A5C0DE" w:themeFill="accent1"/>
                </w:tcPr>
                <w:p w14:paraId="5792DED3" w14:textId="665825DB" w:rsidR="00203B13" w:rsidRPr="00853893" w:rsidRDefault="005B57D5" w:rsidP="008021D4">
                  <w:pPr>
                    <w:jc w:val="center"/>
                    <w:rPr>
                      <w:b/>
                      <w:color w:val="000000" w:themeColor="text1"/>
                      <w:sz w:val="22"/>
                      <w:szCs w:val="22"/>
                    </w:rPr>
                  </w:pPr>
                  <w:r w:rsidRPr="0AE025ED">
                    <w:rPr>
                      <w:b/>
                      <w:color w:val="000000" w:themeColor="text1"/>
                      <w:sz w:val="22"/>
                      <w:szCs w:val="22"/>
                    </w:rPr>
                    <w:t>Estimated</w:t>
                  </w:r>
                  <w:r w:rsidR="00203B13" w:rsidRPr="0AE025ED">
                    <w:rPr>
                      <w:b/>
                      <w:color w:val="000000" w:themeColor="text1"/>
                      <w:sz w:val="22"/>
                      <w:szCs w:val="22"/>
                    </w:rPr>
                    <w:t xml:space="preserve"> </w:t>
                  </w:r>
                  <w:r w:rsidR="00ED6848" w:rsidRPr="0AE025ED">
                    <w:rPr>
                      <w:b/>
                      <w:color w:val="000000" w:themeColor="text1"/>
                      <w:sz w:val="22"/>
                      <w:szCs w:val="22"/>
                    </w:rPr>
                    <w:t xml:space="preserve">2023 </w:t>
                  </w:r>
                  <w:r w:rsidR="00203B13" w:rsidRPr="0AE025ED">
                    <w:rPr>
                      <w:b/>
                      <w:color w:val="000000" w:themeColor="text1"/>
                      <w:sz w:val="22"/>
                      <w:szCs w:val="22"/>
                    </w:rPr>
                    <w:t>Bill</w:t>
                  </w:r>
                </w:p>
              </w:tc>
              <w:tc>
                <w:tcPr>
                  <w:tcW w:w="1102" w:type="dxa"/>
                  <w:shd w:val="clear" w:color="auto" w:fill="A5C0DE" w:themeFill="accent1"/>
                </w:tcPr>
                <w:p w14:paraId="387B386B" w14:textId="77777777" w:rsidR="00203B13" w:rsidRPr="00853893" w:rsidRDefault="00203B13" w:rsidP="008021D4">
                  <w:pPr>
                    <w:jc w:val="center"/>
                    <w:rPr>
                      <w:b/>
                      <w:color w:val="000000" w:themeColor="text1"/>
                      <w:sz w:val="22"/>
                      <w:szCs w:val="22"/>
                    </w:rPr>
                  </w:pPr>
                  <w:r w:rsidRPr="0AE025ED">
                    <w:rPr>
                      <w:b/>
                      <w:color w:val="000000" w:themeColor="text1"/>
                      <w:sz w:val="22"/>
                      <w:szCs w:val="22"/>
                    </w:rPr>
                    <w:t>% Increase</w:t>
                  </w:r>
                </w:p>
              </w:tc>
            </w:tr>
            <w:tr w:rsidR="005B57D5" w:rsidRPr="006210EC" w14:paraId="5AA24722" w14:textId="77777777" w:rsidTr="00E12ACC">
              <w:trPr>
                <w:jc w:val="center"/>
              </w:trPr>
              <w:tc>
                <w:tcPr>
                  <w:tcW w:w="4177" w:type="dxa"/>
                  <w:shd w:val="clear" w:color="auto" w:fill="DAE5F1" w:themeFill="accent1" w:themeFillTint="66"/>
                </w:tcPr>
                <w:p w14:paraId="2BFEC884" w14:textId="0C5DE66D" w:rsidR="00BD7E02" w:rsidRPr="006210EC" w:rsidRDefault="00203B13" w:rsidP="008021D4">
                  <w:pPr>
                    <w:rPr>
                      <w:color w:val="000000" w:themeColor="text1"/>
                      <w:u w:val="single"/>
                    </w:rPr>
                  </w:pPr>
                  <w:r w:rsidRPr="006210EC">
                    <w:rPr>
                      <w:color w:val="000000" w:themeColor="text1"/>
                      <w:u w:val="single"/>
                    </w:rPr>
                    <w:t>Residential Customer</w:t>
                  </w:r>
                </w:p>
                <w:p w14:paraId="6B9609CD" w14:textId="363023FD" w:rsidR="00F33B83" w:rsidRPr="006210EC" w:rsidRDefault="00F33B83" w:rsidP="008021D4">
                  <w:pPr>
                    <w:jc w:val="right"/>
                    <w:rPr>
                      <w:color w:val="000000" w:themeColor="text1"/>
                    </w:rPr>
                  </w:pPr>
                  <w:r w:rsidRPr="006210EC">
                    <w:rPr>
                      <w:color w:val="000000" w:themeColor="text1"/>
                    </w:rPr>
                    <w:t xml:space="preserve">Electric: </w:t>
                  </w:r>
                  <w:r w:rsidR="0018453A" w:rsidRPr="006210EC">
                    <w:rPr>
                      <w:color w:val="000000" w:themeColor="text1"/>
                    </w:rPr>
                    <w:t>500</w:t>
                  </w:r>
                  <w:r w:rsidRPr="006210EC">
                    <w:rPr>
                      <w:color w:val="000000" w:themeColor="text1"/>
                    </w:rPr>
                    <w:t xml:space="preserve"> kWh per month</w:t>
                  </w:r>
                </w:p>
                <w:p w14:paraId="4E44FB3F" w14:textId="77777777" w:rsidR="00203B13" w:rsidRPr="006210EC" w:rsidRDefault="00F33B83" w:rsidP="008021D4">
                  <w:pPr>
                    <w:jc w:val="right"/>
                    <w:rPr>
                      <w:color w:val="000000" w:themeColor="text1"/>
                    </w:rPr>
                  </w:pPr>
                  <w:r w:rsidRPr="006210EC">
                    <w:rPr>
                      <w:color w:val="000000" w:themeColor="text1"/>
                    </w:rPr>
                    <w:t xml:space="preserve">Gas: 33 </w:t>
                  </w:r>
                  <w:proofErr w:type="spellStart"/>
                  <w:r w:rsidRPr="006210EC">
                    <w:rPr>
                      <w:color w:val="000000" w:themeColor="text1"/>
                    </w:rPr>
                    <w:t>therms</w:t>
                  </w:r>
                  <w:proofErr w:type="spellEnd"/>
                  <w:r w:rsidRPr="006210EC">
                    <w:rPr>
                      <w:color w:val="000000" w:themeColor="text1"/>
                    </w:rPr>
                    <w:t xml:space="preserve"> per month</w:t>
                  </w:r>
                </w:p>
                <w:p w14:paraId="552FA1F9" w14:textId="6B465A16" w:rsidR="0018453A" w:rsidRPr="006210EC" w:rsidRDefault="0018453A" w:rsidP="008021D4">
                  <w:pPr>
                    <w:jc w:val="right"/>
                    <w:rPr>
                      <w:color w:val="000000" w:themeColor="text1"/>
                    </w:rPr>
                  </w:pPr>
                  <w:r w:rsidRPr="006210EC">
                    <w:rPr>
                      <w:color w:val="000000" w:themeColor="text1"/>
                    </w:rPr>
                    <w:t>Combined Total</w:t>
                  </w:r>
                </w:p>
              </w:tc>
              <w:tc>
                <w:tcPr>
                  <w:tcW w:w="1146" w:type="dxa"/>
                  <w:shd w:val="clear" w:color="auto" w:fill="DAE5F1" w:themeFill="accent1" w:themeFillTint="66"/>
                </w:tcPr>
                <w:p w14:paraId="120E4D7D" w14:textId="77777777" w:rsidR="00F33B83" w:rsidRPr="006210EC" w:rsidRDefault="00F33B83" w:rsidP="008021D4">
                  <w:pPr>
                    <w:jc w:val="right"/>
                    <w:rPr>
                      <w:color w:val="000000" w:themeColor="text1"/>
                    </w:rPr>
                  </w:pPr>
                </w:p>
                <w:p w14:paraId="4803AB35" w14:textId="26D78725" w:rsidR="00203B13" w:rsidRPr="006210EC" w:rsidRDefault="0680A79F" w:rsidP="008021D4">
                  <w:pPr>
                    <w:jc w:val="right"/>
                    <w:rPr>
                      <w:color w:val="000000" w:themeColor="text1"/>
                    </w:rPr>
                  </w:pPr>
                  <w:r w:rsidRPr="006210EC">
                    <w:rPr>
                      <w:color w:val="000000" w:themeColor="text1"/>
                    </w:rPr>
                    <w:t>$</w:t>
                  </w:r>
                  <w:r w:rsidR="0018453A" w:rsidRPr="006210EC">
                    <w:rPr>
                      <w:color w:val="000000" w:themeColor="text1"/>
                    </w:rPr>
                    <w:t>151.53</w:t>
                  </w:r>
                </w:p>
                <w:p w14:paraId="6DD25E93" w14:textId="60E03ACA" w:rsidR="002D6778" w:rsidRPr="006210EC" w:rsidRDefault="002D6778" w:rsidP="008021D4">
                  <w:pPr>
                    <w:jc w:val="right"/>
                    <w:rPr>
                      <w:color w:val="000000" w:themeColor="text1"/>
                    </w:rPr>
                  </w:pPr>
                  <w:r w:rsidRPr="006210EC">
                    <w:rPr>
                      <w:color w:val="000000" w:themeColor="text1"/>
                    </w:rPr>
                    <w:t>$</w:t>
                  </w:r>
                  <w:r w:rsidR="0018453A" w:rsidRPr="006210EC">
                    <w:rPr>
                      <w:color w:val="000000" w:themeColor="text1"/>
                    </w:rPr>
                    <w:t>65.17</w:t>
                  </w:r>
                </w:p>
                <w:p w14:paraId="1F65AA38" w14:textId="128B5616" w:rsidR="0018453A" w:rsidRPr="006210EC" w:rsidRDefault="0018453A" w:rsidP="008021D4">
                  <w:pPr>
                    <w:jc w:val="right"/>
                    <w:rPr>
                      <w:color w:val="000000" w:themeColor="text1"/>
                    </w:rPr>
                  </w:pPr>
                  <w:r w:rsidRPr="006210EC">
                    <w:rPr>
                      <w:color w:val="000000" w:themeColor="text1"/>
                    </w:rPr>
                    <w:t>$216.70</w:t>
                  </w:r>
                </w:p>
              </w:tc>
              <w:tc>
                <w:tcPr>
                  <w:tcW w:w="2352" w:type="dxa"/>
                  <w:shd w:val="clear" w:color="auto" w:fill="DAE5F1" w:themeFill="accent1" w:themeFillTint="66"/>
                </w:tcPr>
                <w:p w14:paraId="4E016CA5" w14:textId="77777777" w:rsidR="00F33B83" w:rsidRPr="006210EC" w:rsidRDefault="00F33B83" w:rsidP="008021D4">
                  <w:pPr>
                    <w:jc w:val="right"/>
                    <w:rPr>
                      <w:color w:val="000000" w:themeColor="text1"/>
                    </w:rPr>
                  </w:pPr>
                </w:p>
                <w:p w14:paraId="085E9281" w14:textId="22B7B775" w:rsidR="00203B13" w:rsidRPr="006210EC" w:rsidRDefault="00203B13" w:rsidP="008021D4">
                  <w:pPr>
                    <w:jc w:val="right"/>
                    <w:rPr>
                      <w:color w:val="000000" w:themeColor="text1"/>
                    </w:rPr>
                  </w:pPr>
                  <w:r w:rsidRPr="006210EC">
                    <w:rPr>
                      <w:color w:val="000000" w:themeColor="text1"/>
                    </w:rPr>
                    <w:t>$</w:t>
                  </w:r>
                  <w:r w:rsidR="002636DD" w:rsidRPr="006210EC">
                    <w:rPr>
                      <w:color w:val="000000" w:themeColor="text1"/>
                    </w:rPr>
                    <w:t>28.78</w:t>
                  </w:r>
                </w:p>
                <w:p w14:paraId="2EF202AF" w14:textId="4A39E6AA" w:rsidR="002D6778" w:rsidRPr="006210EC" w:rsidRDefault="002D6778" w:rsidP="008021D4">
                  <w:pPr>
                    <w:jc w:val="right"/>
                    <w:rPr>
                      <w:color w:val="000000" w:themeColor="text1"/>
                    </w:rPr>
                  </w:pPr>
                  <w:r w:rsidRPr="006210EC">
                    <w:rPr>
                      <w:color w:val="000000" w:themeColor="text1"/>
                    </w:rPr>
                    <w:t>$</w:t>
                  </w:r>
                  <w:r w:rsidR="00A14E78" w:rsidRPr="006210EC">
                    <w:rPr>
                      <w:color w:val="000000" w:themeColor="text1"/>
                    </w:rPr>
                    <w:t>9.95</w:t>
                  </w:r>
                </w:p>
                <w:p w14:paraId="1A3FFB3D" w14:textId="30641DF2" w:rsidR="0018453A" w:rsidRPr="006210EC" w:rsidRDefault="0018453A" w:rsidP="008021D4">
                  <w:pPr>
                    <w:jc w:val="right"/>
                    <w:rPr>
                      <w:color w:val="000000" w:themeColor="text1"/>
                    </w:rPr>
                  </w:pPr>
                  <w:r w:rsidRPr="006210EC">
                    <w:rPr>
                      <w:color w:val="000000" w:themeColor="text1"/>
                    </w:rPr>
                    <w:t>$</w:t>
                  </w:r>
                  <w:r w:rsidR="0097403E">
                    <w:rPr>
                      <w:color w:val="000000" w:themeColor="text1"/>
                    </w:rPr>
                    <w:t>38.73</w:t>
                  </w:r>
                </w:p>
              </w:tc>
              <w:tc>
                <w:tcPr>
                  <w:tcW w:w="287" w:type="dxa"/>
                  <w:shd w:val="clear" w:color="auto" w:fill="DAE5F1" w:themeFill="accent1" w:themeFillTint="66"/>
                </w:tcPr>
                <w:p w14:paraId="6EA4B8FC" w14:textId="77777777" w:rsidR="00F33B83" w:rsidRPr="006210EC" w:rsidRDefault="00F33B83" w:rsidP="008021D4">
                  <w:pPr>
                    <w:jc w:val="right"/>
                    <w:rPr>
                      <w:color w:val="000000" w:themeColor="text1"/>
                    </w:rPr>
                  </w:pPr>
                </w:p>
                <w:p w14:paraId="7B4E047E" w14:textId="75CAF387" w:rsidR="00203B13" w:rsidRPr="006210EC" w:rsidRDefault="00203B13" w:rsidP="008021D4">
                  <w:pPr>
                    <w:jc w:val="right"/>
                    <w:rPr>
                      <w:color w:val="000000" w:themeColor="text1"/>
                    </w:rPr>
                  </w:pPr>
                  <w:r w:rsidRPr="006210EC">
                    <w:rPr>
                      <w:color w:val="000000" w:themeColor="text1"/>
                    </w:rPr>
                    <w:t>$</w:t>
                  </w:r>
                  <w:r w:rsidR="002636DD" w:rsidRPr="006210EC">
                    <w:rPr>
                      <w:color w:val="000000" w:themeColor="text1"/>
                    </w:rPr>
                    <w:t>180.31</w:t>
                  </w:r>
                </w:p>
                <w:p w14:paraId="4DF756BE" w14:textId="4C0AE538" w:rsidR="002D6778" w:rsidRPr="006210EC" w:rsidRDefault="002D6778" w:rsidP="008021D4">
                  <w:pPr>
                    <w:jc w:val="right"/>
                    <w:rPr>
                      <w:color w:val="000000" w:themeColor="text1"/>
                    </w:rPr>
                  </w:pPr>
                  <w:r w:rsidRPr="006210EC">
                    <w:rPr>
                      <w:color w:val="000000" w:themeColor="text1"/>
                    </w:rPr>
                    <w:t>$</w:t>
                  </w:r>
                  <w:r w:rsidR="00A14E78" w:rsidRPr="006210EC">
                    <w:rPr>
                      <w:color w:val="000000" w:themeColor="text1"/>
                    </w:rPr>
                    <w:t>75.12</w:t>
                  </w:r>
                </w:p>
                <w:p w14:paraId="23962549" w14:textId="41D74998" w:rsidR="0018453A" w:rsidRPr="006210EC" w:rsidRDefault="0018453A" w:rsidP="008021D4">
                  <w:pPr>
                    <w:jc w:val="right"/>
                    <w:rPr>
                      <w:color w:val="000000" w:themeColor="text1"/>
                    </w:rPr>
                  </w:pPr>
                  <w:r w:rsidRPr="006210EC">
                    <w:rPr>
                      <w:color w:val="000000" w:themeColor="text1"/>
                    </w:rPr>
                    <w:t>$2</w:t>
                  </w:r>
                  <w:r w:rsidR="0097403E">
                    <w:rPr>
                      <w:color w:val="000000" w:themeColor="text1"/>
                    </w:rPr>
                    <w:t>55.43</w:t>
                  </w:r>
                </w:p>
              </w:tc>
              <w:tc>
                <w:tcPr>
                  <w:tcW w:w="1102" w:type="dxa"/>
                  <w:shd w:val="clear" w:color="auto" w:fill="DAE5F1" w:themeFill="accent1" w:themeFillTint="66"/>
                </w:tcPr>
                <w:p w14:paraId="479693A2" w14:textId="77777777" w:rsidR="00F33B83" w:rsidRPr="006210EC" w:rsidRDefault="00F33B83" w:rsidP="008021D4">
                  <w:pPr>
                    <w:jc w:val="right"/>
                    <w:rPr>
                      <w:b/>
                      <w:bCs/>
                      <w:color w:val="000000" w:themeColor="text1"/>
                    </w:rPr>
                  </w:pPr>
                </w:p>
                <w:p w14:paraId="23A7810C" w14:textId="27871A90" w:rsidR="00203B13" w:rsidRPr="006210EC" w:rsidRDefault="002636DD" w:rsidP="008021D4">
                  <w:pPr>
                    <w:jc w:val="right"/>
                    <w:rPr>
                      <w:b/>
                      <w:bCs/>
                      <w:color w:val="000000" w:themeColor="text1"/>
                    </w:rPr>
                  </w:pPr>
                  <w:r w:rsidRPr="006210EC">
                    <w:rPr>
                      <w:b/>
                      <w:bCs/>
                      <w:color w:val="000000" w:themeColor="text1"/>
                    </w:rPr>
                    <w:t>19.0</w:t>
                  </w:r>
                  <w:r w:rsidR="00203B13" w:rsidRPr="006210EC">
                    <w:rPr>
                      <w:b/>
                      <w:bCs/>
                      <w:color w:val="000000" w:themeColor="text1"/>
                    </w:rPr>
                    <w:t>%</w:t>
                  </w:r>
                </w:p>
                <w:p w14:paraId="3E76D38E" w14:textId="63479C02" w:rsidR="002D6778" w:rsidRPr="006210EC" w:rsidRDefault="0018453A" w:rsidP="008021D4">
                  <w:pPr>
                    <w:jc w:val="right"/>
                    <w:rPr>
                      <w:b/>
                      <w:bCs/>
                      <w:color w:val="000000" w:themeColor="text1"/>
                    </w:rPr>
                  </w:pPr>
                  <w:r w:rsidRPr="006210EC">
                    <w:rPr>
                      <w:b/>
                      <w:bCs/>
                      <w:color w:val="000000" w:themeColor="text1"/>
                    </w:rPr>
                    <w:t>1</w:t>
                  </w:r>
                  <w:r w:rsidR="00A14E78" w:rsidRPr="006210EC">
                    <w:rPr>
                      <w:b/>
                      <w:bCs/>
                      <w:color w:val="000000" w:themeColor="text1"/>
                    </w:rPr>
                    <w:t>5.3</w:t>
                  </w:r>
                  <w:r w:rsidR="002D6778" w:rsidRPr="006210EC">
                    <w:rPr>
                      <w:b/>
                      <w:bCs/>
                      <w:color w:val="000000" w:themeColor="text1"/>
                    </w:rPr>
                    <w:t>%</w:t>
                  </w:r>
                </w:p>
                <w:p w14:paraId="522117FE" w14:textId="6AE3188D" w:rsidR="0018453A" w:rsidRPr="006210EC" w:rsidRDefault="002636DD" w:rsidP="008021D4">
                  <w:pPr>
                    <w:jc w:val="right"/>
                    <w:rPr>
                      <w:b/>
                      <w:bCs/>
                      <w:color w:val="000000" w:themeColor="text1"/>
                    </w:rPr>
                  </w:pPr>
                  <w:r w:rsidRPr="006210EC">
                    <w:rPr>
                      <w:b/>
                      <w:bCs/>
                      <w:color w:val="000000" w:themeColor="text1"/>
                    </w:rPr>
                    <w:t>17.9</w:t>
                  </w:r>
                  <w:r w:rsidR="0018453A" w:rsidRPr="006210EC">
                    <w:rPr>
                      <w:b/>
                      <w:bCs/>
                      <w:color w:val="000000" w:themeColor="text1"/>
                    </w:rPr>
                    <w:t>%</w:t>
                  </w:r>
                </w:p>
              </w:tc>
            </w:tr>
            <w:tr w:rsidR="005B57D5" w:rsidRPr="006210EC" w14:paraId="5D149C3F" w14:textId="77777777" w:rsidTr="00E12ACC">
              <w:trPr>
                <w:jc w:val="center"/>
              </w:trPr>
              <w:tc>
                <w:tcPr>
                  <w:tcW w:w="4177" w:type="dxa"/>
                  <w:shd w:val="clear" w:color="auto" w:fill="DAE5F1" w:themeFill="accent1" w:themeFillTint="66"/>
                </w:tcPr>
                <w:p w14:paraId="7E2BF344" w14:textId="77777777" w:rsidR="002D6778" w:rsidRPr="006210EC" w:rsidRDefault="00203B13" w:rsidP="008021D4">
                  <w:pPr>
                    <w:rPr>
                      <w:color w:val="000000" w:themeColor="text1"/>
                      <w:u w:val="single"/>
                    </w:rPr>
                  </w:pPr>
                  <w:r w:rsidRPr="006210EC">
                    <w:rPr>
                      <w:color w:val="000000" w:themeColor="text1"/>
                      <w:u w:val="single"/>
                    </w:rPr>
                    <w:t>CARE Residential Customer</w:t>
                  </w:r>
                </w:p>
                <w:p w14:paraId="64C9F3E4" w14:textId="54E8A4B9" w:rsidR="00203B13" w:rsidRPr="006210EC" w:rsidRDefault="002D6778" w:rsidP="008021D4">
                  <w:pPr>
                    <w:jc w:val="right"/>
                    <w:rPr>
                      <w:color w:val="000000" w:themeColor="text1"/>
                    </w:rPr>
                  </w:pPr>
                  <w:r w:rsidRPr="006210EC">
                    <w:rPr>
                      <w:color w:val="000000" w:themeColor="text1"/>
                    </w:rPr>
                    <w:t xml:space="preserve">Electric: </w:t>
                  </w:r>
                  <w:r w:rsidR="007E11AB" w:rsidRPr="006210EC">
                    <w:rPr>
                      <w:color w:val="000000" w:themeColor="text1"/>
                    </w:rPr>
                    <w:t>5</w:t>
                  </w:r>
                  <w:r w:rsidR="003A5BFD" w:rsidRPr="006210EC">
                    <w:rPr>
                      <w:color w:val="000000" w:themeColor="text1"/>
                    </w:rPr>
                    <w:t>00</w:t>
                  </w:r>
                  <w:r w:rsidRPr="006210EC">
                    <w:rPr>
                      <w:color w:val="000000" w:themeColor="text1"/>
                    </w:rPr>
                    <w:t>kWh per month</w:t>
                  </w:r>
                </w:p>
                <w:p w14:paraId="20A9BA55" w14:textId="77777777" w:rsidR="002D6778" w:rsidRPr="006210EC" w:rsidRDefault="002D6778" w:rsidP="008021D4">
                  <w:pPr>
                    <w:jc w:val="right"/>
                    <w:rPr>
                      <w:color w:val="000000" w:themeColor="text1"/>
                    </w:rPr>
                  </w:pPr>
                  <w:r w:rsidRPr="006210EC">
                    <w:rPr>
                      <w:color w:val="000000" w:themeColor="text1"/>
                    </w:rPr>
                    <w:t xml:space="preserve">Gas: </w:t>
                  </w:r>
                  <w:r w:rsidR="00FA3EAF" w:rsidRPr="006210EC">
                    <w:rPr>
                      <w:color w:val="000000" w:themeColor="text1"/>
                    </w:rPr>
                    <w:t>29</w:t>
                  </w:r>
                  <w:r w:rsidRPr="006210EC">
                    <w:rPr>
                      <w:color w:val="000000" w:themeColor="text1"/>
                    </w:rPr>
                    <w:t xml:space="preserve"> </w:t>
                  </w:r>
                  <w:proofErr w:type="spellStart"/>
                  <w:r w:rsidRPr="006210EC">
                    <w:rPr>
                      <w:color w:val="000000" w:themeColor="text1"/>
                    </w:rPr>
                    <w:t>therms</w:t>
                  </w:r>
                  <w:proofErr w:type="spellEnd"/>
                  <w:r w:rsidRPr="006210EC">
                    <w:rPr>
                      <w:color w:val="000000" w:themeColor="text1"/>
                    </w:rPr>
                    <w:t xml:space="preserve"> per month</w:t>
                  </w:r>
                </w:p>
                <w:p w14:paraId="1E8FD7B8" w14:textId="04FADD02" w:rsidR="003A5BFD" w:rsidRPr="006210EC" w:rsidRDefault="003A5BFD" w:rsidP="008021D4">
                  <w:pPr>
                    <w:jc w:val="right"/>
                    <w:rPr>
                      <w:color w:val="000000" w:themeColor="text1"/>
                    </w:rPr>
                  </w:pPr>
                  <w:r w:rsidRPr="006210EC">
                    <w:rPr>
                      <w:color w:val="000000" w:themeColor="text1"/>
                    </w:rPr>
                    <w:t>Combined Total</w:t>
                  </w:r>
                </w:p>
              </w:tc>
              <w:tc>
                <w:tcPr>
                  <w:tcW w:w="1146" w:type="dxa"/>
                  <w:shd w:val="clear" w:color="auto" w:fill="DAE5F1" w:themeFill="accent1" w:themeFillTint="66"/>
                </w:tcPr>
                <w:p w14:paraId="6799DF86" w14:textId="77777777" w:rsidR="002D6778" w:rsidRPr="006210EC" w:rsidRDefault="002D6778" w:rsidP="008021D4">
                  <w:pPr>
                    <w:jc w:val="right"/>
                    <w:rPr>
                      <w:color w:val="000000" w:themeColor="text1"/>
                    </w:rPr>
                  </w:pPr>
                </w:p>
                <w:p w14:paraId="3E4215E6" w14:textId="2DA47C58" w:rsidR="00203B13" w:rsidRPr="006210EC" w:rsidRDefault="00203B13" w:rsidP="008021D4">
                  <w:pPr>
                    <w:jc w:val="right"/>
                    <w:rPr>
                      <w:color w:val="000000" w:themeColor="text1"/>
                    </w:rPr>
                  </w:pPr>
                  <w:r w:rsidRPr="006210EC">
                    <w:rPr>
                      <w:color w:val="000000" w:themeColor="text1"/>
                    </w:rPr>
                    <w:t>$</w:t>
                  </w:r>
                  <w:r w:rsidR="003A5BFD" w:rsidRPr="006210EC">
                    <w:rPr>
                      <w:color w:val="000000" w:themeColor="text1"/>
                    </w:rPr>
                    <w:t>97.56</w:t>
                  </w:r>
                </w:p>
                <w:p w14:paraId="31F037D8" w14:textId="2621C413" w:rsidR="002D6778" w:rsidRPr="006210EC" w:rsidRDefault="002D6778" w:rsidP="008021D4">
                  <w:pPr>
                    <w:jc w:val="right"/>
                    <w:rPr>
                      <w:color w:val="000000" w:themeColor="text1"/>
                    </w:rPr>
                  </w:pPr>
                  <w:r w:rsidRPr="006210EC">
                    <w:rPr>
                      <w:color w:val="000000" w:themeColor="text1"/>
                    </w:rPr>
                    <w:t>$</w:t>
                  </w:r>
                  <w:r w:rsidR="003A5BFD" w:rsidRPr="006210EC">
                    <w:rPr>
                      <w:color w:val="000000" w:themeColor="text1"/>
                    </w:rPr>
                    <w:t>43.91</w:t>
                  </w:r>
                </w:p>
                <w:p w14:paraId="0F5364B2" w14:textId="1424D9FC" w:rsidR="003A5BFD" w:rsidRPr="006210EC" w:rsidRDefault="003A5BFD" w:rsidP="008021D4">
                  <w:pPr>
                    <w:jc w:val="right"/>
                    <w:rPr>
                      <w:color w:val="000000" w:themeColor="text1"/>
                    </w:rPr>
                  </w:pPr>
                  <w:r w:rsidRPr="006210EC">
                    <w:rPr>
                      <w:color w:val="000000" w:themeColor="text1"/>
                    </w:rPr>
                    <w:t>$141.47</w:t>
                  </w:r>
                </w:p>
              </w:tc>
              <w:tc>
                <w:tcPr>
                  <w:tcW w:w="2352" w:type="dxa"/>
                  <w:shd w:val="clear" w:color="auto" w:fill="DAE5F1" w:themeFill="accent1" w:themeFillTint="66"/>
                </w:tcPr>
                <w:p w14:paraId="3105B1A1" w14:textId="77777777" w:rsidR="002D6778" w:rsidRPr="006210EC" w:rsidRDefault="002D6778" w:rsidP="008021D4">
                  <w:pPr>
                    <w:jc w:val="right"/>
                    <w:rPr>
                      <w:color w:val="000000" w:themeColor="text1"/>
                    </w:rPr>
                  </w:pPr>
                </w:p>
                <w:p w14:paraId="5FA74212" w14:textId="11477059" w:rsidR="00203B13" w:rsidRPr="006210EC" w:rsidRDefault="00203B13" w:rsidP="008021D4">
                  <w:pPr>
                    <w:jc w:val="right"/>
                    <w:rPr>
                      <w:color w:val="000000" w:themeColor="text1"/>
                    </w:rPr>
                  </w:pPr>
                  <w:r w:rsidRPr="006210EC">
                    <w:rPr>
                      <w:color w:val="000000" w:themeColor="text1"/>
                    </w:rPr>
                    <w:t>$</w:t>
                  </w:r>
                  <w:r w:rsidR="002636DD" w:rsidRPr="006210EC">
                    <w:rPr>
                      <w:color w:val="000000" w:themeColor="text1"/>
                    </w:rPr>
                    <w:t>18.71</w:t>
                  </w:r>
                </w:p>
                <w:p w14:paraId="46C46D95" w14:textId="1F9B0529" w:rsidR="002D6778" w:rsidRPr="006210EC" w:rsidRDefault="002D6778" w:rsidP="008021D4">
                  <w:pPr>
                    <w:jc w:val="right"/>
                    <w:rPr>
                      <w:color w:val="000000" w:themeColor="text1"/>
                    </w:rPr>
                  </w:pPr>
                  <w:r w:rsidRPr="006210EC">
                    <w:rPr>
                      <w:color w:val="000000" w:themeColor="text1"/>
                    </w:rPr>
                    <w:t>$</w:t>
                  </w:r>
                  <w:r w:rsidR="00A14E78" w:rsidRPr="006210EC">
                    <w:rPr>
                      <w:color w:val="000000" w:themeColor="text1"/>
                    </w:rPr>
                    <w:t>6.87</w:t>
                  </w:r>
                </w:p>
                <w:p w14:paraId="0D4AB2A5" w14:textId="7AA20B75" w:rsidR="003A5BFD" w:rsidRPr="006210EC" w:rsidRDefault="003A5BFD" w:rsidP="008021D4">
                  <w:pPr>
                    <w:jc w:val="right"/>
                    <w:rPr>
                      <w:color w:val="000000" w:themeColor="text1"/>
                    </w:rPr>
                  </w:pPr>
                  <w:r w:rsidRPr="006210EC">
                    <w:rPr>
                      <w:color w:val="000000" w:themeColor="text1"/>
                    </w:rPr>
                    <w:t>$</w:t>
                  </w:r>
                  <w:r w:rsidR="002636DD" w:rsidRPr="006210EC">
                    <w:rPr>
                      <w:color w:val="000000" w:themeColor="text1"/>
                    </w:rPr>
                    <w:t>25.58</w:t>
                  </w:r>
                </w:p>
              </w:tc>
              <w:tc>
                <w:tcPr>
                  <w:tcW w:w="287" w:type="dxa"/>
                  <w:shd w:val="clear" w:color="auto" w:fill="DAE5F1" w:themeFill="accent1" w:themeFillTint="66"/>
                </w:tcPr>
                <w:p w14:paraId="32F4A845" w14:textId="77777777" w:rsidR="002D6778" w:rsidRPr="006210EC" w:rsidRDefault="002D6778" w:rsidP="008021D4">
                  <w:pPr>
                    <w:jc w:val="right"/>
                    <w:rPr>
                      <w:color w:val="000000" w:themeColor="text1"/>
                    </w:rPr>
                  </w:pPr>
                </w:p>
                <w:p w14:paraId="18EEB886" w14:textId="6B5079B0" w:rsidR="00203B13" w:rsidRPr="006210EC" w:rsidRDefault="00203B13" w:rsidP="008021D4">
                  <w:pPr>
                    <w:jc w:val="right"/>
                    <w:rPr>
                      <w:color w:val="000000" w:themeColor="text1"/>
                    </w:rPr>
                  </w:pPr>
                  <w:r w:rsidRPr="006210EC">
                    <w:rPr>
                      <w:color w:val="000000" w:themeColor="text1"/>
                    </w:rPr>
                    <w:t>$</w:t>
                  </w:r>
                  <w:r w:rsidR="002636DD" w:rsidRPr="006210EC">
                    <w:rPr>
                      <w:color w:val="000000" w:themeColor="text1"/>
                    </w:rPr>
                    <w:t>116.27</w:t>
                  </w:r>
                </w:p>
                <w:p w14:paraId="71C48BE5" w14:textId="11C8F342" w:rsidR="002D6778" w:rsidRPr="006210EC" w:rsidRDefault="002D6778" w:rsidP="008021D4">
                  <w:pPr>
                    <w:jc w:val="right"/>
                    <w:rPr>
                      <w:color w:val="000000" w:themeColor="text1"/>
                    </w:rPr>
                  </w:pPr>
                  <w:r w:rsidRPr="006210EC">
                    <w:rPr>
                      <w:color w:val="000000" w:themeColor="text1"/>
                    </w:rPr>
                    <w:t>$</w:t>
                  </w:r>
                  <w:r w:rsidR="00A14E78" w:rsidRPr="006210EC">
                    <w:rPr>
                      <w:color w:val="000000" w:themeColor="text1"/>
                    </w:rPr>
                    <w:t>50.78</w:t>
                  </w:r>
                </w:p>
                <w:p w14:paraId="05B41D57" w14:textId="24152416" w:rsidR="003A5BFD" w:rsidRPr="006210EC" w:rsidRDefault="003A5BFD" w:rsidP="008021D4">
                  <w:pPr>
                    <w:jc w:val="right"/>
                    <w:rPr>
                      <w:color w:val="000000" w:themeColor="text1"/>
                    </w:rPr>
                  </w:pPr>
                  <w:r w:rsidRPr="006210EC">
                    <w:rPr>
                      <w:color w:val="000000" w:themeColor="text1"/>
                    </w:rPr>
                    <w:t>$</w:t>
                  </w:r>
                  <w:r w:rsidR="002636DD" w:rsidRPr="006210EC">
                    <w:rPr>
                      <w:color w:val="000000" w:themeColor="text1"/>
                    </w:rPr>
                    <w:t>167.05</w:t>
                  </w:r>
                </w:p>
              </w:tc>
              <w:tc>
                <w:tcPr>
                  <w:tcW w:w="1102" w:type="dxa"/>
                  <w:shd w:val="clear" w:color="auto" w:fill="DAE5F1" w:themeFill="accent1" w:themeFillTint="66"/>
                </w:tcPr>
                <w:p w14:paraId="5AF92F30" w14:textId="77777777" w:rsidR="002D6778" w:rsidRPr="006210EC" w:rsidRDefault="002D6778" w:rsidP="008021D4">
                  <w:pPr>
                    <w:jc w:val="right"/>
                    <w:rPr>
                      <w:b/>
                      <w:bCs/>
                      <w:color w:val="000000" w:themeColor="text1"/>
                    </w:rPr>
                  </w:pPr>
                </w:p>
                <w:p w14:paraId="28D5B8D4" w14:textId="5A7C361C" w:rsidR="00203B13" w:rsidRPr="006210EC" w:rsidRDefault="002636DD" w:rsidP="008021D4">
                  <w:pPr>
                    <w:jc w:val="right"/>
                    <w:rPr>
                      <w:b/>
                      <w:bCs/>
                      <w:color w:val="000000" w:themeColor="text1"/>
                    </w:rPr>
                  </w:pPr>
                  <w:r w:rsidRPr="006210EC">
                    <w:rPr>
                      <w:b/>
                      <w:bCs/>
                      <w:color w:val="000000" w:themeColor="text1"/>
                    </w:rPr>
                    <w:t>19.2</w:t>
                  </w:r>
                  <w:r w:rsidR="00203B13" w:rsidRPr="006210EC">
                    <w:rPr>
                      <w:b/>
                      <w:bCs/>
                      <w:color w:val="000000" w:themeColor="text1"/>
                    </w:rPr>
                    <w:t>%</w:t>
                  </w:r>
                </w:p>
                <w:p w14:paraId="00A4D7C1" w14:textId="5103C714" w:rsidR="002D6778" w:rsidRPr="006210EC" w:rsidRDefault="003A5BFD" w:rsidP="008021D4">
                  <w:pPr>
                    <w:jc w:val="right"/>
                    <w:rPr>
                      <w:b/>
                      <w:bCs/>
                      <w:color w:val="000000" w:themeColor="text1"/>
                    </w:rPr>
                  </w:pPr>
                  <w:r w:rsidRPr="006210EC">
                    <w:rPr>
                      <w:b/>
                      <w:bCs/>
                      <w:color w:val="000000" w:themeColor="text1"/>
                    </w:rPr>
                    <w:t>1</w:t>
                  </w:r>
                  <w:r w:rsidR="00A14E78" w:rsidRPr="006210EC">
                    <w:rPr>
                      <w:b/>
                      <w:bCs/>
                      <w:color w:val="000000" w:themeColor="text1"/>
                    </w:rPr>
                    <w:t>5.7</w:t>
                  </w:r>
                  <w:r w:rsidR="002D6778" w:rsidRPr="006210EC">
                    <w:rPr>
                      <w:b/>
                      <w:bCs/>
                      <w:color w:val="000000" w:themeColor="text1"/>
                    </w:rPr>
                    <w:t>%</w:t>
                  </w:r>
                </w:p>
                <w:p w14:paraId="69D64B53" w14:textId="5B992104" w:rsidR="003A5BFD" w:rsidRPr="006210EC" w:rsidRDefault="002636DD" w:rsidP="008021D4">
                  <w:pPr>
                    <w:jc w:val="right"/>
                    <w:rPr>
                      <w:b/>
                      <w:bCs/>
                      <w:color w:val="000000" w:themeColor="text1"/>
                    </w:rPr>
                  </w:pPr>
                  <w:r w:rsidRPr="006210EC">
                    <w:rPr>
                      <w:b/>
                      <w:bCs/>
                      <w:color w:val="000000" w:themeColor="text1"/>
                    </w:rPr>
                    <w:t>18.1</w:t>
                  </w:r>
                  <w:r w:rsidR="003A5BFD" w:rsidRPr="006210EC">
                    <w:rPr>
                      <w:b/>
                      <w:bCs/>
                      <w:color w:val="000000" w:themeColor="text1"/>
                    </w:rPr>
                    <w:t>%</w:t>
                  </w:r>
                </w:p>
              </w:tc>
            </w:tr>
          </w:tbl>
          <w:p w14:paraId="6FC1F48B" w14:textId="35AD2E45" w:rsidR="0AE025ED" w:rsidRDefault="0AE025ED"/>
          <w:p w14:paraId="65AFB9D2" w14:textId="1D8D9AA5" w:rsidR="00060378" w:rsidRPr="006210EC" w:rsidRDefault="00060378" w:rsidP="00582A4D">
            <w:pPr>
              <w:ind w:left="158"/>
              <w:rPr>
                <w:color w:val="auto"/>
                <w:sz w:val="14"/>
                <w:szCs w:val="14"/>
              </w:rPr>
            </w:pPr>
          </w:p>
          <w:p w14:paraId="2AB9EE46" w14:textId="77777777" w:rsidR="00A51190" w:rsidRPr="00515F40" w:rsidRDefault="00A51190" w:rsidP="00E141D4">
            <w:pPr>
              <w:rPr>
                <w:color w:val="000000" w:themeColor="text1"/>
                <w:sz w:val="14"/>
                <w:szCs w:val="14"/>
                <w:highlight w:val="yellow"/>
              </w:rPr>
            </w:pPr>
          </w:p>
          <w:p w14:paraId="483EB623" w14:textId="64BC4E2E" w:rsidR="006A52B7" w:rsidRDefault="00CE231B" w:rsidP="00AF7651">
            <w:pPr>
              <w:rPr>
                <w:color w:val="000000" w:themeColor="text1"/>
              </w:rPr>
            </w:pPr>
            <w:r>
              <w:rPr>
                <w:color w:val="000000" w:themeColor="text1"/>
              </w:rPr>
              <w:lastRenderedPageBreak/>
              <w:t xml:space="preserve">PG&amp;E’s </w:t>
            </w:r>
            <w:r w:rsidR="005B57D5">
              <w:rPr>
                <w:color w:val="000000" w:themeColor="text1"/>
              </w:rPr>
              <w:t xml:space="preserve">request also proposes increases for the years </w:t>
            </w:r>
            <w:r w:rsidR="004E7D61">
              <w:rPr>
                <w:color w:val="000000" w:themeColor="text1"/>
              </w:rPr>
              <w:t>2024-2026</w:t>
            </w:r>
            <w:r w:rsidR="005B57D5">
              <w:rPr>
                <w:color w:val="000000" w:themeColor="text1"/>
              </w:rPr>
              <w:t>. T</w:t>
            </w:r>
            <w:r w:rsidR="00E141D4" w:rsidRPr="0052546B">
              <w:rPr>
                <w:color w:val="000000" w:themeColor="text1"/>
              </w:rPr>
              <w:t xml:space="preserve">he </w:t>
            </w:r>
            <w:r w:rsidR="00E141D4" w:rsidRPr="00CA4D24">
              <w:rPr>
                <w:color w:val="000000" w:themeColor="text1"/>
              </w:rPr>
              <w:t xml:space="preserve">monthly </w:t>
            </w:r>
            <w:r w:rsidR="005B57D5">
              <w:rPr>
                <w:color w:val="000000" w:themeColor="text1"/>
              </w:rPr>
              <w:t xml:space="preserve">PG&amp;E </w:t>
            </w:r>
            <w:r w:rsidR="0094518F" w:rsidRPr="00CA4D24">
              <w:rPr>
                <w:color w:val="000000" w:themeColor="text1"/>
              </w:rPr>
              <w:t xml:space="preserve">electric </w:t>
            </w:r>
            <w:r w:rsidR="005B64A1" w:rsidRPr="00CA4D24">
              <w:rPr>
                <w:color w:val="000000" w:themeColor="text1"/>
              </w:rPr>
              <w:t xml:space="preserve">and gas </w:t>
            </w:r>
            <w:r w:rsidR="00E141D4" w:rsidRPr="00CA4D24">
              <w:rPr>
                <w:color w:val="000000" w:themeColor="text1"/>
              </w:rPr>
              <w:t>bill for</w:t>
            </w:r>
            <w:r w:rsidR="00E141D4" w:rsidRPr="0052546B">
              <w:rPr>
                <w:color w:val="000000" w:themeColor="text1"/>
              </w:rPr>
              <w:t xml:space="preserve"> a typical residential customer would increase by an </w:t>
            </w:r>
            <w:r w:rsidR="00E141D4" w:rsidRPr="00CA4D24">
              <w:rPr>
                <w:color w:val="000000" w:themeColor="text1"/>
              </w:rPr>
              <w:t>additional $</w:t>
            </w:r>
            <w:r w:rsidR="009C24CF" w:rsidRPr="00CA4D24">
              <w:rPr>
                <w:color w:val="000000" w:themeColor="text1"/>
              </w:rPr>
              <w:t>10.</w:t>
            </w:r>
            <w:r w:rsidR="00AF7651" w:rsidRPr="00CA4D24">
              <w:rPr>
                <w:color w:val="000000" w:themeColor="text1"/>
              </w:rPr>
              <w:t>88</w:t>
            </w:r>
            <w:r w:rsidR="00E141D4" w:rsidRPr="00CA4D24">
              <w:rPr>
                <w:color w:val="000000" w:themeColor="text1"/>
              </w:rPr>
              <w:t xml:space="preserve"> in 202</w:t>
            </w:r>
            <w:r w:rsidR="00CD5E2A" w:rsidRPr="00CA4D24">
              <w:rPr>
                <w:color w:val="000000" w:themeColor="text1"/>
              </w:rPr>
              <w:t xml:space="preserve">4, </w:t>
            </w:r>
            <w:r w:rsidR="0052546B" w:rsidRPr="00CA4D24">
              <w:rPr>
                <w:color w:val="000000" w:themeColor="text1"/>
              </w:rPr>
              <w:t>$</w:t>
            </w:r>
            <w:r w:rsidR="00AF7651" w:rsidRPr="00CA4D24">
              <w:rPr>
                <w:color w:val="000000" w:themeColor="text1"/>
              </w:rPr>
              <w:t>10.19</w:t>
            </w:r>
            <w:r w:rsidR="009B6839" w:rsidRPr="00CA4D24">
              <w:rPr>
                <w:color w:val="000000" w:themeColor="text1"/>
              </w:rPr>
              <w:t xml:space="preserve"> </w:t>
            </w:r>
            <w:r w:rsidR="0052546B" w:rsidRPr="00CA4D24">
              <w:rPr>
                <w:color w:val="000000" w:themeColor="text1"/>
              </w:rPr>
              <w:t>in 2025, $</w:t>
            </w:r>
            <w:r w:rsidR="00AF7651" w:rsidRPr="00CA4D24">
              <w:rPr>
                <w:color w:val="000000" w:themeColor="text1"/>
              </w:rPr>
              <w:t>9.15</w:t>
            </w:r>
            <w:r w:rsidR="00E141D4" w:rsidRPr="00CA4D24">
              <w:rPr>
                <w:color w:val="000000" w:themeColor="text1"/>
              </w:rPr>
              <w:t xml:space="preserve"> in 202</w:t>
            </w:r>
            <w:r w:rsidR="0052546B" w:rsidRPr="00CA4D24">
              <w:rPr>
                <w:color w:val="000000" w:themeColor="text1"/>
              </w:rPr>
              <w:t>6</w:t>
            </w:r>
            <w:r w:rsidR="00E141D4" w:rsidRPr="0052546B">
              <w:rPr>
                <w:color w:val="000000" w:themeColor="text1"/>
              </w:rPr>
              <w:t xml:space="preserve">.  </w:t>
            </w:r>
          </w:p>
          <w:p w14:paraId="779379BD" w14:textId="261C124B" w:rsidR="0015171B" w:rsidRDefault="0094518F" w:rsidP="00E141D4">
            <w:pPr>
              <w:rPr>
                <w:color w:val="000000" w:themeColor="text1"/>
              </w:rPr>
            </w:pPr>
            <w:r w:rsidRPr="0052546B">
              <w:rPr>
                <w:color w:val="000000" w:themeColor="text1"/>
              </w:rPr>
              <w:t xml:space="preserve">  </w:t>
            </w:r>
          </w:p>
          <w:p w14:paraId="6FDD0C78" w14:textId="1D13D679" w:rsidR="0015171B" w:rsidRPr="006A0AE0" w:rsidRDefault="3EC01C1D" w:rsidP="00E141D4">
            <w:pPr>
              <w:rPr>
                <w:color w:val="000000" w:themeColor="text1"/>
              </w:rPr>
            </w:pPr>
            <w:bookmarkStart w:id="1" w:name="_Hlk118896084"/>
            <w:r w:rsidRPr="15007A1D">
              <w:rPr>
                <w:color w:val="000000" w:themeColor="text1"/>
              </w:rPr>
              <w:t xml:space="preserve">Based on PG&amp;E’s </w:t>
            </w:r>
            <w:r w:rsidR="00467D35">
              <w:rPr>
                <w:color w:val="000000" w:themeColor="text1"/>
              </w:rPr>
              <w:t>request</w:t>
            </w:r>
            <w:r w:rsidRPr="15007A1D">
              <w:rPr>
                <w:color w:val="000000" w:themeColor="text1"/>
              </w:rPr>
              <w:t xml:space="preserve">, </w:t>
            </w:r>
            <w:r w:rsidR="00467D35">
              <w:rPr>
                <w:color w:val="000000" w:themeColor="text1"/>
              </w:rPr>
              <w:t>rates</w:t>
            </w:r>
            <w:r w:rsidR="6E18D481" w:rsidRPr="15007A1D">
              <w:rPr>
                <w:color w:val="000000" w:themeColor="text1"/>
              </w:rPr>
              <w:t xml:space="preserve"> </w:t>
            </w:r>
            <w:r w:rsidR="204BDEC3" w:rsidRPr="6F084479">
              <w:rPr>
                <w:color w:val="000000" w:themeColor="text1"/>
              </w:rPr>
              <w:t>for</w:t>
            </w:r>
            <w:r w:rsidR="44FA8823" w:rsidRPr="15007A1D">
              <w:rPr>
                <w:color w:val="000000" w:themeColor="text1"/>
              </w:rPr>
              <w:t xml:space="preserve"> </w:t>
            </w:r>
            <w:r w:rsidR="00467D35">
              <w:rPr>
                <w:color w:val="000000" w:themeColor="text1"/>
              </w:rPr>
              <w:t xml:space="preserve">residential </w:t>
            </w:r>
            <w:r w:rsidR="44FA8823" w:rsidRPr="15007A1D">
              <w:rPr>
                <w:color w:val="000000" w:themeColor="text1"/>
              </w:rPr>
              <w:t>Direct Access and Community Choice Aggregation</w:t>
            </w:r>
            <w:r w:rsidR="28C0D372" w:rsidRPr="15007A1D">
              <w:rPr>
                <w:color w:val="000000" w:themeColor="text1"/>
              </w:rPr>
              <w:t xml:space="preserve"> customers</w:t>
            </w:r>
            <w:r w:rsidR="44FA8823" w:rsidRPr="15007A1D">
              <w:rPr>
                <w:color w:val="000000" w:themeColor="text1"/>
              </w:rPr>
              <w:t xml:space="preserve"> </w:t>
            </w:r>
            <w:r w:rsidR="005B57D5">
              <w:rPr>
                <w:color w:val="000000" w:themeColor="text1"/>
              </w:rPr>
              <w:t xml:space="preserve">are </w:t>
            </w:r>
            <w:r w:rsidR="00467D35" w:rsidRPr="2A9CB532">
              <w:rPr>
                <w:color w:val="auto"/>
                <w:lang w:val="en"/>
              </w:rPr>
              <w:t xml:space="preserve">estimated to </w:t>
            </w:r>
            <w:r w:rsidR="00467D35" w:rsidRPr="00CA4D24">
              <w:rPr>
                <w:color w:val="auto"/>
                <w:lang w:val="en"/>
              </w:rPr>
              <w:t>increase by approximately 25.7</w:t>
            </w:r>
            <w:r w:rsidR="00467D35" w:rsidRPr="00E312FD">
              <w:rPr>
                <w:b/>
                <w:bCs/>
                <w:color w:val="000000" w:themeColor="text1"/>
                <w:lang w:val="en"/>
              </w:rPr>
              <w:t>%</w:t>
            </w:r>
            <w:r w:rsidR="00467D35" w:rsidRPr="00467D35">
              <w:rPr>
                <w:b/>
                <w:bCs/>
                <w:color w:val="000000" w:themeColor="text1"/>
                <w:lang w:val="en"/>
              </w:rPr>
              <w:t xml:space="preserve"> </w:t>
            </w:r>
            <w:r w:rsidR="00467D35" w:rsidRPr="2A9CB532">
              <w:rPr>
                <w:color w:val="auto"/>
                <w:lang w:val="en"/>
              </w:rPr>
              <w:t xml:space="preserve">in 2023 (as compared to January 1, </w:t>
            </w:r>
            <w:proofErr w:type="gramStart"/>
            <w:r w:rsidR="00467D35" w:rsidRPr="2A9CB532">
              <w:rPr>
                <w:color w:val="auto"/>
                <w:lang w:val="en"/>
              </w:rPr>
              <w:t>2022</w:t>
            </w:r>
            <w:proofErr w:type="gramEnd"/>
            <w:r w:rsidR="00467D35" w:rsidRPr="2A9CB532">
              <w:rPr>
                <w:color w:val="auto"/>
                <w:lang w:val="en"/>
              </w:rPr>
              <w:t xml:space="preserve"> rates)</w:t>
            </w:r>
            <w:r w:rsidR="005B57D5">
              <w:rPr>
                <w:color w:val="auto"/>
                <w:lang w:val="en"/>
              </w:rPr>
              <w:t xml:space="preserve"> </w:t>
            </w:r>
            <w:r w:rsidR="00E312FD">
              <w:rPr>
                <w:color w:val="auto"/>
                <w:lang w:val="en"/>
              </w:rPr>
              <w:t>and approximately a total of 35.9% in 2026</w:t>
            </w:r>
            <w:r w:rsidR="00E312FD">
              <w:rPr>
                <w:color w:val="000000" w:themeColor="text1"/>
              </w:rPr>
              <w:t>.</w:t>
            </w:r>
            <w:r w:rsidR="00C10E1A">
              <w:rPr>
                <w:color w:val="000000" w:themeColor="text1"/>
              </w:rPr>
              <w:t xml:space="preserve"> </w:t>
            </w:r>
            <w:bookmarkEnd w:id="1"/>
            <w:r w:rsidR="002A5016" w:rsidRPr="0AE025ED" w:rsidDel="002A5016">
              <w:rPr>
                <w:color w:val="000000" w:themeColor="text1"/>
              </w:rPr>
              <w:t xml:space="preserve"> </w:t>
            </w:r>
          </w:p>
          <w:p w14:paraId="514ED5F3" w14:textId="77777777" w:rsidR="00A51190" w:rsidRPr="00515F40" w:rsidRDefault="00A51190" w:rsidP="00E141D4">
            <w:pPr>
              <w:rPr>
                <w:color w:val="000000" w:themeColor="text1"/>
                <w:sz w:val="14"/>
                <w:szCs w:val="14"/>
                <w:highlight w:val="yellow"/>
              </w:rPr>
            </w:pPr>
          </w:p>
          <w:p w14:paraId="4879236B" w14:textId="38790BCB" w:rsidR="00A51190" w:rsidRPr="00D449F3" w:rsidRDefault="00C40320" w:rsidP="00A51190">
            <w:pPr>
              <w:pBdr>
                <w:top w:val="single" w:sz="8" w:space="1" w:color="ECF2F8" w:themeColor="accent1" w:themeTint="33"/>
                <w:bottom w:val="single" w:sz="8" w:space="1" w:color="ECF2F8" w:themeColor="accent1" w:themeTint="33"/>
              </w:pBdr>
              <w:shd w:val="clear" w:color="auto" w:fill="DAE5F1" w:themeFill="accent1" w:themeFillTint="66"/>
              <w:rPr>
                <w:color w:val="auto"/>
                <w:sz w:val="14"/>
                <w:szCs w:val="14"/>
                <w:lang w:val="en"/>
              </w:rPr>
            </w:pPr>
            <w:r w:rsidRPr="38843368">
              <w:rPr>
                <w:b/>
                <w:bCs/>
              </w:rPr>
              <w:t xml:space="preserve">  </w:t>
            </w:r>
            <w:bookmarkStart w:id="2" w:name="_Hlk97728810"/>
            <w:r w:rsidRPr="38843368">
              <w:rPr>
                <w:b/>
                <w:bCs/>
                <w:color w:val="auto"/>
                <w:sz w:val="26"/>
                <w:szCs w:val="26"/>
                <w:lang w:val="en"/>
              </w:rPr>
              <w:t xml:space="preserve">What Type of </w:t>
            </w:r>
            <w:r w:rsidR="00F86079" w:rsidRPr="38843368">
              <w:rPr>
                <w:b/>
                <w:bCs/>
                <w:color w:val="auto"/>
                <w:sz w:val="26"/>
                <w:szCs w:val="26"/>
                <w:lang w:val="en"/>
              </w:rPr>
              <w:t xml:space="preserve">Electric </w:t>
            </w:r>
            <w:r w:rsidRPr="38843368">
              <w:rPr>
                <w:b/>
                <w:bCs/>
                <w:color w:val="auto"/>
                <w:sz w:val="26"/>
                <w:szCs w:val="26"/>
                <w:lang w:val="en"/>
              </w:rPr>
              <w:t xml:space="preserve">Costs Does </w:t>
            </w:r>
            <w:r w:rsidR="007B248C" w:rsidRPr="38843368">
              <w:rPr>
                <w:b/>
                <w:bCs/>
                <w:color w:val="auto"/>
                <w:sz w:val="26"/>
                <w:szCs w:val="26"/>
                <w:lang w:val="en"/>
              </w:rPr>
              <w:t>PG&amp;</w:t>
            </w:r>
            <w:r w:rsidRPr="38843368">
              <w:rPr>
                <w:b/>
                <w:bCs/>
                <w:color w:val="auto"/>
                <w:sz w:val="26"/>
                <w:szCs w:val="26"/>
                <w:lang w:val="en"/>
              </w:rPr>
              <w:t xml:space="preserve">E </w:t>
            </w:r>
            <w:r w:rsidR="006D5170">
              <w:rPr>
                <w:b/>
                <w:bCs/>
                <w:color w:val="auto"/>
                <w:sz w:val="26"/>
                <w:szCs w:val="26"/>
                <w:lang w:val="en"/>
              </w:rPr>
              <w:t xml:space="preserve">Request </w:t>
            </w:r>
            <w:r w:rsidRPr="38843368">
              <w:rPr>
                <w:b/>
                <w:bCs/>
                <w:color w:val="auto"/>
                <w:sz w:val="26"/>
                <w:szCs w:val="26"/>
                <w:lang w:val="en"/>
              </w:rPr>
              <w:t>to Recover?</w:t>
            </w:r>
            <w:bookmarkEnd w:id="2"/>
          </w:p>
          <w:p w14:paraId="75A1FC2A" w14:textId="37981CC1" w:rsidR="0076708C" w:rsidRPr="00B702C5" w:rsidRDefault="3CFCE14C" w:rsidP="0076708C">
            <w:pPr>
              <w:rPr>
                <w:color w:val="auto"/>
                <w:lang w:val="en"/>
              </w:rPr>
            </w:pPr>
            <w:r w:rsidRPr="15007A1D">
              <w:rPr>
                <w:color w:val="auto"/>
                <w:lang w:val="en"/>
              </w:rPr>
              <w:t xml:space="preserve">For 2023, </w:t>
            </w:r>
            <w:r w:rsidR="516FAD27" w:rsidRPr="15007A1D">
              <w:rPr>
                <w:color w:val="auto"/>
                <w:lang w:val="en"/>
              </w:rPr>
              <w:t>PG&amp;</w:t>
            </w:r>
            <w:r w:rsidR="1BF315B9" w:rsidRPr="15007A1D">
              <w:rPr>
                <w:color w:val="auto"/>
                <w:lang w:val="en"/>
              </w:rPr>
              <w:t xml:space="preserve">E is requesting </w:t>
            </w:r>
            <w:r w:rsidR="5169F1DB" w:rsidRPr="15007A1D">
              <w:rPr>
                <w:color w:val="auto"/>
                <w:lang w:val="en"/>
              </w:rPr>
              <w:t xml:space="preserve">a </w:t>
            </w:r>
            <w:r w:rsidR="2647062C" w:rsidRPr="15007A1D">
              <w:rPr>
                <w:color w:val="auto"/>
                <w:lang w:val="en"/>
              </w:rPr>
              <w:t>reduction</w:t>
            </w:r>
            <w:r w:rsidR="1BF315B9" w:rsidRPr="15007A1D">
              <w:rPr>
                <w:color w:val="auto"/>
                <w:lang w:val="en"/>
              </w:rPr>
              <w:t xml:space="preserve"> </w:t>
            </w:r>
            <w:r w:rsidR="6EB33851" w:rsidRPr="15007A1D">
              <w:rPr>
                <w:color w:val="auto"/>
                <w:lang w:val="en"/>
              </w:rPr>
              <w:t xml:space="preserve">of revenue </w:t>
            </w:r>
            <w:r w:rsidR="2B864989" w:rsidRPr="15007A1D">
              <w:rPr>
                <w:color w:val="auto"/>
                <w:lang w:val="en"/>
              </w:rPr>
              <w:t>for anticipated</w:t>
            </w:r>
            <w:r w:rsidR="1BF315B9" w:rsidRPr="15007A1D">
              <w:rPr>
                <w:color w:val="auto"/>
                <w:lang w:val="en"/>
              </w:rPr>
              <w:t xml:space="preserve"> </w:t>
            </w:r>
            <w:r w:rsidR="66CDAE5C" w:rsidRPr="15007A1D">
              <w:rPr>
                <w:color w:val="auto"/>
                <w:lang w:val="en"/>
              </w:rPr>
              <w:t xml:space="preserve">operations and </w:t>
            </w:r>
            <w:r w:rsidR="2F9E0D4C" w:rsidRPr="15007A1D">
              <w:rPr>
                <w:color w:val="auto"/>
                <w:lang w:val="en"/>
              </w:rPr>
              <w:t>maintenance (O&amp;M)</w:t>
            </w:r>
            <w:r w:rsidR="710B6439" w:rsidRPr="15007A1D">
              <w:rPr>
                <w:color w:val="auto"/>
                <w:lang w:val="en"/>
              </w:rPr>
              <w:t xml:space="preserve"> expenses</w:t>
            </w:r>
            <w:r w:rsidR="2F9E0D4C" w:rsidRPr="15007A1D">
              <w:rPr>
                <w:color w:val="auto"/>
                <w:lang w:val="en"/>
              </w:rPr>
              <w:t xml:space="preserve"> </w:t>
            </w:r>
            <w:r w:rsidR="710B6439" w:rsidRPr="15007A1D">
              <w:rPr>
                <w:color w:val="auto"/>
                <w:lang w:val="en"/>
              </w:rPr>
              <w:t>an</w:t>
            </w:r>
            <w:r w:rsidR="7E792584" w:rsidRPr="15007A1D">
              <w:rPr>
                <w:color w:val="auto"/>
                <w:lang w:val="en"/>
              </w:rPr>
              <w:t>d</w:t>
            </w:r>
            <w:r w:rsidR="710B6439" w:rsidRPr="15007A1D">
              <w:rPr>
                <w:color w:val="auto"/>
                <w:lang w:val="en"/>
              </w:rPr>
              <w:t xml:space="preserve"> </w:t>
            </w:r>
            <w:r w:rsidR="32A08B39" w:rsidRPr="15007A1D">
              <w:rPr>
                <w:color w:val="auto"/>
                <w:lang w:val="en"/>
              </w:rPr>
              <w:t xml:space="preserve">an </w:t>
            </w:r>
            <w:r w:rsidR="710B6439" w:rsidRPr="15007A1D">
              <w:rPr>
                <w:color w:val="auto"/>
                <w:lang w:val="en"/>
              </w:rPr>
              <w:t>increase</w:t>
            </w:r>
            <w:r w:rsidR="6EB33851" w:rsidRPr="15007A1D">
              <w:rPr>
                <w:color w:val="auto"/>
                <w:lang w:val="en"/>
              </w:rPr>
              <w:t xml:space="preserve"> of revenue for </w:t>
            </w:r>
            <w:r w:rsidR="66CDAE5C" w:rsidRPr="15007A1D">
              <w:rPr>
                <w:color w:val="auto"/>
                <w:lang w:val="en"/>
              </w:rPr>
              <w:t>administration</w:t>
            </w:r>
            <w:r w:rsidR="026EDB1C" w:rsidRPr="15007A1D">
              <w:rPr>
                <w:color w:val="auto"/>
                <w:lang w:val="en"/>
              </w:rPr>
              <w:t xml:space="preserve"> </w:t>
            </w:r>
            <w:r w:rsidR="1E3246AC" w:rsidRPr="15007A1D">
              <w:rPr>
                <w:color w:val="auto"/>
                <w:lang w:val="en"/>
              </w:rPr>
              <w:t>c</w:t>
            </w:r>
            <w:r w:rsidR="1BF315B9" w:rsidRPr="15007A1D">
              <w:rPr>
                <w:color w:val="auto"/>
                <w:lang w:val="en"/>
              </w:rPr>
              <w:t>osts</w:t>
            </w:r>
            <w:r w:rsidR="7E792584" w:rsidRPr="15007A1D">
              <w:rPr>
                <w:color w:val="auto"/>
                <w:lang w:val="en"/>
              </w:rPr>
              <w:t>,</w:t>
            </w:r>
            <w:r w:rsidR="1BF315B9" w:rsidRPr="15007A1D">
              <w:rPr>
                <w:color w:val="auto"/>
                <w:lang w:val="en"/>
              </w:rPr>
              <w:t xml:space="preserve"> new </w:t>
            </w:r>
            <w:r w:rsidR="6A53019B" w:rsidRPr="15007A1D">
              <w:rPr>
                <w:color w:val="auto"/>
                <w:lang w:val="en"/>
              </w:rPr>
              <w:t xml:space="preserve">capital </w:t>
            </w:r>
            <w:r w:rsidR="1BF315B9" w:rsidRPr="00B702C5">
              <w:rPr>
                <w:color w:val="auto"/>
                <w:lang w:val="en"/>
              </w:rPr>
              <w:t>investments to replace and upgrade its facilities</w:t>
            </w:r>
            <w:r w:rsidR="6EB33851" w:rsidRPr="00B702C5">
              <w:rPr>
                <w:color w:val="auto"/>
                <w:lang w:val="en"/>
              </w:rPr>
              <w:t>,</w:t>
            </w:r>
            <w:r w:rsidR="1BF315B9" w:rsidRPr="00B702C5">
              <w:rPr>
                <w:color w:val="auto"/>
                <w:lang w:val="en"/>
              </w:rPr>
              <w:t xml:space="preserve"> and wildfire risk mitigation activitie</w:t>
            </w:r>
            <w:r w:rsidR="00020547">
              <w:rPr>
                <w:color w:val="auto"/>
                <w:lang w:val="en"/>
              </w:rPr>
              <w:t>s</w:t>
            </w:r>
            <w:r w:rsidR="1BF315B9" w:rsidRPr="00B702C5">
              <w:rPr>
                <w:color w:val="auto"/>
                <w:lang w:val="en"/>
              </w:rPr>
              <w:t>.</w:t>
            </w:r>
            <w:r w:rsidR="7BDD7482" w:rsidRPr="00B702C5">
              <w:rPr>
                <w:color w:val="auto"/>
                <w:lang w:val="en"/>
              </w:rPr>
              <w:t xml:space="preserve"> </w:t>
            </w:r>
            <w:r w:rsidR="0076708C" w:rsidRPr="00B702C5">
              <w:rPr>
                <w:color w:val="auto"/>
                <w:lang w:val="en"/>
              </w:rPr>
              <w:t>Some of the major components of PG&amp;E’s request for electric operations are listed below</w:t>
            </w:r>
            <w:r w:rsidR="00020547">
              <w:rPr>
                <w:color w:val="auto"/>
                <w:lang w:val="en"/>
              </w:rPr>
              <w:t>.</w:t>
            </w:r>
            <w:r w:rsidR="008C52AE" w:rsidRPr="00B702C5">
              <w:rPr>
                <w:color w:val="auto"/>
                <w:lang w:val="en"/>
              </w:rPr>
              <w:t xml:space="preserve"> The below amounts include </w:t>
            </w:r>
            <w:r w:rsidR="008C52AE" w:rsidRPr="03B05D3A">
              <w:rPr>
                <w:color w:val="auto"/>
                <w:lang w:val="en"/>
              </w:rPr>
              <w:t>esca</w:t>
            </w:r>
            <w:r w:rsidR="15D39B1C" w:rsidRPr="03B05D3A">
              <w:rPr>
                <w:color w:val="auto"/>
                <w:lang w:val="en"/>
              </w:rPr>
              <w:t>lat</w:t>
            </w:r>
            <w:r w:rsidR="008C52AE" w:rsidRPr="03B05D3A">
              <w:rPr>
                <w:color w:val="auto"/>
                <w:lang w:val="en"/>
              </w:rPr>
              <w:t>ion</w:t>
            </w:r>
            <w:r w:rsidR="008C52AE" w:rsidRPr="00B702C5">
              <w:rPr>
                <w:color w:val="auto"/>
                <w:lang w:val="en"/>
              </w:rPr>
              <w:t xml:space="preserve"> rates </w:t>
            </w:r>
            <w:r w:rsidR="004143C0" w:rsidRPr="00B702C5">
              <w:rPr>
                <w:color w:val="auto"/>
                <w:lang w:val="en"/>
              </w:rPr>
              <w:t xml:space="preserve">in PG&amp;E’s September 6, </w:t>
            </w:r>
            <w:proofErr w:type="gramStart"/>
            <w:r w:rsidR="004143C0" w:rsidRPr="00B702C5">
              <w:rPr>
                <w:color w:val="auto"/>
                <w:lang w:val="en"/>
              </w:rPr>
              <w:t>2022</w:t>
            </w:r>
            <w:proofErr w:type="gramEnd"/>
            <w:r w:rsidR="004143C0" w:rsidRPr="00B702C5">
              <w:rPr>
                <w:color w:val="auto"/>
                <w:lang w:val="en"/>
              </w:rPr>
              <w:t xml:space="preserve"> update testimony</w:t>
            </w:r>
            <w:r w:rsidR="00020547">
              <w:rPr>
                <w:color w:val="auto"/>
                <w:lang w:val="en"/>
              </w:rPr>
              <w:t xml:space="preserve"> </w:t>
            </w:r>
            <w:r w:rsidR="00AB228A">
              <w:rPr>
                <w:color w:val="auto"/>
                <w:lang w:val="en"/>
              </w:rPr>
              <w:t xml:space="preserve">but not </w:t>
            </w:r>
            <w:r w:rsidR="00020547">
              <w:rPr>
                <w:color w:val="auto"/>
                <w:lang w:val="en"/>
              </w:rPr>
              <w:t>the a</w:t>
            </w:r>
            <w:r w:rsidR="008C52AE" w:rsidRPr="00B702C5">
              <w:rPr>
                <w:color w:val="auto"/>
                <w:lang w:val="en"/>
              </w:rPr>
              <w:t>dditional amou</w:t>
            </w:r>
            <w:r w:rsidR="00B702C5" w:rsidRPr="00B702C5">
              <w:rPr>
                <w:color w:val="auto"/>
                <w:lang w:val="en"/>
              </w:rPr>
              <w:t>nts</w:t>
            </w:r>
            <w:r w:rsidR="008C52AE" w:rsidRPr="00B702C5">
              <w:rPr>
                <w:color w:val="auto"/>
                <w:lang w:val="en"/>
              </w:rPr>
              <w:t xml:space="preserve"> requested by PG&amp;E for 2024-2026.</w:t>
            </w:r>
          </w:p>
          <w:p w14:paraId="6253E0E6" w14:textId="77777777" w:rsidR="0076708C" w:rsidRPr="00B702C5" w:rsidRDefault="0076708C" w:rsidP="0076708C">
            <w:pPr>
              <w:rPr>
                <w:color w:val="auto"/>
                <w:lang w:val="en"/>
              </w:rPr>
            </w:pPr>
          </w:p>
          <w:p w14:paraId="46E7CB52" w14:textId="11D8D592" w:rsidR="0076708C" w:rsidRPr="00B702C5" w:rsidRDefault="00C51E74" w:rsidP="0076708C">
            <w:pPr>
              <w:pStyle w:val="ListParagraph"/>
              <w:numPr>
                <w:ilvl w:val="0"/>
                <w:numId w:val="41"/>
              </w:numPr>
              <w:rPr>
                <w:color w:val="auto"/>
                <w:lang w:val="en"/>
              </w:rPr>
            </w:pPr>
            <w:r w:rsidRPr="00B702C5">
              <w:rPr>
                <w:color w:val="auto"/>
                <w:lang w:val="en"/>
              </w:rPr>
              <w:t>Electric</w:t>
            </w:r>
            <w:r w:rsidR="0076708C" w:rsidRPr="00B702C5">
              <w:rPr>
                <w:color w:val="auto"/>
                <w:lang w:val="en"/>
              </w:rPr>
              <w:t xml:space="preserve"> Distribution operating expense: $</w:t>
            </w:r>
            <w:r w:rsidRPr="00B702C5">
              <w:rPr>
                <w:color w:val="auto"/>
                <w:lang w:val="en"/>
              </w:rPr>
              <w:t>2</w:t>
            </w:r>
            <w:r w:rsidR="000C3D00">
              <w:rPr>
                <w:color w:val="auto"/>
                <w:lang w:val="en"/>
              </w:rPr>
              <w:t>.</w:t>
            </w:r>
            <w:r w:rsidRPr="00B702C5">
              <w:rPr>
                <w:color w:val="auto"/>
                <w:lang w:val="en"/>
              </w:rPr>
              <w:t>708</w:t>
            </w:r>
            <w:r w:rsidR="0076708C" w:rsidRPr="00B702C5">
              <w:rPr>
                <w:color w:val="auto"/>
                <w:lang w:val="en"/>
              </w:rPr>
              <w:t xml:space="preserve"> </w:t>
            </w:r>
            <w:r w:rsidR="000C3D00">
              <w:rPr>
                <w:color w:val="auto"/>
                <w:lang w:val="en"/>
              </w:rPr>
              <w:t>billion</w:t>
            </w:r>
          </w:p>
          <w:p w14:paraId="456FD49E" w14:textId="4D66F10C" w:rsidR="0076708C" w:rsidRPr="00B702C5" w:rsidRDefault="00C51E74" w:rsidP="0076708C">
            <w:pPr>
              <w:pStyle w:val="ListParagraph"/>
              <w:numPr>
                <w:ilvl w:val="0"/>
                <w:numId w:val="41"/>
              </w:numPr>
              <w:rPr>
                <w:color w:val="auto"/>
                <w:lang w:val="en"/>
              </w:rPr>
            </w:pPr>
            <w:r w:rsidRPr="00B702C5">
              <w:rPr>
                <w:color w:val="auto"/>
                <w:lang w:val="en"/>
              </w:rPr>
              <w:t>Electric Generation and Procurement</w:t>
            </w:r>
            <w:r w:rsidR="0076708C" w:rsidRPr="00B702C5">
              <w:rPr>
                <w:color w:val="auto"/>
                <w:lang w:val="en"/>
              </w:rPr>
              <w:t xml:space="preserve"> expense: $</w:t>
            </w:r>
            <w:r w:rsidRPr="00B702C5">
              <w:rPr>
                <w:color w:val="auto"/>
                <w:lang w:val="en"/>
              </w:rPr>
              <w:t>662.6</w:t>
            </w:r>
            <w:r w:rsidR="0076708C" w:rsidRPr="00B702C5">
              <w:rPr>
                <w:color w:val="auto"/>
                <w:lang w:val="en"/>
              </w:rPr>
              <w:t xml:space="preserve"> million</w:t>
            </w:r>
          </w:p>
          <w:p w14:paraId="6E3C8457" w14:textId="70061C9A" w:rsidR="0076708C" w:rsidRPr="00B702C5" w:rsidRDefault="0076708C" w:rsidP="0076708C">
            <w:pPr>
              <w:pStyle w:val="ListParagraph"/>
              <w:numPr>
                <w:ilvl w:val="0"/>
                <w:numId w:val="41"/>
              </w:numPr>
              <w:rPr>
                <w:color w:val="auto"/>
                <w:lang w:val="en"/>
              </w:rPr>
            </w:pPr>
            <w:r w:rsidRPr="00B702C5">
              <w:rPr>
                <w:color w:val="auto"/>
                <w:lang w:val="en"/>
              </w:rPr>
              <w:t>Customer Accounts expense: $</w:t>
            </w:r>
            <w:r w:rsidR="00C51E74" w:rsidRPr="00B702C5">
              <w:rPr>
                <w:color w:val="auto"/>
                <w:lang w:val="en"/>
              </w:rPr>
              <w:t>228.8</w:t>
            </w:r>
            <w:r w:rsidRPr="00B702C5">
              <w:rPr>
                <w:color w:val="auto"/>
                <w:lang w:val="en"/>
              </w:rPr>
              <w:t xml:space="preserve"> million</w:t>
            </w:r>
          </w:p>
          <w:p w14:paraId="22AE00BB" w14:textId="40D386CF" w:rsidR="0076708C" w:rsidRPr="00B702C5" w:rsidRDefault="0076708C" w:rsidP="0076708C">
            <w:pPr>
              <w:pStyle w:val="ListParagraph"/>
              <w:numPr>
                <w:ilvl w:val="0"/>
                <w:numId w:val="41"/>
              </w:numPr>
              <w:rPr>
                <w:color w:val="auto"/>
                <w:lang w:val="en"/>
              </w:rPr>
            </w:pPr>
            <w:r w:rsidRPr="00B702C5">
              <w:rPr>
                <w:color w:val="auto"/>
                <w:lang w:val="en"/>
              </w:rPr>
              <w:t xml:space="preserve">Administrative and General </w:t>
            </w:r>
            <w:r w:rsidR="00627696">
              <w:rPr>
                <w:color w:val="auto"/>
                <w:lang w:val="en"/>
              </w:rPr>
              <w:t>e</w:t>
            </w:r>
            <w:r w:rsidRPr="00B702C5">
              <w:rPr>
                <w:color w:val="auto"/>
                <w:lang w:val="en"/>
              </w:rPr>
              <w:t>xpense: $</w:t>
            </w:r>
            <w:r w:rsidR="00C51E74" w:rsidRPr="00B702C5">
              <w:rPr>
                <w:color w:val="auto"/>
                <w:lang w:val="en"/>
              </w:rPr>
              <w:t>1,641</w:t>
            </w:r>
            <w:r w:rsidRPr="00B702C5">
              <w:rPr>
                <w:color w:val="auto"/>
                <w:lang w:val="en"/>
              </w:rPr>
              <w:t xml:space="preserve"> million</w:t>
            </w:r>
          </w:p>
          <w:p w14:paraId="085EDAFB" w14:textId="4DE8FAE7" w:rsidR="0076708C" w:rsidRPr="00B702C5" w:rsidRDefault="00627696" w:rsidP="0076708C">
            <w:pPr>
              <w:pStyle w:val="ListParagraph"/>
              <w:numPr>
                <w:ilvl w:val="0"/>
                <w:numId w:val="41"/>
              </w:numPr>
              <w:rPr>
                <w:color w:val="auto"/>
                <w:lang w:val="en"/>
              </w:rPr>
            </w:pPr>
            <w:r>
              <w:rPr>
                <w:color w:val="auto"/>
                <w:lang w:val="en"/>
              </w:rPr>
              <w:t xml:space="preserve">Electric </w:t>
            </w:r>
            <w:r w:rsidR="0076708C" w:rsidRPr="00B702C5">
              <w:rPr>
                <w:color w:val="auto"/>
                <w:lang w:val="en"/>
              </w:rPr>
              <w:t xml:space="preserve">Depreciation </w:t>
            </w:r>
            <w:r>
              <w:rPr>
                <w:color w:val="auto"/>
                <w:lang w:val="en"/>
              </w:rPr>
              <w:t>e</w:t>
            </w:r>
            <w:r w:rsidR="0076708C" w:rsidRPr="00B702C5">
              <w:rPr>
                <w:color w:val="auto"/>
                <w:lang w:val="en"/>
              </w:rPr>
              <w:t>xpense:  $</w:t>
            </w:r>
            <w:r w:rsidR="00C51E74" w:rsidRPr="00B702C5">
              <w:rPr>
                <w:color w:val="auto"/>
                <w:lang w:val="en"/>
              </w:rPr>
              <w:t>2,831</w:t>
            </w:r>
            <w:r w:rsidR="0076708C" w:rsidRPr="00B702C5">
              <w:rPr>
                <w:color w:val="auto"/>
                <w:lang w:val="en"/>
              </w:rPr>
              <w:t xml:space="preserve"> million</w:t>
            </w:r>
          </w:p>
          <w:p w14:paraId="3A0388E1" w14:textId="7DEE61CE" w:rsidR="0076708C" w:rsidRDefault="00627696" w:rsidP="0076708C">
            <w:pPr>
              <w:pStyle w:val="ListParagraph"/>
              <w:numPr>
                <w:ilvl w:val="0"/>
                <w:numId w:val="41"/>
              </w:numPr>
              <w:rPr>
                <w:color w:val="auto"/>
                <w:lang w:val="en"/>
              </w:rPr>
            </w:pPr>
            <w:r>
              <w:rPr>
                <w:color w:val="auto"/>
                <w:lang w:val="en"/>
              </w:rPr>
              <w:t>Electric</w:t>
            </w:r>
            <w:r w:rsidR="002203A6">
              <w:rPr>
                <w:color w:val="auto"/>
                <w:lang w:val="en"/>
              </w:rPr>
              <w:t xml:space="preserve"> </w:t>
            </w:r>
            <w:r w:rsidR="0076708C" w:rsidRPr="00B702C5">
              <w:rPr>
                <w:color w:val="auto"/>
                <w:lang w:val="en"/>
              </w:rPr>
              <w:t>Taxes: $</w:t>
            </w:r>
            <w:r w:rsidR="00C51E74" w:rsidRPr="00B702C5">
              <w:rPr>
                <w:color w:val="auto"/>
                <w:lang w:val="en"/>
              </w:rPr>
              <w:t>856.2</w:t>
            </w:r>
            <w:r w:rsidR="0076708C" w:rsidRPr="00B702C5">
              <w:rPr>
                <w:color w:val="auto"/>
                <w:lang w:val="en"/>
              </w:rPr>
              <w:t xml:space="preserve"> million</w:t>
            </w:r>
          </w:p>
          <w:p w14:paraId="7C071BAB" w14:textId="56E7EB60" w:rsidR="00DE0205" w:rsidRPr="009661FC" w:rsidRDefault="00ED589B" w:rsidP="009661FC">
            <w:pPr>
              <w:pStyle w:val="ListParagraph"/>
              <w:numPr>
                <w:ilvl w:val="0"/>
                <w:numId w:val="41"/>
              </w:numPr>
              <w:rPr>
                <w:color w:val="auto"/>
              </w:rPr>
            </w:pPr>
            <w:r>
              <w:rPr>
                <w:color w:val="auto"/>
              </w:rPr>
              <w:t>2023 c</w:t>
            </w:r>
            <w:r w:rsidR="00634176" w:rsidRPr="00634176">
              <w:rPr>
                <w:color w:val="auto"/>
              </w:rPr>
              <w:t>apital expenditure forecast i</w:t>
            </w:r>
            <w:r w:rsidR="00634176">
              <w:rPr>
                <w:color w:val="auto"/>
              </w:rPr>
              <w:t xml:space="preserve">s </w:t>
            </w:r>
            <w:r w:rsidR="009661FC">
              <w:rPr>
                <w:color w:val="auto"/>
              </w:rPr>
              <w:t>$</w:t>
            </w:r>
            <w:r w:rsidR="00634176" w:rsidRPr="00634176">
              <w:rPr>
                <w:color w:val="auto"/>
              </w:rPr>
              <w:t>4.5 billion, a $1.4 billion increase over</w:t>
            </w:r>
            <w:r w:rsidR="009661FC">
              <w:rPr>
                <w:color w:val="auto"/>
              </w:rPr>
              <w:t xml:space="preserve"> </w:t>
            </w:r>
            <w:r w:rsidR="00634176" w:rsidRPr="009661FC">
              <w:rPr>
                <w:color w:val="auto"/>
              </w:rPr>
              <w:t>2020 recorded capital.</w:t>
            </w:r>
            <w:r w:rsidR="009661FC">
              <w:rPr>
                <w:rStyle w:val="FootnoteReference"/>
                <w:color w:val="auto"/>
              </w:rPr>
              <w:footnoteReference w:id="5"/>
            </w:r>
          </w:p>
          <w:p w14:paraId="34A6F455" w14:textId="162702D9" w:rsidR="0076708C" w:rsidRDefault="0076708C" w:rsidP="007819E2">
            <w:pPr>
              <w:pStyle w:val="ListParagraph"/>
              <w:numPr>
                <w:ilvl w:val="0"/>
                <w:numId w:val="41"/>
              </w:numPr>
              <w:rPr>
                <w:color w:val="auto"/>
                <w:lang w:val="en"/>
              </w:rPr>
            </w:pPr>
            <w:r w:rsidRPr="00B702C5">
              <w:rPr>
                <w:color w:val="auto"/>
                <w:lang w:val="en"/>
              </w:rPr>
              <w:t>Return: $</w:t>
            </w:r>
            <w:r w:rsidR="00C51E74" w:rsidRPr="00B702C5">
              <w:rPr>
                <w:color w:val="auto"/>
                <w:lang w:val="en"/>
              </w:rPr>
              <w:t>2</w:t>
            </w:r>
            <w:r w:rsidR="00DA3DB9">
              <w:rPr>
                <w:color w:val="auto"/>
                <w:lang w:val="en"/>
              </w:rPr>
              <w:t>.</w:t>
            </w:r>
            <w:r w:rsidR="00C51E74" w:rsidRPr="00B702C5">
              <w:rPr>
                <w:color w:val="auto"/>
                <w:lang w:val="en"/>
              </w:rPr>
              <w:t>337</w:t>
            </w:r>
            <w:r w:rsidRPr="00B702C5">
              <w:rPr>
                <w:color w:val="auto"/>
                <w:lang w:val="en"/>
              </w:rPr>
              <w:t xml:space="preserve"> </w:t>
            </w:r>
            <w:r w:rsidR="00DA3DB9">
              <w:rPr>
                <w:color w:val="auto"/>
                <w:lang w:val="en"/>
              </w:rPr>
              <w:t>billion</w:t>
            </w:r>
            <w:r w:rsidR="00971DB1" w:rsidRPr="00B702C5">
              <w:rPr>
                <w:rStyle w:val="FootnoteReference"/>
                <w:color w:val="auto"/>
                <w:lang w:val="en"/>
              </w:rPr>
              <w:footnoteReference w:id="6"/>
            </w:r>
          </w:p>
          <w:p w14:paraId="4DE41A2F" w14:textId="77777777" w:rsidR="00820AC0" w:rsidRDefault="00820AC0" w:rsidP="00D23BCE">
            <w:pPr>
              <w:rPr>
                <w:color w:val="auto"/>
                <w:lang w:val="en"/>
              </w:rPr>
            </w:pPr>
          </w:p>
          <w:p w14:paraId="2CC70BE0" w14:textId="38BFD223" w:rsidR="00D23BCE" w:rsidRPr="00D23BCE" w:rsidRDefault="00430D3D" w:rsidP="00D23BCE">
            <w:pPr>
              <w:rPr>
                <w:color w:val="auto"/>
              </w:rPr>
            </w:pPr>
            <w:r>
              <w:rPr>
                <w:color w:val="auto"/>
                <w:lang w:val="en"/>
              </w:rPr>
              <w:t xml:space="preserve">The key drivers for the </w:t>
            </w:r>
            <w:r w:rsidR="00C5295A">
              <w:rPr>
                <w:color w:val="auto"/>
                <w:lang w:val="en"/>
              </w:rPr>
              <w:t>increase in electric distribution expenses</w:t>
            </w:r>
            <w:r w:rsidR="004D16F9">
              <w:rPr>
                <w:color w:val="auto"/>
                <w:lang w:val="en"/>
              </w:rPr>
              <w:t xml:space="preserve"> in 2023</w:t>
            </w:r>
            <w:r w:rsidR="00820AC0">
              <w:rPr>
                <w:color w:val="auto"/>
                <w:lang w:val="en"/>
              </w:rPr>
              <w:t xml:space="preserve"> (over 2020 recorded)</w:t>
            </w:r>
            <w:r w:rsidR="00C5295A">
              <w:rPr>
                <w:color w:val="auto"/>
                <w:lang w:val="en"/>
              </w:rPr>
              <w:t xml:space="preserve"> are in the program areas of </w:t>
            </w:r>
            <w:r w:rsidR="00001F84">
              <w:rPr>
                <w:color w:val="auto"/>
                <w:lang w:val="en"/>
              </w:rPr>
              <w:t>Maintenance and Compliance</w:t>
            </w:r>
            <w:r w:rsidR="00321A0E">
              <w:rPr>
                <w:color w:val="auto"/>
                <w:lang w:val="en"/>
              </w:rPr>
              <w:t xml:space="preserve"> </w:t>
            </w:r>
            <w:r w:rsidR="00820AC0">
              <w:rPr>
                <w:color w:val="auto"/>
                <w:lang w:val="en"/>
              </w:rPr>
              <w:t>(</w:t>
            </w:r>
            <w:r w:rsidR="00321A0E">
              <w:rPr>
                <w:color w:val="auto"/>
                <w:lang w:val="en"/>
              </w:rPr>
              <w:t>$46 million increase</w:t>
            </w:r>
            <w:r w:rsidR="00820AC0">
              <w:rPr>
                <w:color w:val="auto"/>
                <w:lang w:val="en"/>
              </w:rPr>
              <w:t>)</w:t>
            </w:r>
            <w:r w:rsidR="004D16F9">
              <w:rPr>
                <w:color w:val="auto"/>
                <w:lang w:val="en"/>
              </w:rPr>
              <w:t xml:space="preserve">, </w:t>
            </w:r>
            <w:r w:rsidR="00945500">
              <w:rPr>
                <w:color w:val="auto"/>
                <w:lang w:val="en"/>
              </w:rPr>
              <w:t>d</w:t>
            </w:r>
            <w:proofErr w:type="spellStart"/>
            <w:r w:rsidR="00945500" w:rsidRPr="00945500">
              <w:rPr>
                <w:color w:val="auto"/>
              </w:rPr>
              <w:t>riven</w:t>
            </w:r>
            <w:proofErr w:type="spellEnd"/>
            <w:r w:rsidR="00945500" w:rsidRPr="00945500">
              <w:rPr>
                <w:color w:val="auto"/>
              </w:rPr>
              <w:t xml:space="preserve"> primarily by increased in PG&amp;E’s Routine </w:t>
            </w:r>
            <w:r w:rsidR="006720A0" w:rsidRPr="006720A0">
              <w:rPr>
                <w:color w:val="auto"/>
              </w:rPr>
              <w:t>Vegetation Maintenance</w:t>
            </w:r>
            <w:r w:rsidR="00945500" w:rsidRPr="00945500">
              <w:rPr>
                <w:color w:val="auto"/>
              </w:rPr>
              <w:t xml:space="preserve"> Program to reduce potential vegetation contact with overhead electric lines and other equipment</w:t>
            </w:r>
            <w:r w:rsidR="00EC5F2C">
              <w:rPr>
                <w:color w:val="auto"/>
              </w:rPr>
              <w:t xml:space="preserve">; </w:t>
            </w:r>
            <w:r w:rsidR="00891C2D">
              <w:rPr>
                <w:color w:val="auto"/>
              </w:rPr>
              <w:t>Operational Coordination</w:t>
            </w:r>
            <w:r w:rsidR="00321A0E">
              <w:rPr>
                <w:color w:val="auto"/>
              </w:rPr>
              <w:t xml:space="preserve"> </w:t>
            </w:r>
            <w:r w:rsidR="00820AC0">
              <w:rPr>
                <w:color w:val="auto"/>
              </w:rPr>
              <w:t>(</w:t>
            </w:r>
            <w:r w:rsidR="00D23BCE">
              <w:rPr>
                <w:color w:val="auto"/>
              </w:rPr>
              <w:t>$76 million increase</w:t>
            </w:r>
            <w:r w:rsidR="00820AC0">
              <w:rPr>
                <w:color w:val="auto"/>
              </w:rPr>
              <w:t>)</w:t>
            </w:r>
            <w:r w:rsidR="0044432A">
              <w:rPr>
                <w:color w:val="auto"/>
              </w:rPr>
              <w:t>, d</w:t>
            </w:r>
            <w:r w:rsidR="00D23BCE" w:rsidRPr="00D23BCE">
              <w:rPr>
                <w:color w:val="auto"/>
              </w:rPr>
              <w:t>riven by increased work in</w:t>
            </w:r>
            <w:r w:rsidR="0044432A">
              <w:rPr>
                <w:color w:val="auto"/>
              </w:rPr>
              <w:t xml:space="preserve">, for example, </w:t>
            </w:r>
            <w:r w:rsidR="00D23BCE" w:rsidRPr="00D23BCE">
              <w:rPr>
                <w:color w:val="auto"/>
              </w:rPr>
              <w:t>Integrated Grid Platform and Grid Modernization</w:t>
            </w:r>
            <w:r w:rsidR="00EC5F2C">
              <w:rPr>
                <w:color w:val="auto"/>
              </w:rPr>
              <w:t xml:space="preserve">; and Emergency Preparedness and Response </w:t>
            </w:r>
            <w:r w:rsidR="00820AC0">
              <w:rPr>
                <w:color w:val="auto"/>
              </w:rPr>
              <w:t>(</w:t>
            </w:r>
            <w:r w:rsidR="009A6F1E">
              <w:rPr>
                <w:color w:val="auto"/>
              </w:rPr>
              <w:t>$42 million increase</w:t>
            </w:r>
            <w:r w:rsidR="00820AC0">
              <w:rPr>
                <w:color w:val="auto"/>
              </w:rPr>
              <w:t>)</w:t>
            </w:r>
            <w:r w:rsidR="009A6F1E">
              <w:rPr>
                <w:color w:val="auto"/>
              </w:rPr>
              <w:t>.</w:t>
            </w:r>
            <w:r w:rsidR="009A6F1E">
              <w:rPr>
                <w:rStyle w:val="FootnoteReference"/>
                <w:color w:val="auto"/>
              </w:rPr>
              <w:footnoteReference w:id="7"/>
            </w:r>
          </w:p>
          <w:p w14:paraId="10036BCB" w14:textId="662348B3" w:rsidR="00DA3586" w:rsidRPr="00DA3586" w:rsidRDefault="000C3D00" w:rsidP="00DA3586">
            <w:pPr>
              <w:rPr>
                <w:color w:val="auto"/>
              </w:rPr>
            </w:pPr>
            <w:r>
              <w:rPr>
                <w:color w:val="auto"/>
              </w:rPr>
              <w:t>PG&amp;E’s</w:t>
            </w:r>
            <w:r w:rsidR="006A3DBF">
              <w:rPr>
                <w:color w:val="auto"/>
              </w:rPr>
              <w:t xml:space="preserve"> electric distribution </w:t>
            </w:r>
            <w:r w:rsidR="006A3DBF" w:rsidRPr="006A3DBF">
              <w:rPr>
                <w:color w:val="auto"/>
              </w:rPr>
              <w:t xml:space="preserve">forecast </w:t>
            </w:r>
            <w:r>
              <w:rPr>
                <w:color w:val="auto"/>
              </w:rPr>
              <w:t xml:space="preserve">for </w:t>
            </w:r>
            <w:r w:rsidR="006A3DBF" w:rsidRPr="006A3DBF">
              <w:rPr>
                <w:color w:val="auto"/>
              </w:rPr>
              <w:t>2023 capital expenditures</w:t>
            </w:r>
            <w:r w:rsidR="002203A6">
              <w:rPr>
                <w:color w:val="auto"/>
              </w:rPr>
              <w:t xml:space="preserve"> </w:t>
            </w:r>
            <w:r w:rsidR="006A3DBF" w:rsidRPr="006A3DBF">
              <w:rPr>
                <w:color w:val="auto"/>
              </w:rPr>
              <w:t>reflect</w:t>
            </w:r>
            <w:r>
              <w:rPr>
                <w:color w:val="auto"/>
              </w:rPr>
              <w:t>s</w:t>
            </w:r>
            <w:r w:rsidR="006A3DBF" w:rsidRPr="006A3DBF">
              <w:rPr>
                <w:color w:val="auto"/>
              </w:rPr>
              <w:t xml:space="preserve"> an approximately 45 percent increase relative to 2020 recorded expenditures.</w:t>
            </w:r>
            <w:r w:rsidR="006A3DBF">
              <w:rPr>
                <w:rStyle w:val="FootnoteReference"/>
                <w:color w:val="auto"/>
              </w:rPr>
              <w:footnoteReference w:id="8"/>
            </w:r>
            <w:r w:rsidR="00DA3586">
              <w:rPr>
                <w:color w:val="auto"/>
              </w:rPr>
              <w:t xml:space="preserve"> </w:t>
            </w:r>
            <w:r w:rsidR="00566B04">
              <w:rPr>
                <w:color w:val="auto"/>
              </w:rPr>
              <w:t xml:space="preserve"> </w:t>
            </w:r>
            <w:r w:rsidR="00214DC8">
              <w:rPr>
                <w:color w:val="auto"/>
              </w:rPr>
              <w:t xml:space="preserve">This increase is driven primarily by the program area of </w:t>
            </w:r>
            <w:r w:rsidR="00DA3586" w:rsidRPr="00DA3586">
              <w:rPr>
                <w:color w:val="auto"/>
              </w:rPr>
              <w:t>Risk Reduction ($1</w:t>
            </w:r>
            <w:r>
              <w:rPr>
                <w:color w:val="auto"/>
              </w:rPr>
              <w:t>.</w:t>
            </w:r>
            <w:r w:rsidR="00DA3586" w:rsidRPr="00DA3586">
              <w:rPr>
                <w:color w:val="auto"/>
              </w:rPr>
              <w:t xml:space="preserve">064 </w:t>
            </w:r>
            <w:r>
              <w:rPr>
                <w:color w:val="auto"/>
              </w:rPr>
              <w:t>billion</w:t>
            </w:r>
            <w:r w:rsidR="00DA3586" w:rsidRPr="00DA3586">
              <w:rPr>
                <w:color w:val="auto"/>
              </w:rPr>
              <w:t xml:space="preserve"> increase)</w:t>
            </w:r>
            <w:r w:rsidR="00214DC8">
              <w:rPr>
                <w:color w:val="auto"/>
              </w:rPr>
              <w:t xml:space="preserve">, which reflects </w:t>
            </w:r>
            <w:r w:rsidR="00DA3586" w:rsidRPr="00DA3586">
              <w:rPr>
                <w:color w:val="auto"/>
              </w:rPr>
              <w:t xml:space="preserve">PG&amp;E’s plans to underground additional miles as part of the System Hardening </w:t>
            </w:r>
            <w:r w:rsidR="008D68C2">
              <w:rPr>
                <w:color w:val="auto"/>
              </w:rPr>
              <w:t>Program and the Community Rebuild Program in Paradise.</w:t>
            </w:r>
            <w:r w:rsidR="008D68C2">
              <w:rPr>
                <w:rStyle w:val="FootnoteReference"/>
                <w:color w:val="auto"/>
              </w:rPr>
              <w:footnoteReference w:id="9"/>
            </w:r>
            <w:r w:rsidR="008D68C2">
              <w:rPr>
                <w:color w:val="auto"/>
              </w:rPr>
              <w:t xml:space="preserve"> </w:t>
            </w:r>
            <w:r w:rsidR="002203A6">
              <w:rPr>
                <w:color w:val="auto"/>
              </w:rPr>
              <w:t xml:space="preserve">These amounts do not reflect the September 6, </w:t>
            </w:r>
            <w:proofErr w:type="gramStart"/>
            <w:r w:rsidR="002203A6">
              <w:rPr>
                <w:color w:val="auto"/>
              </w:rPr>
              <w:t>2022</w:t>
            </w:r>
            <w:proofErr w:type="gramEnd"/>
            <w:r w:rsidR="002203A6">
              <w:rPr>
                <w:color w:val="auto"/>
              </w:rPr>
              <w:t xml:space="preserve"> escalation rates.</w:t>
            </w:r>
          </w:p>
          <w:p w14:paraId="0B421FE3" w14:textId="32FDF3FE" w:rsidR="0013743A" w:rsidRPr="007819E2" w:rsidRDefault="0013743A" w:rsidP="00DA3DB9">
            <w:pPr>
              <w:rPr>
                <w:color w:val="auto"/>
                <w:lang w:val="en"/>
              </w:rPr>
            </w:pPr>
          </w:p>
          <w:p w14:paraId="50C06A9D" w14:textId="1540E1C8" w:rsidR="00A6147A" w:rsidRDefault="001A0752" w:rsidP="00423F1D">
            <w:pPr>
              <w:shd w:val="clear" w:color="auto" w:fill="DAE5F1" w:themeFill="accent1" w:themeFillTint="66"/>
              <w:rPr>
                <w:b/>
                <w:bCs/>
                <w:color w:val="auto"/>
                <w:lang w:val="en"/>
              </w:rPr>
            </w:pPr>
            <w:r w:rsidRPr="38843368">
              <w:rPr>
                <w:b/>
                <w:bCs/>
                <w:color w:val="auto"/>
                <w:sz w:val="26"/>
                <w:szCs w:val="26"/>
                <w:lang w:val="en"/>
              </w:rPr>
              <w:t xml:space="preserve">What Type of Gas Costs Does PG&amp;E </w:t>
            </w:r>
            <w:r w:rsidR="0079037A">
              <w:rPr>
                <w:b/>
                <w:bCs/>
                <w:color w:val="auto"/>
                <w:sz w:val="26"/>
                <w:szCs w:val="26"/>
                <w:lang w:val="en"/>
              </w:rPr>
              <w:t>Request</w:t>
            </w:r>
            <w:r w:rsidRPr="38843368">
              <w:rPr>
                <w:b/>
                <w:bCs/>
                <w:color w:val="auto"/>
                <w:sz w:val="26"/>
                <w:szCs w:val="26"/>
                <w:lang w:val="en"/>
              </w:rPr>
              <w:t xml:space="preserve"> to Recover</w:t>
            </w:r>
            <w:r w:rsidRPr="38843368">
              <w:rPr>
                <w:b/>
                <w:bCs/>
                <w:color w:val="auto"/>
                <w:lang w:val="en"/>
              </w:rPr>
              <w:t>?</w:t>
            </w:r>
          </w:p>
          <w:p w14:paraId="58BD352F" w14:textId="26FDE1F2" w:rsidR="001A0752" w:rsidRPr="00B702C5" w:rsidRDefault="6C2EEA81" w:rsidP="00A6147A">
            <w:pPr>
              <w:rPr>
                <w:color w:val="auto"/>
                <w:lang w:val="en"/>
              </w:rPr>
            </w:pPr>
            <w:r w:rsidRPr="00B702C5">
              <w:rPr>
                <w:color w:val="auto"/>
                <w:lang w:val="en"/>
              </w:rPr>
              <w:t>PG&amp;E request</w:t>
            </w:r>
            <w:r w:rsidR="004561CF" w:rsidRPr="00B702C5">
              <w:rPr>
                <w:color w:val="auto"/>
                <w:lang w:val="en"/>
              </w:rPr>
              <w:t>s</w:t>
            </w:r>
            <w:r w:rsidR="59D0F5A3" w:rsidRPr="00B702C5">
              <w:rPr>
                <w:color w:val="auto"/>
                <w:lang w:val="en"/>
              </w:rPr>
              <w:t xml:space="preserve"> the CPUC approve</w:t>
            </w:r>
            <w:r w:rsidRPr="00B702C5">
              <w:rPr>
                <w:color w:val="auto"/>
                <w:lang w:val="en"/>
              </w:rPr>
              <w:t xml:space="preserve"> </w:t>
            </w:r>
            <w:r w:rsidR="07485AE5" w:rsidRPr="00B702C5">
              <w:rPr>
                <w:color w:val="auto"/>
                <w:lang w:val="en"/>
              </w:rPr>
              <w:t xml:space="preserve">operating </w:t>
            </w:r>
            <w:r w:rsidR="74991DBE" w:rsidRPr="00B702C5">
              <w:rPr>
                <w:color w:val="auto"/>
                <w:lang w:val="en"/>
              </w:rPr>
              <w:t>expenses</w:t>
            </w:r>
            <w:r w:rsidR="07485AE5" w:rsidRPr="00B702C5">
              <w:rPr>
                <w:color w:val="auto"/>
                <w:lang w:val="en"/>
              </w:rPr>
              <w:t xml:space="preserve">, taxes, </w:t>
            </w:r>
            <w:r w:rsidR="00007999" w:rsidRPr="00B702C5">
              <w:rPr>
                <w:color w:val="auto"/>
                <w:lang w:val="en"/>
              </w:rPr>
              <w:t xml:space="preserve">and capital via </w:t>
            </w:r>
            <w:r w:rsidR="07485AE5" w:rsidRPr="00B702C5">
              <w:rPr>
                <w:color w:val="auto"/>
                <w:lang w:val="en"/>
              </w:rPr>
              <w:t>depreciation</w:t>
            </w:r>
            <w:r w:rsidR="00B702C5" w:rsidRPr="00B702C5">
              <w:rPr>
                <w:color w:val="auto"/>
                <w:lang w:val="en"/>
              </w:rPr>
              <w:t xml:space="preserve"> </w:t>
            </w:r>
            <w:r w:rsidR="07485AE5" w:rsidRPr="00B702C5">
              <w:rPr>
                <w:color w:val="auto"/>
                <w:lang w:val="en"/>
              </w:rPr>
              <w:t>and return</w:t>
            </w:r>
            <w:r w:rsidR="74991DBE" w:rsidRPr="00B702C5">
              <w:rPr>
                <w:color w:val="auto"/>
                <w:lang w:val="en"/>
              </w:rPr>
              <w:t xml:space="preserve"> </w:t>
            </w:r>
            <w:r w:rsidR="00817DB8" w:rsidRPr="00B702C5">
              <w:rPr>
                <w:color w:val="auto"/>
                <w:lang w:val="en"/>
              </w:rPr>
              <w:t>amount</w:t>
            </w:r>
            <w:r w:rsidR="74991DBE" w:rsidRPr="00B702C5">
              <w:rPr>
                <w:color w:val="auto"/>
                <w:lang w:val="en"/>
              </w:rPr>
              <w:t xml:space="preserve"> for </w:t>
            </w:r>
            <w:r w:rsidR="00B702C5" w:rsidRPr="00B702C5">
              <w:rPr>
                <w:color w:val="auto"/>
                <w:lang w:val="en"/>
              </w:rPr>
              <w:t>its g</w:t>
            </w:r>
            <w:r w:rsidR="74991DBE" w:rsidRPr="00B702C5">
              <w:rPr>
                <w:color w:val="auto"/>
                <w:lang w:val="en"/>
              </w:rPr>
              <w:t xml:space="preserve">as </w:t>
            </w:r>
            <w:r w:rsidR="00B702C5" w:rsidRPr="00B702C5">
              <w:rPr>
                <w:color w:val="auto"/>
                <w:lang w:val="en"/>
              </w:rPr>
              <w:t>operations</w:t>
            </w:r>
            <w:r w:rsidR="74991DBE" w:rsidRPr="00B702C5">
              <w:rPr>
                <w:color w:val="auto"/>
                <w:lang w:val="en"/>
              </w:rPr>
              <w:t>. PG&amp;E</w:t>
            </w:r>
            <w:r w:rsidR="6EB33851" w:rsidRPr="00B702C5">
              <w:rPr>
                <w:color w:val="auto"/>
                <w:lang w:val="en"/>
              </w:rPr>
              <w:t>’s</w:t>
            </w:r>
            <w:r w:rsidR="74991DBE" w:rsidRPr="00B702C5">
              <w:rPr>
                <w:color w:val="auto"/>
                <w:lang w:val="en"/>
              </w:rPr>
              <w:t xml:space="preserve"> </w:t>
            </w:r>
            <w:r w:rsidR="00B702C5" w:rsidRPr="00B702C5">
              <w:rPr>
                <w:color w:val="auto"/>
                <w:lang w:val="en"/>
              </w:rPr>
              <w:t>gas operations’</w:t>
            </w:r>
            <w:r w:rsidR="74991DBE" w:rsidRPr="00B702C5">
              <w:rPr>
                <w:color w:val="auto"/>
                <w:lang w:val="en"/>
              </w:rPr>
              <w:t xml:space="preserve"> costs related </w:t>
            </w:r>
            <w:r w:rsidR="00B702C5" w:rsidRPr="00B702C5">
              <w:rPr>
                <w:color w:val="auto"/>
                <w:lang w:val="en"/>
              </w:rPr>
              <w:t xml:space="preserve">to its </w:t>
            </w:r>
            <w:r w:rsidR="74991DBE" w:rsidRPr="00B702C5">
              <w:rPr>
                <w:color w:val="auto"/>
                <w:lang w:val="en"/>
              </w:rPr>
              <w:t>gas distribution</w:t>
            </w:r>
            <w:r w:rsidR="00B702C5" w:rsidRPr="00B702C5">
              <w:rPr>
                <w:color w:val="auto"/>
                <w:lang w:val="en"/>
              </w:rPr>
              <w:t>,</w:t>
            </w:r>
            <w:r w:rsidR="74991DBE" w:rsidRPr="00B702C5">
              <w:rPr>
                <w:color w:val="auto"/>
                <w:lang w:val="en"/>
              </w:rPr>
              <w:t xml:space="preserve"> gas transmission</w:t>
            </w:r>
            <w:r w:rsidR="00B702C5" w:rsidRPr="00B702C5">
              <w:rPr>
                <w:color w:val="auto"/>
                <w:lang w:val="en"/>
              </w:rPr>
              <w:t>,</w:t>
            </w:r>
            <w:r w:rsidR="74991DBE" w:rsidRPr="00B702C5">
              <w:rPr>
                <w:color w:val="auto"/>
                <w:lang w:val="en"/>
              </w:rPr>
              <w:t xml:space="preserve"> and storage sys</w:t>
            </w:r>
            <w:r w:rsidR="3BE90244" w:rsidRPr="00B702C5">
              <w:rPr>
                <w:color w:val="auto"/>
                <w:lang w:val="en"/>
              </w:rPr>
              <w:t>t</w:t>
            </w:r>
            <w:r w:rsidR="74991DBE" w:rsidRPr="00B702C5">
              <w:rPr>
                <w:color w:val="auto"/>
                <w:lang w:val="en"/>
              </w:rPr>
              <w:t>ems.</w:t>
            </w:r>
            <w:r w:rsidR="587577DA" w:rsidRPr="00B702C5">
              <w:rPr>
                <w:color w:val="auto"/>
                <w:lang w:val="en"/>
              </w:rPr>
              <w:t xml:space="preserve"> </w:t>
            </w:r>
            <w:r w:rsidR="07485AE5" w:rsidRPr="00B702C5">
              <w:rPr>
                <w:color w:val="auto"/>
                <w:lang w:val="en"/>
              </w:rPr>
              <w:t xml:space="preserve">Some of the major </w:t>
            </w:r>
            <w:r w:rsidR="00042A97" w:rsidRPr="00B702C5">
              <w:rPr>
                <w:color w:val="auto"/>
                <w:lang w:val="en"/>
              </w:rPr>
              <w:t>components of PG&amp;E’s request for gas operations</w:t>
            </w:r>
            <w:r w:rsidR="07485AE5" w:rsidRPr="00B702C5">
              <w:rPr>
                <w:color w:val="auto"/>
                <w:lang w:val="en"/>
              </w:rPr>
              <w:t xml:space="preserve"> are listed below. </w:t>
            </w:r>
            <w:r w:rsidR="587577DA" w:rsidRPr="00B702C5">
              <w:rPr>
                <w:color w:val="auto"/>
                <w:lang w:val="en"/>
              </w:rPr>
              <w:t xml:space="preserve">These </w:t>
            </w:r>
            <w:r w:rsidR="07485AE5" w:rsidRPr="00B702C5">
              <w:rPr>
                <w:color w:val="auto"/>
                <w:lang w:val="en"/>
              </w:rPr>
              <w:t>amounts</w:t>
            </w:r>
            <w:r w:rsidR="00B702C5" w:rsidRPr="00B702C5">
              <w:rPr>
                <w:color w:val="auto"/>
                <w:lang w:val="en"/>
              </w:rPr>
              <w:t xml:space="preserve"> reflect the requested revenue requirement for </w:t>
            </w:r>
            <w:r w:rsidR="587577DA" w:rsidRPr="00B702C5">
              <w:rPr>
                <w:color w:val="auto"/>
                <w:lang w:val="en"/>
              </w:rPr>
              <w:t>2023</w:t>
            </w:r>
            <w:r w:rsidR="00B702C5" w:rsidRPr="00B702C5">
              <w:rPr>
                <w:color w:val="auto"/>
                <w:lang w:val="en"/>
              </w:rPr>
              <w:t xml:space="preserve"> </w:t>
            </w:r>
            <w:r w:rsidR="00936F32">
              <w:rPr>
                <w:color w:val="auto"/>
                <w:lang w:val="en"/>
              </w:rPr>
              <w:t>but</w:t>
            </w:r>
            <w:r w:rsidR="587577DA" w:rsidRPr="00B702C5">
              <w:rPr>
                <w:color w:val="auto"/>
                <w:lang w:val="en"/>
              </w:rPr>
              <w:t xml:space="preserve"> not </w:t>
            </w:r>
            <w:r w:rsidR="00B702C5" w:rsidRPr="00B702C5">
              <w:rPr>
                <w:color w:val="auto"/>
                <w:lang w:val="en"/>
              </w:rPr>
              <w:t xml:space="preserve">the </w:t>
            </w:r>
            <w:r w:rsidR="587577DA" w:rsidRPr="00B702C5">
              <w:rPr>
                <w:color w:val="auto"/>
                <w:lang w:val="en"/>
              </w:rPr>
              <w:t>a</w:t>
            </w:r>
            <w:r w:rsidR="00B702C5" w:rsidRPr="00B702C5">
              <w:rPr>
                <w:color w:val="auto"/>
                <w:lang w:val="en"/>
              </w:rPr>
              <w:t>dditional amounts requested by PG&amp;E for 2024-2026.</w:t>
            </w:r>
          </w:p>
          <w:p w14:paraId="1657DDFE" w14:textId="77777777" w:rsidR="009227F9" w:rsidRPr="00B702C5" w:rsidRDefault="009227F9" w:rsidP="00A6147A">
            <w:pPr>
              <w:rPr>
                <w:color w:val="auto"/>
                <w:lang w:val="en"/>
              </w:rPr>
            </w:pPr>
          </w:p>
          <w:p w14:paraId="7703B505" w14:textId="4686077F" w:rsidR="0028644A" w:rsidRPr="00B702C5" w:rsidRDefault="009227F9" w:rsidP="00721683">
            <w:pPr>
              <w:pStyle w:val="ListParagraph"/>
              <w:numPr>
                <w:ilvl w:val="0"/>
                <w:numId w:val="41"/>
              </w:numPr>
              <w:rPr>
                <w:color w:val="auto"/>
                <w:lang w:val="en"/>
              </w:rPr>
            </w:pPr>
            <w:r w:rsidRPr="00B702C5">
              <w:rPr>
                <w:color w:val="auto"/>
                <w:lang w:val="en"/>
              </w:rPr>
              <w:t xml:space="preserve">Gas Distribution </w:t>
            </w:r>
            <w:r w:rsidR="00027721" w:rsidRPr="00B702C5">
              <w:rPr>
                <w:color w:val="auto"/>
                <w:lang w:val="en"/>
              </w:rPr>
              <w:t xml:space="preserve">operating </w:t>
            </w:r>
            <w:r w:rsidRPr="00B702C5">
              <w:rPr>
                <w:color w:val="auto"/>
                <w:lang w:val="en"/>
              </w:rPr>
              <w:t>expense</w:t>
            </w:r>
            <w:r w:rsidR="00027721" w:rsidRPr="00B702C5">
              <w:rPr>
                <w:color w:val="auto"/>
                <w:lang w:val="en"/>
              </w:rPr>
              <w:t>: $629.6</w:t>
            </w:r>
            <w:r w:rsidRPr="00B702C5">
              <w:rPr>
                <w:color w:val="auto"/>
                <w:lang w:val="en"/>
              </w:rPr>
              <w:t xml:space="preserve"> million</w:t>
            </w:r>
          </w:p>
          <w:p w14:paraId="4A9DD068" w14:textId="5CD04AAE" w:rsidR="0028644A" w:rsidRPr="00B702C5" w:rsidRDefault="0028644A" w:rsidP="00721683">
            <w:pPr>
              <w:pStyle w:val="ListParagraph"/>
              <w:numPr>
                <w:ilvl w:val="0"/>
                <w:numId w:val="41"/>
              </w:numPr>
              <w:rPr>
                <w:color w:val="auto"/>
                <w:lang w:val="en"/>
              </w:rPr>
            </w:pPr>
            <w:r w:rsidRPr="00B702C5">
              <w:rPr>
                <w:color w:val="auto"/>
                <w:lang w:val="en"/>
              </w:rPr>
              <w:t xml:space="preserve">Gas Transmission and Storage </w:t>
            </w:r>
            <w:r w:rsidR="00C00233" w:rsidRPr="00B702C5">
              <w:rPr>
                <w:color w:val="auto"/>
                <w:lang w:val="en"/>
              </w:rPr>
              <w:t xml:space="preserve">operating </w:t>
            </w:r>
            <w:r w:rsidRPr="00B702C5">
              <w:rPr>
                <w:color w:val="auto"/>
                <w:lang w:val="en"/>
              </w:rPr>
              <w:t>expense</w:t>
            </w:r>
            <w:r w:rsidR="001B2A99" w:rsidRPr="00B702C5">
              <w:rPr>
                <w:color w:val="auto"/>
                <w:lang w:val="en"/>
              </w:rPr>
              <w:t>:</w:t>
            </w:r>
            <w:r w:rsidRPr="00B702C5">
              <w:rPr>
                <w:color w:val="auto"/>
                <w:lang w:val="en"/>
              </w:rPr>
              <w:t xml:space="preserve"> $</w:t>
            </w:r>
            <w:r w:rsidR="001B2A99" w:rsidRPr="00B702C5">
              <w:rPr>
                <w:color w:val="auto"/>
                <w:lang w:val="en"/>
              </w:rPr>
              <w:t>787.5</w:t>
            </w:r>
            <w:r w:rsidRPr="00B702C5">
              <w:rPr>
                <w:color w:val="auto"/>
                <w:lang w:val="en"/>
              </w:rPr>
              <w:t xml:space="preserve"> million</w:t>
            </w:r>
          </w:p>
          <w:p w14:paraId="689F135F" w14:textId="0346C9A4" w:rsidR="00B34199" w:rsidRPr="00B702C5" w:rsidRDefault="001B2A99" w:rsidP="00721683">
            <w:pPr>
              <w:pStyle w:val="ListParagraph"/>
              <w:numPr>
                <w:ilvl w:val="0"/>
                <w:numId w:val="41"/>
              </w:numPr>
              <w:rPr>
                <w:color w:val="auto"/>
                <w:lang w:val="en"/>
              </w:rPr>
            </w:pPr>
            <w:r w:rsidRPr="00B702C5">
              <w:rPr>
                <w:color w:val="auto"/>
                <w:lang w:val="en"/>
              </w:rPr>
              <w:t xml:space="preserve">Customer Accounts expense: </w:t>
            </w:r>
            <w:r w:rsidR="00B34199" w:rsidRPr="00B702C5">
              <w:rPr>
                <w:color w:val="auto"/>
                <w:lang w:val="en"/>
              </w:rPr>
              <w:t>$</w:t>
            </w:r>
            <w:r w:rsidRPr="00B702C5">
              <w:rPr>
                <w:color w:val="auto"/>
                <w:lang w:val="en"/>
              </w:rPr>
              <w:t>161.3</w:t>
            </w:r>
            <w:r w:rsidR="00B34199" w:rsidRPr="00B702C5">
              <w:rPr>
                <w:color w:val="auto"/>
                <w:lang w:val="en"/>
              </w:rPr>
              <w:t xml:space="preserve"> million</w:t>
            </w:r>
          </w:p>
          <w:p w14:paraId="239742CC" w14:textId="74D1BA02" w:rsidR="001B2A99" w:rsidRPr="00B702C5" w:rsidRDefault="001B2A99" w:rsidP="00721683">
            <w:pPr>
              <w:pStyle w:val="ListParagraph"/>
              <w:numPr>
                <w:ilvl w:val="0"/>
                <w:numId w:val="41"/>
              </w:numPr>
              <w:rPr>
                <w:color w:val="auto"/>
                <w:lang w:val="en"/>
              </w:rPr>
            </w:pPr>
            <w:r w:rsidRPr="00B702C5">
              <w:rPr>
                <w:color w:val="auto"/>
                <w:lang w:val="en"/>
              </w:rPr>
              <w:t xml:space="preserve">Administrative and General </w:t>
            </w:r>
            <w:r w:rsidR="00627696">
              <w:rPr>
                <w:color w:val="auto"/>
                <w:lang w:val="en"/>
              </w:rPr>
              <w:t>e</w:t>
            </w:r>
            <w:r w:rsidRPr="00B702C5">
              <w:rPr>
                <w:color w:val="auto"/>
                <w:lang w:val="en"/>
              </w:rPr>
              <w:t>xpense: $523.1 million</w:t>
            </w:r>
          </w:p>
          <w:p w14:paraId="7B2F5FA3" w14:textId="2CD9C84D" w:rsidR="001A0752" w:rsidRPr="00B702C5" w:rsidRDefault="001B2A99" w:rsidP="00721683">
            <w:pPr>
              <w:pStyle w:val="ListParagraph"/>
              <w:numPr>
                <w:ilvl w:val="0"/>
                <w:numId w:val="41"/>
              </w:numPr>
              <w:rPr>
                <w:color w:val="auto"/>
                <w:lang w:val="en"/>
              </w:rPr>
            </w:pPr>
            <w:r w:rsidRPr="00B702C5">
              <w:rPr>
                <w:color w:val="auto"/>
                <w:lang w:val="en"/>
              </w:rPr>
              <w:t xml:space="preserve">Depreciation </w:t>
            </w:r>
            <w:r w:rsidR="00627696">
              <w:rPr>
                <w:color w:val="auto"/>
                <w:lang w:val="en"/>
              </w:rPr>
              <w:t>e</w:t>
            </w:r>
            <w:r w:rsidRPr="00B702C5">
              <w:rPr>
                <w:color w:val="auto"/>
                <w:lang w:val="en"/>
              </w:rPr>
              <w:t>xpense:</w:t>
            </w:r>
            <w:r w:rsidR="00423F1D" w:rsidRPr="00B702C5">
              <w:rPr>
                <w:color w:val="auto"/>
                <w:lang w:val="en"/>
              </w:rPr>
              <w:t xml:space="preserve"> </w:t>
            </w:r>
            <w:r w:rsidR="0028644A" w:rsidRPr="00B702C5">
              <w:rPr>
                <w:color w:val="auto"/>
                <w:lang w:val="en"/>
              </w:rPr>
              <w:t xml:space="preserve"> </w:t>
            </w:r>
            <w:r w:rsidRPr="00B702C5">
              <w:rPr>
                <w:color w:val="auto"/>
                <w:lang w:val="en"/>
              </w:rPr>
              <w:t>$1</w:t>
            </w:r>
            <w:r w:rsidR="00DA3DB9">
              <w:rPr>
                <w:color w:val="auto"/>
                <w:lang w:val="en"/>
              </w:rPr>
              <w:t>.</w:t>
            </w:r>
            <w:r w:rsidRPr="00B702C5">
              <w:rPr>
                <w:color w:val="auto"/>
                <w:lang w:val="en"/>
              </w:rPr>
              <w:t>063</w:t>
            </w:r>
            <w:r w:rsidR="00DA3DB9">
              <w:rPr>
                <w:color w:val="auto"/>
                <w:lang w:val="en"/>
              </w:rPr>
              <w:t xml:space="preserve"> billion</w:t>
            </w:r>
          </w:p>
          <w:p w14:paraId="7315DBF9" w14:textId="77777777" w:rsidR="00ED589B" w:rsidRDefault="001B2A99" w:rsidP="00ED589B">
            <w:pPr>
              <w:pStyle w:val="ListParagraph"/>
              <w:numPr>
                <w:ilvl w:val="0"/>
                <w:numId w:val="41"/>
              </w:numPr>
              <w:rPr>
                <w:color w:val="auto"/>
                <w:lang w:val="en"/>
              </w:rPr>
            </w:pPr>
            <w:r w:rsidRPr="00B702C5">
              <w:rPr>
                <w:color w:val="auto"/>
                <w:lang w:val="en"/>
              </w:rPr>
              <w:lastRenderedPageBreak/>
              <w:t>Taxes: $410.7 million</w:t>
            </w:r>
          </w:p>
          <w:p w14:paraId="7F7B0DE5" w14:textId="17B45046" w:rsidR="002F3F3E" w:rsidRPr="00ED589B" w:rsidRDefault="002F3F3E" w:rsidP="00ED589B">
            <w:pPr>
              <w:pStyle w:val="ListParagraph"/>
              <w:numPr>
                <w:ilvl w:val="0"/>
                <w:numId w:val="41"/>
              </w:numPr>
              <w:rPr>
                <w:color w:val="auto"/>
                <w:lang w:val="en"/>
              </w:rPr>
            </w:pPr>
            <w:r w:rsidRPr="00ED589B">
              <w:rPr>
                <w:color w:val="auto"/>
                <w:lang w:val="en"/>
              </w:rPr>
              <w:t>2023 capital expenditure forecast is $2.3 billion, a</w:t>
            </w:r>
            <w:r w:rsidR="00394993">
              <w:rPr>
                <w:color w:val="auto"/>
                <w:lang w:val="en"/>
              </w:rPr>
              <w:t xml:space="preserve"> </w:t>
            </w:r>
            <w:r w:rsidRPr="00ED589B">
              <w:rPr>
                <w:color w:val="auto"/>
                <w:lang w:val="en"/>
              </w:rPr>
              <w:t>$571 million</w:t>
            </w:r>
            <w:r w:rsidR="00394993">
              <w:rPr>
                <w:color w:val="auto"/>
                <w:lang w:val="en"/>
              </w:rPr>
              <w:t xml:space="preserve"> increase</w:t>
            </w:r>
            <w:r w:rsidRPr="00ED589B">
              <w:rPr>
                <w:color w:val="auto"/>
                <w:lang w:val="en"/>
              </w:rPr>
              <w:t xml:space="preserve"> over</w:t>
            </w:r>
            <w:r w:rsidR="00B125E7" w:rsidRPr="00ED589B">
              <w:rPr>
                <w:color w:val="auto"/>
                <w:lang w:val="en"/>
              </w:rPr>
              <w:t xml:space="preserve"> 2020 </w:t>
            </w:r>
            <w:r w:rsidRPr="00ED589B">
              <w:rPr>
                <w:color w:val="auto"/>
                <w:lang w:val="en"/>
              </w:rPr>
              <w:t>recorded capital.</w:t>
            </w:r>
            <w:r w:rsidR="00B125E7">
              <w:rPr>
                <w:rStyle w:val="FootnoteReference"/>
                <w:color w:val="auto"/>
                <w:lang w:val="en"/>
              </w:rPr>
              <w:footnoteReference w:id="10"/>
            </w:r>
          </w:p>
          <w:p w14:paraId="46FB65BA" w14:textId="15E6E871" w:rsidR="00F3221B" w:rsidRDefault="553B0959" w:rsidP="001A0752">
            <w:pPr>
              <w:pStyle w:val="ListParagraph"/>
              <w:numPr>
                <w:ilvl w:val="0"/>
                <w:numId w:val="41"/>
              </w:numPr>
              <w:rPr>
                <w:color w:val="auto"/>
                <w:lang w:val="en"/>
              </w:rPr>
            </w:pPr>
            <w:r w:rsidRPr="00B702C5">
              <w:rPr>
                <w:color w:val="auto"/>
                <w:lang w:val="en"/>
              </w:rPr>
              <w:t xml:space="preserve">Return: </w:t>
            </w:r>
            <w:r w:rsidR="29C8EEC3" w:rsidRPr="00B702C5">
              <w:rPr>
                <w:color w:val="auto"/>
                <w:lang w:val="en"/>
              </w:rPr>
              <w:t>$1</w:t>
            </w:r>
            <w:r w:rsidR="00DA3DB9">
              <w:rPr>
                <w:color w:val="auto"/>
                <w:lang w:val="en"/>
              </w:rPr>
              <w:t>.</w:t>
            </w:r>
            <w:r w:rsidR="29C8EEC3" w:rsidRPr="00B702C5">
              <w:rPr>
                <w:color w:val="auto"/>
                <w:lang w:val="en"/>
              </w:rPr>
              <w:t>37</w:t>
            </w:r>
            <w:r w:rsidR="00042A97" w:rsidRPr="00B702C5">
              <w:rPr>
                <w:color w:val="auto"/>
                <w:lang w:val="en"/>
              </w:rPr>
              <w:t>3</w:t>
            </w:r>
            <w:r w:rsidR="29C8EEC3" w:rsidRPr="00B702C5">
              <w:rPr>
                <w:color w:val="auto"/>
                <w:lang w:val="en"/>
              </w:rPr>
              <w:t xml:space="preserve"> </w:t>
            </w:r>
            <w:r w:rsidR="00DA3DB9">
              <w:rPr>
                <w:color w:val="auto"/>
                <w:lang w:val="en"/>
              </w:rPr>
              <w:t>billion</w:t>
            </w:r>
          </w:p>
          <w:p w14:paraId="77107EF4" w14:textId="77777777" w:rsidR="008E1413" w:rsidRDefault="008E1413" w:rsidP="008E1413">
            <w:pPr>
              <w:rPr>
                <w:color w:val="auto"/>
                <w:lang w:val="en"/>
              </w:rPr>
            </w:pPr>
          </w:p>
          <w:p w14:paraId="574D9D05" w14:textId="17FEBA1A" w:rsidR="002203A6" w:rsidRPr="002203A6" w:rsidRDefault="00540806" w:rsidP="002203A6">
            <w:pPr>
              <w:rPr>
                <w:color w:val="auto"/>
              </w:rPr>
            </w:pPr>
            <w:r w:rsidRPr="00540806">
              <w:rPr>
                <w:color w:val="auto"/>
              </w:rPr>
              <w:t>The key drivers for th</w:t>
            </w:r>
            <w:r w:rsidR="00950D11">
              <w:rPr>
                <w:color w:val="auto"/>
              </w:rPr>
              <w:t>e</w:t>
            </w:r>
            <w:r w:rsidRPr="00540806">
              <w:rPr>
                <w:color w:val="auto"/>
              </w:rPr>
              <w:t xml:space="preserve"> increase</w:t>
            </w:r>
            <w:r>
              <w:rPr>
                <w:color w:val="auto"/>
              </w:rPr>
              <w:t xml:space="preserve"> in </w:t>
            </w:r>
            <w:r w:rsidR="00950D11">
              <w:rPr>
                <w:color w:val="auto"/>
              </w:rPr>
              <w:t xml:space="preserve">gas </w:t>
            </w:r>
            <w:r>
              <w:rPr>
                <w:color w:val="auto"/>
              </w:rPr>
              <w:t>expenses</w:t>
            </w:r>
            <w:r w:rsidR="0011778F">
              <w:rPr>
                <w:color w:val="auto"/>
              </w:rPr>
              <w:t xml:space="preserve"> </w:t>
            </w:r>
            <w:r w:rsidRPr="00540806">
              <w:rPr>
                <w:color w:val="auto"/>
              </w:rPr>
              <w:t>are in the program areas of In-line Inspection, Direct Assessment, and Strength Testing.</w:t>
            </w:r>
            <w:r>
              <w:rPr>
                <w:rStyle w:val="FootnoteReference"/>
                <w:color w:val="auto"/>
              </w:rPr>
              <w:footnoteReference w:id="11"/>
            </w:r>
            <w:r w:rsidR="00C40330">
              <w:rPr>
                <w:color w:val="auto"/>
              </w:rPr>
              <w:t xml:space="preserve"> </w:t>
            </w:r>
            <w:r w:rsidR="00C40330" w:rsidRPr="00C40330">
              <w:rPr>
                <w:color w:val="auto"/>
              </w:rPr>
              <w:t>The key driver</w:t>
            </w:r>
            <w:r w:rsidR="000E16F4">
              <w:rPr>
                <w:color w:val="auto"/>
              </w:rPr>
              <w:t>s</w:t>
            </w:r>
            <w:r w:rsidR="00C40330" w:rsidRPr="00C40330">
              <w:rPr>
                <w:color w:val="auto"/>
              </w:rPr>
              <w:t xml:space="preserve"> of th</w:t>
            </w:r>
            <w:r w:rsidR="000E16F4">
              <w:rPr>
                <w:color w:val="auto"/>
              </w:rPr>
              <w:t>e</w:t>
            </w:r>
            <w:r w:rsidR="00C40330" w:rsidRPr="00C40330">
              <w:rPr>
                <w:color w:val="auto"/>
              </w:rPr>
              <w:t xml:space="preserve"> increase i</w:t>
            </w:r>
            <w:r w:rsidR="000E16F4">
              <w:rPr>
                <w:color w:val="auto"/>
              </w:rPr>
              <w:t>n</w:t>
            </w:r>
            <w:r w:rsidR="00DA3DB9">
              <w:rPr>
                <w:color w:val="auto"/>
              </w:rPr>
              <w:t xml:space="preserve"> gas</w:t>
            </w:r>
            <w:r w:rsidR="00C40330">
              <w:rPr>
                <w:color w:val="auto"/>
              </w:rPr>
              <w:t xml:space="preserve"> capital</w:t>
            </w:r>
            <w:r w:rsidR="00C40330" w:rsidRPr="00C40330">
              <w:rPr>
                <w:color w:val="auto"/>
              </w:rPr>
              <w:t xml:space="preserve"> </w:t>
            </w:r>
            <w:r w:rsidR="000E16F4">
              <w:rPr>
                <w:color w:val="auto"/>
              </w:rPr>
              <w:t>are in</w:t>
            </w:r>
            <w:r w:rsidR="00C40330" w:rsidRPr="00C40330">
              <w:rPr>
                <w:color w:val="auto"/>
              </w:rPr>
              <w:t xml:space="preserve"> the program area</w:t>
            </w:r>
            <w:r w:rsidR="000E16F4">
              <w:rPr>
                <w:color w:val="auto"/>
              </w:rPr>
              <w:t>s</w:t>
            </w:r>
            <w:r w:rsidR="00C40330" w:rsidRPr="00C40330">
              <w:rPr>
                <w:color w:val="auto"/>
              </w:rPr>
              <w:t xml:space="preserve"> of Main Replacement</w:t>
            </w:r>
            <w:r w:rsidR="000E16F4">
              <w:rPr>
                <w:color w:val="auto"/>
              </w:rPr>
              <w:t xml:space="preserve">, </w:t>
            </w:r>
            <w:r w:rsidR="00CC1E20" w:rsidRPr="00CC1E20">
              <w:rPr>
                <w:color w:val="auto"/>
              </w:rPr>
              <w:t>Strength Test Capital, Shallow and Exposed Pipe, and GT Station Over Pressure Protection</w:t>
            </w:r>
            <w:r w:rsidR="000E16F4">
              <w:rPr>
                <w:color w:val="auto"/>
              </w:rPr>
              <w:t xml:space="preserve"> </w:t>
            </w:r>
            <w:r w:rsidR="00CC1E20" w:rsidRPr="00CC1E20">
              <w:rPr>
                <w:color w:val="auto"/>
              </w:rPr>
              <w:t>Enhancements.</w:t>
            </w:r>
            <w:r w:rsidR="00CC1E20">
              <w:rPr>
                <w:rStyle w:val="FootnoteReference"/>
                <w:color w:val="auto"/>
              </w:rPr>
              <w:footnoteReference w:id="12"/>
            </w:r>
            <w:r w:rsidR="002203A6" w:rsidRPr="002203A6">
              <w:rPr>
                <w:rFonts w:eastAsia="Times New Roman"/>
                <w:color w:val="auto"/>
              </w:rPr>
              <w:t xml:space="preserve"> </w:t>
            </w:r>
            <w:r w:rsidR="002203A6" w:rsidRPr="002203A6">
              <w:rPr>
                <w:color w:val="auto"/>
              </w:rPr>
              <w:t xml:space="preserve">These amounts do not reflect the September 6, </w:t>
            </w:r>
            <w:proofErr w:type="gramStart"/>
            <w:r w:rsidR="002203A6" w:rsidRPr="002203A6">
              <w:rPr>
                <w:color w:val="auto"/>
              </w:rPr>
              <w:t>2022</w:t>
            </w:r>
            <w:proofErr w:type="gramEnd"/>
            <w:r w:rsidR="002203A6" w:rsidRPr="002203A6">
              <w:rPr>
                <w:color w:val="auto"/>
              </w:rPr>
              <w:t xml:space="preserve"> escalation rates.</w:t>
            </w:r>
          </w:p>
          <w:p w14:paraId="7AE0A872" w14:textId="578DA55A" w:rsidR="008E1413" w:rsidRPr="008E1413" w:rsidRDefault="008E1413" w:rsidP="008E1413">
            <w:pPr>
              <w:rPr>
                <w:color w:val="auto"/>
                <w:lang w:val="en"/>
              </w:rPr>
            </w:pPr>
          </w:p>
          <w:p w14:paraId="5A972EE8" w14:textId="77777777" w:rsidR="00F75700" w:rsidRPr="00515F40" w:rsidRDefault="00F75700" w:rsidP="00F3221B">
            <w:pPr>
              <w:ind w:left="158"/>
              <w:rPr>
                <w:color w:val="auto"/>
                <w:sz w:val="14"/>
                <w:szCs w:val="14"/>
                <w:highlight w:val="yellow"/>
                <w:lang w:val="en"/>
              </w:rPr>
            </w:pPr>
          </w:p>
          <w:p w14:paraId="5ABFD4A9" w14:textId="32C76409" w:rsidR="00F3221B" w:rsidRPr="0008625A" w:rsidRDefault="00F3221B" w:rsidP="00F3221B">
            <w:pPr>
              <w:pBdr>
                <w:top w:val="single" w:sz="8" w:space="1" w:color="ECF2F8" w:themeColor="accent1" w:themeTint="33"/>
                <w:bottom w:val="single" w:sz="8" w:space="1" w:color="ECF2F8" w:themeColor="accent1" w:themeTint="33"/>
              </w:pBdr>
              <w:shd w:val="clear" w:color="auto" w:fill="DAE5F1" w:themeFill="accent1" w:themeFillTint="66"/>
              <w:rPr>
                <w:b/>
                <w:color w:val="auto"/>
                <w:sz w:val="26"/>
                <w:szCs w:val="26"/>
                <w:lang w:val="en"/>
              </w:rPr>
            </w:pPr>
            <w:r w:rsidRPr="0008625A">
              <w:rPr>
                <w:b/>
                <w:sz w:val="26"/>
                <w:szCs w:val="26"/>
              </w:rPr>
              <w:t xml:space="preserve">  </w:t>
            </w:r>
            <w:r w:rsidRPr="0008625A">
              <w:rPr>
                <w:b/>
                <w:iCs/>
                <w:color w:val="auto"/>
                <w:sz w:val="26"/>
                <w:szCs w:val="26"/>
                <w:lang w:val="en"/>
              </w:rPr>
              <w:t xml:space="preserve">How Can My </w:t>
            </w:r>
            <w:r w:rsidR="0D04E6F3" w:rsidRPr="0AE025ED">
              <w:rPr>
                <w:b/>
                <w:bCs/>
                <w:color w:val="auto"/>
                <w:sz w:val="26"/>
                <w:szCs w:val="26"/>
                <w:lang w:val="en"/>
              </w:rPr>
              <w:t>Opinion</w:t>
            </w:r>
            <w:r w:rsidRPr="0008625A">
              <w:rPr>
                <w:b/>
                <w:iCs/>
                <w:color w:val="auto"/>
                <w:sz w:val="26"/>
                <w:szCs w:val="26"/>
                <w:lang w:val="en"/>
              </w:rPr>
              <w:t xml:space="preserve"> </w:t>
            </w:r>
            <w:r w:rsidR="0079037A">
              <w:rPr>
                <w:b/>
                <w:iCs/>
                <w:color w:val="auto"/>
                <w:sz w:val="26"/>
                <w:szCs w:val="26"/>
                <w:lang w:val="en"/>
              </w:rPr>
              <w:t xml:space="preserve">Be </w:t>
            </w:r>
            <w:r w:rsidRPr="0008625A">
              <w:rPr>
                <w:b/>
                <w:iCs/>
                <w:color w:val="auto"/>
                <w:sz w:val="26"/>
                <w:szCs w:val="26"/>
                <w:lang w:val="en"/>
              </w:rPr>
              <w:t>Heard?</w:t>
            </w:r>
          </w:p>
          <w:p w14:paraId="0179BA09" w14:textId="7EBCFD45" w:rsidR="00AE2D54" w:rsidRPr="0008625A" w:rsidRDefault="00AE2D54" w:rsidP="00AE2D54">
            <w:pPr>
              <w:ind w:left="720"/>
              <w:rPr>
                <w:color w:val="auto"/>
                <w:sz w:val="14"/>
                <w:szCs w:val="14"/>
                <w:lang w:val="en"/>
              </w:rPr>
            </w:pPr>
          </w:p>
          <w:p w14:paraId="18540D65" w14:textId="10AD7DE0" w:rsidR="00F15D84" w:rsidRPr="00F15D84" w:rsidRDefault="00F15D84" w:rsidP="009A62BC">
            <w:pPr>
              <w:ind w:left="360"/>
              <w:rPr>
                <w:color w:val="auto"/>
                <w:lang w:val="en"/>
              </w:rPr>
            </w:pPr>
            <w:r w:rsidRPr="00F15D84">
              <w:rPr>
                <w:color w:val="auto"/>
                <w:lang w:val="en"/>
              </w:rPr>
              <w:t>The CPUC Public Advisor’s Office</w:t>
            </w:r>
            <w:r w:rsidR="00010C7D">
              <w:rPr>
                <w:color w:val="auto"/>
                <w:lang w:val="en"/>
              </w:rPr>
              <w:t xml:space="preserve"> </w:t>
            </w:r>
            <w:hyperlink r:id="rId12" w:history="1">
              <w:r w:rsidR="00010C7D" w:rsidRPr="00010C7D">
                <w:rPr>
                  <w:rStyle w:val="Hyperlink"/>
                  <w:lang w:val="en"/>
                </w:rPr>
                <w:t>https://www.cpuc.ca.gov/pao/</w:t>
              </w:r>
            </w:hyperlink>
            <w:r w:rsidRPr="00F15D84">
              <w:rPr>
                <w:color w:val="auto"/>
                <w:lang w:val="en"/>
              </w:rPr>
              <w:t xml:space="preserve"> provides information to </w:t>
            </w:r>
            <w:r w:rsidR="00020547">
              <w:rPr>
                <w:color w:val="auto"/>
                <w:lang w:val="en"/>
              </w:rPr>
              <w:t>assist</w:t>
            </w:r>
            <w:r w:rsidRPr="00F15D84">
              <w:rPr>
                <w:color w:val="auto"/>
                <w:lang w:val="en"/>
              </w:rPr>
              <w:t xml:space="preserve"> the public </w:t>
            </w:r>
            <w:r w:rsidR="00020547">
              <w:rPr>
                <w:color w:val="auto"/>
                <w:lang w:val="en"/>
              </w:rPr>
              <w:t xml:space="preserve">to </w:t>
            </w:r>
            <w:r w:rsidRPr="00F15D84">
              <w:rPr>
                <w:color w:val="auto"/>
                <w:lang w:val="en"/>
              </w:rPr>
              <w:t>participate in proceedings.</w:t>
            </w:r>
            <w:r w:rsidR="00360F9C">
              <w:rPr>
                <w:color w:val="auto"/>
                <w:lang w:val="en"/>
              </w:rPr>
              <w:t xml:space="preserve"> </w:t>
            </w:r>
            <w:r w:rsidRPr="00F15D84">
              <w:rPr>
                <w:color w:val="auto"/>
                <w:lang w:val="en"/>
              </w:rPr>
              <w:t>Specifically:</w:t>
            </w:r>
          </w:p>
          <w:p w14:paraId="74E0C45F" w14:textId="338C5258" w:rsidR="00F15D84" w:rsidRPr="00B551DD" w:rsidRDefault="00B62844" w:rsidP="009A62BC">
            <w:pPr>
              <w:pStyle w:val="ListParagraph"/>
              <w:numPr>
                <w:ilvl w:val="0"/>
                <w:numId w:val="41"/>
              </w:numPr>
              <w:rPr>
                <w:color w:val="auto"/>
                <w:lang w:val="en"/>
              </w:rPr>
            </w:pPr>
            <w:r>
              <w:rPr>
                <w:color w:val="auto"/>
                <w:lang w:val="en"/>
              </w:rPr>
              <w:t xml:space="preserve">The CPUC held six </w:t>
            </w:r>
            <w:r w:rsidR="42259FBB" w:rsidRPr="15007A1D">
              <w:rPr>
                <w:color w:val="auto"/>
                <w:lang w:val="en"/>
              </w:rPr>
              <w:t>remote Public Participation Hearing</w:t>
            </w:r>
            <w:r w:rsidR="5335F194" w:rsidRPr="15007A1D">
              <w:rPr>
                <w:color w:val="auto"/>
                <w:lang w:val="en"/>
              </w:rPr>
              <w:t>s</w:t>
            </w:r>
            <w:r w:rsidR="42259FBB" w:rsidRPr="15007A1D">
              <w:rPr>
                <w:color w:val="auto"/>
                <w:lang w:val="en"/>
              </w:rPr>
              <w:t xml:space="preserve"> (PPH</w:t>
            </w:r>
            <w:r w:rsidR="5335F194" w:rsidRPr="15007A1D">
              <w:rPr>
                <w:color w:val="auto"/>
                <w:lang w:val="en"/>
              </w:rPr>
              <w:t>s</w:t>
            </w:r>
            <w:r w:rsidR="42259FBB" w:rsidRPr="15007A1D">
              <w:rPr>
                <w:color w:val="auto"/>
                <w:lang w:val="en"/>
              </w:rPr>
              <w:t xml:space="preserve">) </w:t>
            </w:r>
            <w:r w:rsidR="00FF177F">
              <w:rPr>
                <w:color w:val="auto"/>
                <w:lang w:val="en"/>
              </w:rPr>
              <w:t>in</w:t>
            </w:r>
            <w:r w:rsidR="00020547">
              <w:rPr>
                <w:color w:val="auto"/>
                <w:lang w:val="en"/>
              </w:rPr>
              <w:t xml:space="preserve"> </w:t>
            </w:r>
            <w:r w:rsidR="42259FBB" w:rsidRPr="15007A1D">
              <w:rPr>
                <w:color w:val="auto"/>
                <w:lang w:val="en"/>
              </w:rPr>
              <w:t xml:space="preserve">March </w:t>
            </w:r>
            <w:r w:rsidR="5335F194" w:rsidRPr="15007A1D">
              <w:rPr>
                <w:color w:val="auto"/>
                <w:lang w:val="en"/>
              </w:rPr>
              <w:t>2022</w:t>
            </w:r>
            <w:r w:rsidR="42259FBB" w:rsidRPr="15007A1D">
              <w:rPr>
                <w:color w:val="auto"/>
                <w:lang w:val="en"/>
              </w:rPr>
              <w:t xml:space="preserve">. These hearings </w:t>
            </w:r>
            <w:r w:rsidR="00226FDD">
              <w:rPr>
                <w:color w:val="auto"/>
                <w:lang w:val="en"/>
              </w:rPr>
              <w:t>were</w:t>
            </w:r>
            <w:r w:rsidR="00226FDD" w:rsidRPr="15007A1D">
              <w:rPr>
                <w:color w:val="auto"/>
                <w:lang w:val="en"/>
              </w:rPr>
              <w:t xml:space="preserve"> </w:t>
            </w:r>
            <w:r w:rsidR="42259FBB" w:rsidRPr="15007A1D">
              <w:rPr>
                <w:color w:val="auto"/>
                <w:lang w:val="en"/>
              </w:rPr>
              <w:t xml:space="preserve">transcribed by a court reporter and placed into the formal record for this proceeding.  </w:t>
            </w:r>
            <w:r w:rsidR="00226FDD">
              <w:rPr>
                <w:color w:val="auto"/>
                <w:lang w:val="en"/>
              </w:rPr>
              <w:t>Additional information is available</w:t>
            </w:r>
            <w:r w:rsidR="42259FBB" w:rsidRPr="15007A1D">
              <w:rPr>
                <w:color w:val="auto"/>
                <w:lang w:val="en"/>
              </w:rPr>
              <w:t xml:space="preserve"> at </w:t>
            </w:r>
            <w:hyperlink r:id="rId13" w:anchor=":~:text=CPUC%20Public%20Participation%20Hearings%20The%20CPUC%20often%20holds,other%20events%2C%20please%20contact%20the%20CPUC%27s%20Public%20Advisor.">
              <w:r w:rsidR="297A77FA" w:rsidRPr="15007A1D">
                <w:rPr>
                  <w:rStyle w:val="Hyperlink"/>
                </w:rPr>
                <w:t>CPUC Public Participation Hearings (ca.gov)</w:t>
              </w:r>
            </w:hyperlink>
            <w:r w:rsidR="297A77FA">
              <w:t>.</w:t>
            </w:r>
          </w:p>
          <w:p w14:paraId="6D658DC8" w14:textId="45A90F00" w:rsidR="00F15D84" w:rsidRPr="00B551DD" w:rsidRDefault="42259FBB" w:rsidP="00721683">
            <w:pPr>
              <w:pStyle w:val="ListParagraph"/>
              <w:numPr>
                <w:ilvl w:val="0"/>
                <w:numId w:val="41"/>
              </w:numPr>
              <w:rPr>
                <w:color w:val="auto"/>
                <w:lang w:val="en"/>
              </w:rPr>
            </w:pPr>
            <w:r w:rsidRPr="15007A1D">
              <w:rPr>
                <w:color w:val="auto"/>
                <w:lang w:val="en"/>
              </w:rPr>
              <w:t xml:space="preserve">Customers can submit electronic public comments specific to this proceeding and review all other public comments submitted by using the “Add Public Comment” button on the Public Comment tab of the Docket for A.21-06-021 at: </w:t>
            </w:r>
            <w:hyperlink r:id="rId14">
              <w:r w:rsidR="4302987C" w:rsidRPr="15007A1D">
                <w:rPr>
                  <w:rStyle w:val="Hyperlink"/>
                  <w:lang w:val="en"/>
                </w:rPr>
                <w:t>CPUC-Public Comments</w:t>
              </w:r>
            </w:hyperlink>
            <w:r w:rsidR="4302987C" w:rsidRPr="15007A1D">
              <w:rPr>
                <w:color w:val="auto"/>
                <w:lang w:val="en"/>
              </w:rPr>
              <w:t>.</w:t>
            </w:r>
            <w:r w:rsidRPr="15007A1D">
              <w:rPr>
                <w:color w:val="auto"/>
                <w:lang w:val="en"/>
              </w:rPr>
              <w:t xml:space="preserve"> </w:t>
            </w:r>
          </w:p>
          <w:p w14:paraId="13AD7397" w14:textId="77777777" w:rsidR="00287BE5" w:rsidRDefault="00F15D84" w:rsidP="009A62BC">
            <w:pPr>
              <w:pStyle w:val="ListParagraph"/>
              <w:numPr>
                <w:ilvl w:val="0"/>
                <w:numId w:val="41"/>
              </w:numPr>
              <w:rPr>
                <w:color w:val="auto"/>
                <w:lang w:val="en"/>
              </w:rPr>
            </w:pPr>
            <w:r w:rsidRPr="009A62BC">
              <w:rPr>
                <w:color w:val="auto"/>
                <w:lang w:val="en"/>
              </w:rPr>
              <w:t>Customers can mail a letter to the CPUC</w:t>
            </w:r>
            <w:r w:rsidR="0046305B">
              <w:rPr>
                <w:color w:val="auto"/>
                <w:lang w:val="en"/>
              </w:rPr>
              <w:t xml:space="preserve"> </w:t>
            </w:r>
            <w:r w:rsidRPr="009A62BC">
              <w:rPr>
                <w:color w:val="auto"/>
                <w:lang w:val="en"/>
              </w:rPr>
              <w:t xml:space="preserve">Public Advisor and include this proceeding number, A.21-06-021, </w:t>
            </w:r>
            <w:r w:rsidRPr="00D77FDA">
              <w:rPr>
                <w:color w:val="auto"/>
                <w:lang w:val="en"/>
              </w:rPr>
              <w:t>to public.advisor@cpuc.ca.gov or CPUC</w:t>
            </w:r>
            <w:r w:rsidRPr="009A62BC">
              <w:rPr>
                <w:color w:val="auto"/>
                <w:lang w:val="en"/>
              </w:rPr>
              <w:t xml:space="preserve">, Public Advisor, 505 Van Ness Ave., San Francisco, CA 94102. </w:t>
            </w:r>
          </w:p>
          <w:p w14:paraId="62AFF917" w14:textId="731B6964" w:rsidR="00F15D84" w:rsidRPr="009A62BC" w:rsidRDefault="00287BE5" w:rsidP="009A62BC">
            <w:pPr>
              <w:pStyle w:val="ListParagraph"/>
              <w:numPr>
                <w:ilvl w:val="0"/>
                <w:numId w:val="41"/>
              </w:numPr>
              <w:rPr>
                <w:color w:val="auto"/>
                <w:lang w:val="en"/>
              </w:rPr>
            </w:pPr>
            <w:r>
              <w:rPr>
                <w:color w:val="auto"/>
                <w:lang w:val="en"/>
              </w:rPr>
              <w:t xml:space="preserve">The </w:t>
            </w:r>
            <w:r w:rsidR="0064507D">
              <w:rPr>
                <w:color w:val="auto"/>
                <w:lang w:val="en"/>
              </w:rPr>
              <w:t xml:space="preserve">CPUC </w:t>
            </w:r>
            <w:r>
              <w:rPr>
                <w:color w:val="auto"/>
                <w:lang w:val="en"/>
              </w:rPr>
              <w:t>Public Advisor’s Office may be reached by phone at 866-849-8390.</w:t>
            </w:r>
            <w:r w:rsidR="00F15D84" w:rsidRPr="009A62BC">
              <w:rPr>
                <w:color w:val="auto"/>
                <w:lang w:val="en"/>
              </w:rPr>
              <w:t xml:space="preserve"> </w:t>
            </w:r>
          </w:p>
          <w:p w14:paraId="195FEECE" w14:textId="057B5BF6" w:rsidR="006167D1" w:rsidRPr="00515F40" w:rsidRDefault="006167D1" w:rsidP="009A62BC">
            <w:pPr>
              <w:ind w:left="720"/>
              <w:rPr>
                <w:color w:val="auto"/>
                <w:sz w:val="14"/>
                <w:szCs w:val="14"/>
                <w:highlight w:val="yellow"/>
                <w:lang w:val="en"/>
              </w:rPr>
            </w:pPr>
          </w:p>
        </w:tc>
      </w:tr>
    </w:tbl>
    <w:p w14:paraId="45182908" w14:textId="667149DE" w:rsidR="008C3A16" w:rsidRDefault="008C3A16" w:rsidP="00A51190">
      <w:pPr>
        <w:rPr>
          <w:color w:val="auto"/>
          <w:sz w:val="26"/>
          <w:szCs w:val="26"/>
        </w:rPr>
      </w:pPr>
    </w:p>
    <w:p w14:paraId="182F0798" w14:textId="38120D70" w:rsidR="00F02D93" w:rsidRPr="003008EA" w:rsidRDefault="00972D63" w:rsidP="003008EA">
      <w:pPr>
        <w:pBdr>
          <w:top w:val="single" w:sz="8" w:space="1" w:color="ECF2F8" w:themeColor="accent1" w:themeTint="33"/>
          <w:bottom w:val="single" w:sz="8" w:space="1" w:color="ECF2F8" w:themeColor="accent1" w:themeTint="33"/>
        </w:pBdr>
        <w:shd w:val="clear" w:color="auto" w:fill="DAE5F1" w:themeFill="accent1" w:themeFillTint="66"/>
        <w:rPr>
          <w:rFonts w:eastAsiaTheme="minorEastAsia"/>
          <w:b/>
          <w:color w:val="auto"/>
          <w:sz w:val="26"/>
          <w:szCs w:val="26"/>
        </w:rPr>
      </w:pPr>
      <w:r w:rsidRPr="0AE025ED">
        <w:rPr>
          <w:rFonts w:eastAsiaTheme="minorEastAsia"/>
          <w:b/>
          <w:color w:val="auto"/>
          <w:sz w:val="26"/>
          <w:szCs w:val="26"/>
        </w:rPr>
        <w:t xml:space="preserve">Further Information on </w:t>
      </w:r>
      <w:r w:rsidR="00596DB5" w:rsidRPr="0AE025ED">
        <w:rPr>
          <w:rFonts w:eastAsiaTheme="minorEastAsia"/>
          <w:b/>
          <w:color w:val="auto"/>
          <w:sz w:val="26"/>
          <w:szCs w:val="26"/>
        </w:rPr>
        <w:t xml:space="preserve">GRC </w:t>
      </w:r>
      <w:r w:rsidRPr="0AE025ED">
        <w:rPr>
          <w:rFonts w:eastAsiaTheme="minorEastAsia"/>
          <w:b/>
          <w:color w:val="auto"/>
          <w:sz w:val="26"/>
          <w:szCs w:val="26"/>
        </w:rPr>
        <w:t>Proceeding</w:t>
      </w:r>
      <w:r w:rsidR="00596DB5" w:rsidRPr="0AE025ED">
        <w:rPr>
          <w:rFonts w:eastAsiaTheme="minorEastAsia"/>
          <w:b/>
          <w:color w:val="auto"/>
          <w:sz w:val="26"/>
          <w:szCs w:val="26"/>
        </w:rPr>
        <w:t xml:space="preserve"> and Related Proceedings</w:t>
      </w:r>
      <w:r w:rsidRPr="0AE025ED">
        <w:rPr>
          <w:rFonts w:eastAsiaTheme="minorEastAsia"/>
          <w:b/>
          <w:color w:val="auto"/>
          <w:sz w:val="26"/>
          <w:szCs w:val="26"/>
        </w:rPr>
        <w:t>:</w:t>
      </w:r>
    </w:p>
    <w:p w14:paraId="6F42425C" w14:textId="5FD58ACB" w:rsidR="00B378B1" w:rsidRDefault="005850AC" w:rsidP="15007A1D">
      <w:pPr>
        <w:numPr>
          <w:ilvl w:val="0"/>
          <w:numId w:val="33"/>
        </w:numPr>
        <w:pBdr>
          <w:top w:val="single" w:sz="8" w:space="1" w:color="ECF2F8" w:themeColor="accent1" w:themeTint="33"/>
          <w:bottom w:val="single" w:sz="8" w:space="1" w:color="ECF2F8" w:themeColor="accent1" w:themeTint="33"/>
        </w:pBdr>
        <w:shd w:val="clear" w:color="auto" w:fill="FFFFFF" w:themeFill="background1"/>
        <w:rPr>
          <w:color w:val="000000" w:themeColor="text1"/>
          <w:lang w:val="en"/>
        </w:rPr>
      </w:pPr>
      <w:r>
        <w:rPr>
          <w:color w:val="000000" w:themeColor="text1"/>
          <w:lang w:val="en"/>
        </w:rPr>
        <w:t>T</w:t>
      </w:r>
      <w:r w:rsidR="0079037A" w:rsidRPr="15007A1D">
        <w:rPr>
          <w:color w:val="000000" w:themeColor="text1"/>
          <w:lang w:val="en"/>
        </w:rPr>
        <w:t xml:space="preserve">he </w:t>
      </w:r>
      <w:r w:rsidR="00B378B1" w:rsidRPr="15007A1D">
        <w:rPr>
          <w:color w:val="000000" w:themeColor="text1"/>
          <w:lang w:val="en"/>
        </w:rPr>
        <w:t>PG&amp;E</w:t>
      </w:r>
      <w:r w:rsidR="0079037A" w:rsidRPr="15007A1D">
        <w:rPr>
          <w:color w:val="000000" w:themeColor="text1"/>
          <w:lang w:val="en"/>
        </w:rPr>
        <w:t xml:space="preserve"> </w:t>
      </w:r>
      <w:r w:rsidR="00B378B1" w:rsidRPr="15007A1D">
        <w:rPr>
          <w:color w:val="000000" w:themeColor="text1"/>
          <w:lang w:val="en"/>
        </w:rPr>
        <w:t xml:space="preserve">June 30, 2021 </w:t>
      </w:r>
      <w:r>
        <w:rPr>
          <w:color w:val="000000" w:themeColor="text1"/>
          <w:lang w:val="en"/>
        </w:rPr>
        <w:t>A</w:t>
      </w:r>
      <w:r w:rsidR="00B378B1" w:rsidRPr="15007A1D">
        <w:rPr>
          <w:color w:val="000000" w:themeColor="text1"/>
          <w:lang w:val="en"/>
        </w:rPr>
        <w:t>pplication</w:t>
      </w:r>
      <w:r w:rsidR="004633B8" w:rsidRPr="15007A1D">
        <w:rPr>
          <w:color w:val="000000" w:themeColor="text1"/>
          <w:lang w:val="en"/>
        </w:rPr>
        <w:t xml:space="preserve">, the March 10, 2022 amended </w:t>
      </w:r>
      <w:r w:rsidR="00566384">
        <w:rPr>
          <w:color w:val="000000" w:themeColor="text1"/>
          <w:lang w:val="en"/>
        </w:rPr>
        <w:t>A</w:t>
      </w:r>
      <w:r w:rsidR="004633B8" w:rsidRPr="15007A1D">
        <w:rPr>
          <w:color w:val="000000" w:themeColor="text1"/>
          <w:lang w:val="en"/>
        </w:rPr>
        <w:t>pplication,</w:t>
      </w:r>
      <w:r w:rsidR="00B378B1" w:rsidRPr="15007A1D">
        <w:rPr>
          <w:color w:val="000000" w:themeColor="text1"/>
          <w:lang w:val="en"/>
        </w:rPr>
        <w:t xml:space="preserve"> and other filings in this proceeding, as well as hearing transcripts and </w:t>
      </w:r>
      <w:r>
        <w:rPr>
          <w:color w:val="000000" w:themeColor="text1"/>
          <w:lang w:val="en"/>
        </w:rPr>
        <w:t>future documents, such as the</w:t>
      </w:r>
      <w:r w:rsidR="00B378B1" w:rsidRPr="15007A1D">
        <w:rPr>
          <w:color w:val="000000" w:themeColor="text1"/>
          <w:lang w:val="en"/>
        </w:rPr>
        <w:t xml:space="preserve"> proposed decision,</w:t>
      </w:r>
      <w:r>
        <w:rPr>
          <w:color w:val="000000" w:themeColor="text1"/>
          <w:lang w:val="en"/>
        </w:rPr>
        <w:t xml:space="preserve"> are available at following link on the CPUC website: </w:t>
      </w:r>
      <w:r w:rsidR="00B378B1" w:rsidRPr="15007A1D">
        <w:rPr>
          <w:color w:val="000000" w:themeColor="text1"/>
          <w:lang w:val="en"/>
        </w:rPr>
        <w:t xml:space="preserve"> </w:t>
      </w:r>
      <w:hyperlink r:id="rId15" w:history="1">
        <w:r>
          <w:rPr>
            <w:rStyle w:val="Hyperlink"/>
          </w:rPr>
          <w:t>Proceeding Details (ca.gov)</w:t>
        </w:r>
      </w:hyperlink>
      <w:r>
        <w:t>.</w:t>
      </w:r>
    </w:p>
    <w:p w14:paraId="097D8AB3" w14:textId="43A38B95" w:rsidR="000E2EA1" w:rsidRPr="00B551DD" w:rsidRDefault="000E2EA1" w:rsidP="15007A1D">
      <w:pPr>
        <w:numPr>
          <w:ilvl w:val="0"/>
          <w:numId w:val="33"/>
        </w:numPr>
        <w:pBdr>
          <w:top w:val="single" w:sz="8" w:space="1" w:color="ECF2F8" w:themeColor="accent1" w:themeTint="33"/>
          <w:bottom w:val="single" w:sz="8" w:space="1" w:color="ECF2F8" w:themeColor="accent1" w:themeTint="33"/>
        </w:pBdr>
        <w:shd w:val="clear" w:color="auto" w:fill="FFFFFF" w:themeFill="background1"/>
        <w:rPr>
          <w:color w:val="000000" w:themeColor="text1"/>
          <w:lang w:val="en"/>
        </w:rPr>
      </w:pPr>
      <w:r w:rsidRPr="15007A1D">
        <w:rPr>
          <w:color w:val="000000" w:themeColor="text1"/>
          <w:lang w:val="en"/>
        </w:rPr>
        <w:t xml:space="preserve">PG&amp;E’s GRC </w:t>
      </w:r>
      <w:r w:rsidRPr="007E76B7">
        <w:rPr>
          <w:color w:val="000000" w:themeColor="text1"/>
          <w:lang w:val="en"/>
        </w:rPr>
        <w:t>testimony</w:t>
      </w:r>
      <w:r w:rsidR="00EE1266" w:rsidRPr="007E76B7">
        <w:rPr>
          <w:color w:val="000000" w:themeColor="text1"/>
          <w:lang w:val="en"/>
        </w:rPr>
        <w:t xml:space="preserve">, including the </w:t>
      </w:r>
      <w:r w:rsidR="00E342BB">
        <w:rPr>
          <w:color w:val="000000" w:themeColor="text1"/>
          <w:lang w:val="en"/>
        </w:rPr>
        <w:t>March</w:t>
      </w:r>
      <w:r w:rsidR="005850AC">
        <w:rPr>
          <w:color w:val="000000" w:themeColor="text1"/>
          <w:lang w:val="en"/>
        </w:rPr>
        <w:t xml:space="preserve"> 2022 amendment and </w:t>
      </w:r>
      <w:r w:rsidR="00EE1266" w:rsidRPr="007E76B7">
        <w:rPr>
          <w:color w:val="000000" w:themeColor="text1"/>
          <w:lang w:val="en"/>
        </w:rPr>
        <w:t xml:space="preserve">September 6, 2022 </w:t>
      </w:r>
      <w:r w:rsidR="007E76B7" w:rsidRPr="007E76B7">
        <w:rPr>
          <w:color w:val="000000" w:themeColor="text1"/>
          <w:lang w:val="en"/>
        </w:rPr>
        <w:t>update testimony</w:t>
      </w:r>
      <w:r w:rsidR="005850AC">
        <w:rPr>
          <w:color w:val="000000" w:themeColor="text1"/>
          <w:lang w:val="en"/>
        </w:rPr>
        <w:t xml:space="preserve">, </w:t>
      </w:r>
      <w:r w:rsidRPr="007E76B7">
        <w:rPr>
          <w:color w:val="000000" w:themeColor="text1"/>
          <w:lang w:val="en"/>
        </w:rPr>
        <w:t>are available a</w:t>
      </w:r>
      <w:r w:rsidR="005850AC">
        <w:rPr>
          <w:color w:val="000000" w:themeColor="text1"/>
          <w:lang w:val="en"/>
        </w:rPr>
        <w:t xml:space="preserve">t the following link on PG&amp;E’s website: </w:t>
      </w:r>
      <w:hyperlink r:id="rId16">
        <w:r w:rsidRPr="007E76B7">
          <w:rPr>
            <w:rStyle w:val="Hyperlink"/>
            <w:lang w:val="en"/>
          </w:rPr>
          <w:t>PG&amp;E Document Search</w:t>
        </w:r>
      </w:hyperlink>
      <w:r w:rsidR="005850AC">
        <w:rPr>
          <w:rStyle w:val="Hyperlink"/>
          <w:lang w:val="en"/>
        </w:rPr>
        <w:t>.</w:t>
      </w:r>
      <w:r w:rsidRPr="007E76B7">
        <w:rPr>
          <w:color w:val="000000" w:themeColor="text1"/>
          <w:lang w:val="en"/>
        </w:rPr>
        <w:t xml:space="preserve"> </w:t>
      </w:r>
      <w:r w:rsidR="005850AC">
        <w:rPr>
          <w:color w:val="000000" w:themeColor="text1"/>
          <w:lang w:val="en"/>
        </w:rPr>
        <w:t>S</w:t>
      </w:r>
      <w:r w:rsidRPr="007E76B7">
        <w:rPr>
          <w:color w:val="000000" w:themeColor="text1"/>
          <w:lang w:val="en"/>
        </w:rPr>
        <w:t>elect</w:t>
      </w:r>
      <w:r w:rsidR="005850AC">
        <w:rPr>
          <w:color w:val="000000" w:themeColor="text1"/>
          <w:lang w:val="en"/>
        </w:rPr>
        <w:t xml:space="preserve"> </w:t>
      </w:r>
      <w:r w:rsidRPr="007E76B7">
        <w:rPr>
          <w:color w:val="000000" w:themeColor="text1"/>
          <w:lang w:val="en"/>
        </w:rPr>
        <w:t>“GRC 2023</w:t>
      </w:r>
      <w:r w:rsidRPr="15007A1D">
        <w:rPr>
          <w:color w:val="000000" w:themeColor="text1"/>
          <w:lang w:val="en"/>
        </w:rPr>
        <w:t xml:space="preserve"> Ph1 [A.21-06-021]” from the “Case” drop-down menu.</w:t>
      </w:r>
    </w:p>
    <w:p w14:paraId="4D640750" w14:textId="601FD8BC" w:rsidR="00530EDD" w:rsidRPr="00B551DD" w:rsidRDefault="00C27956" w:rsidP="00440E65">
      <w:pPr>
        <w:numPr>
          <w:ilvl w:val="0"/>
          <w:numId w:val="33"/>
        </w:numPr>
        <w:pBdr>
          <w:top w:val="single" w:sz="8" w:space="1" w:color="ECF2F8" w:themeColor="accent1" w:themeTint="33"/>
          <w:bottom w:val="single" w:sz="8" w:space="1" w:color="ECF2F8" w:themeColor="accent1" w:themeTint="33"/>
        </w:pBdr>
        <w:shd w:val="clear" w:color="auto" w:fill="FFFFFF" w:themeFill="background1"/>
        <w:rPr>
          <w:color w:val="000000" w:themeColor="text1"/>
          <w:lang w:val="en"/>
        </w:rPr>
      </w:pPr>
      <w:r w:rsidRPr="00B551DD">
        <w:rPr>
          <w:bCs/>
          <w:color w:val="000000" w:themeColor="text1"/>
          <w:lang w:val="en"/>
        </w:rPr>
        <w:t xml:space="preserve">To receive notice of all formal documents filed in A.21-06-021, go to </w:t>
      </w:r>
      <w:hyperlink r:id="rId17">
        <w:r w:rsidR="4EFFD72C" w:rsidRPr="0AE025ED">
          <w:rPr>
            <w:color w:val="0000FF"/>
            <w:u w:val="single"/>
          </w:rPr>
          <w:t>Welcome to the CPUC Subscription Service (ca.gov)</w:t>
        </w:r>
      </w:hyperlink>
      <w:r w:rsidR="00A344F7" w:rsidRPr="00B551DD">
        <w:t>.</w:t>
      </w:r>
      <w:r w:rsidR="00440E65" w:rsidRPr="00B551DD">
        <w:t xml:space="preserve"> </w:t>
      </w:r>
    </w:p>
    <w:p w14:paraId="03EF629F" w14:textId="4C48A371" w:rsidR="004D37AB" w:rsidRPr="009C2F86" w:rsidRDefault="004D37AB" w:rsidP="004D37AB">
      <w:pPr>
        <w:numPr>
          <w:ilvl w:val="0"/>
          <w:numId w:val="33"/>
        </w:numPr>
        <w:pBdr>
          <w:top w:val="single" w:sz="8" w:space="1" w:color="ECF2F8" w:themeColor="accent1" w:themeTint="33"/>
          <w:bottom w:val="single" w:sz="8" w:space="1" w:color="ECF2F8" w:themeColor="accent1" w:themeTint="33"/>
        </w:pBdr>
        <w:shd w:val="clear" w:color="auto" w:fill="FFFFFF" w:themeFill="background1"/>
        <w:rPr>
          <w:bCs/>
          <w:color w:val="000000" w:themeColor="text1"/>
          <w:lang w:val="en"/>
        </w:rPr>
      </w:pPr>
      <w:r w:rsidRPr="00B551DD">
        <w:rPr>
          <w:bCs/>
          <w:color w:val="000000" w:themeColor="text1"/>
          <w:lang w:val="en"/>
        </w:rPr>
        <w:t>The</w:t>
      </w:r>
      <w:r w:rsidR="00514F9F" w:rsidRPr="00514F9F">
        <w:t xml:space="preserve"> </w:t>
      </w:r>
      <w:r w:rsidR="00514F9F" w:rsidRPr="00514F9F">
        <w:rPr>
          <w:bCs/>
          <w:color w:val="000000" w:themeColor="text1"/>
        </w:rPr>
        <w:t>Public Advocates Office at the California Public Utilities Commission (</w:t>
      </w:r>
      <w:r w:rsidR="4C354784" w:rsidRPr="0AE025ED">
        <w:rPr>
          <w:color w:val="000000" w:themeColor="text1"/>
        </w:rPr>
        <w:t>Cal</w:t>
      </w:r>
      <w:r w:rsidRPr="0AE025ED">
        <w:rPr>
          <w:color w:val="000000" w:themeColor="text1"/>
        </w:rPr>
        <w:t xml:space="preserve"> </w:t>
      </w:r>
      <w:r w:rsidRPr="00B551DD">
        <w:rPr>
          <w:bCs/>
          <w:color w:val="000000" w:themeColor="text1"/>
          <w:lang w:val="en"/>
        </w:rPr>
        <w:t>Advocates</w:t>
      </w:r>
      <w:r w:rsidR="00514F9F">
        <w:rPr>
          <w:bCs/>
          <w:color w:val="000000" w:themeColor="text1"/>
          <w:lang w:val="en"/>
        </w:rPr>
        <w:t>)</w:t>
      </w:r>
      <w:r w:rsidRPr="009C2F86">
        <w:rPr>
          <w:bCs/>
          <w:color w:val="000000" w:themeColor="text1"/>
          <w:lang w:val="en"/>
        </w:rPr>
        <w:t xml:space="preserve"> is an independent consumer advocate within the </w:t>
      </w:r>
      <w:r w:rsidR="00E722A5" w:rsidRPr="009C2F86">
        <w:rPr>
          <w:bCs/>
          <w:color w:val="000000" w:themeColor="text1"/>
          <w:lang w:val="en"/>
        </w:rPr>
        <w:t>CPUC that</w:t>
      </w:r>
      <w:r w:rsidRPr="009C2F86">
        <w:rPr>
          <w:bCs/>
          <w:color w:val="000000" w:themeColor="text1"/>
          <w:lang w:val="en"/>
        </w:rPr>
        <w:t xml:space="preserve"> will review, audit, and submit formal testimony on </w:t>
      </w:r>
      <w:r w:rsidR="00515F40" w:rsidRPr="009C2F86">
        <w:rPr>
          <w:bCs/>
          <w:color w:val="000000" w:themeColor="text1"/>
          <w:lang w:val="en"/>
        </w:rPr>
        <w:t>PG&amp;E’s</w:t>
      </w:r>
      <w:r w:rsidRPr="009C2F86">
        <w:rPr>
          <w:bCs/>
          <w:color w:val="000000" w:themeColor="text1"/>
          <w:lang w:val="en"/>
        </w:rPr>
        <w:t xml:space="preserve"> </w:t>
      </w:r>
      <w:r w:rsidR="00566384">
        <w:rPr>
          <w:bCs/>
          <w:color w:val="000000" w:themeColor="text1"/>
          <w:lang w:val="en"/>
        </w:rPr>
        <w:t>A</w:t>
      </w:r>
      <w:r w:rsidRPr="009C2F86">
        <w:rPr>
          <w:bCs/>
          <w:color w:val="000000" w:themeColor="text1"/>
          <w:lang w:val="en"/>
        </w:rPr>
        <w:t xml:space="preserve">pplication.  </w:t>
      </w:r>
      <w:r w:rsidR="3DF6868C" w:rsidRPr="0AE025ED">
        <w:rPr>
          <w:color w:val="000000" w:themeColor="text1"/>
          <w:lang w:val="en"/>
        </w:rPr>
        <w:t xml:space="preserve">Its website </w:t>
      </w:r>
      <w:r w:rsidR="509E8617" w:rsidRPr="0AE025ED">
        <w:rPr>
          <w:color w:val="000000" w:themeColor="text1"/>
          <w:lang w:val="en"/>
        </w:rPr>
        <w:t>is available at the following link</w:t>
      </w:r>
      <w:r w:rsidR="3DF6868C" w:rsidRPr="0AE025ED">
        <w:rPr>
          <w:color w:val="000000" w:themeColor="text1"/>
          <w:lang w:val="en"/>
        </w:rPr>
        <w:t xml:space="preserve">:  </w:t>
      </w:r>
      <w:hyperlink r:id="rId18">
        <w:r w:rsidR="42620E39" w:rsidRPr="0AE025ED">
          <w:rPr>
            <w:rStyle w:val="Hyperlink"/>
          </w:rPr>
          <w:t>Public Advocates Office</w:t>
        </w:r>
      </w:hyperlink>
      <w:r w:rsidR="42620E39">
        <w:t>.</w:t>
      </w:r>
    </w:p>
    <w:p w14:paraId="4F21F072" w14:textId="3CDE015F" w:rsidR="00033B17" w:rsidRDefault="00033B17" w:rsidP="005D0A3D">
      <w:pPr>
        <w:numPr>
          <w:ilvl w:val="0"/>
          <w:numId w:val="33"/>
        </w:numPr>
        <w:pBdr>
          <w:top w:val="single" w:sz="8" w:space="1" w:color="ECF2F8" w:themeColor="accent1" w:themeTint="33"/>
          <w:bottom w:val="single" w:sz="8" w:space="1" w:color="ECF2F8" w:themeColor="accent1" w:themeTint="33"/>
        </w:pBdr>
        <w:shd w:val="clear" w:color="auto" w:fill="FFFFFF" w:themeFill="background1"/>
        <w:rPr>
          <w:bCs/>
          <w:color w:val="000000" w:themeColor="text1"/>
          <w:lang w:val="en"/>
        </w:rPr>
      </w:pPr>
      <w:r w:rsidRPr="00033B17">
        <w:rPr>
          <w:bCs/>
          <w:color w:val="000000" w:themeColor="text1"/>
          <w:lang w:val="en"/>
        </w:rPr>
        <w:t>The CPUC</w:t>
      </w:r>
      <w:r w:rsidR="00A3331C">
        <w:rPr>
          <w:bCs/>
          <w:color w:val="000000" w:themeColor="text1"/>
          <w:lang w:val="en"/>
        </w:rPr>
        <w:t xml:space="preserve"> </w:t>
      </w:r>
      <w:r w:rsidRPr="00033B17">
        <w:rPr>
          <w:bCs/>
          <w:color w:val="000000" w:themeColor="text1"/>
          <w:lang w:val="en"/>
        </w:rPr>
        <w:t>Energy Division p</w:t>
      </w:r>
      <w:r w:rsidR="007A2DCB">
        <w:rPr>
          <w:bCs/>
          <w:color w:val="000000" w:themeColor="text1"/>
          <w:lang w:val="en"/>
        </w:rPr>
        <w:t>osts</w:t>
      </w:r>
      <w:r w:rsidRPr="00033B17">
        <w:rPr>
          <w:bCs/>
          <w:color w:val="000000" w:themeColor="text1"/>
          <w:lang w:val="en"/>
        </w:rPr>
        <w:t xml:space="preserve"> information on this proceeding as well as other major proceedings related to PG&amp;E at</w:t>
      </w:r>
      <w:r w:rsidR="007A2DCB">
        <w:rPr>
          <w:bCs/>
          <w:color w:val="000000" w:themeColor="text1"/>
          <w:lang w:val="en"/>
        </w:rPr>
        <w:t xml:space="preserve"> on the CPUC’s website at the following link:</w:t>
      </w:r>
      <w:r w:rsidRPr="00033B17">
        <w:rPr>
          <w:bCs/>
          <w:color w:val="000000" w:themeColor="text1"/>
          <w:lang w:val="en"/>
        </w:rPr>
        <w:t xml:space="preserve"> </w:t>
      </w:r>
      <w:hyperlink r:id="rId19">
        <w:r w:rsidR="6E03D9CE" w:rsidRPr="0AE025ED">
          <w:rPr>
            <w:rStyle w:val="Hyperlink"/>
            <w:lang w:val="en"/>
          </w:rPr>
          <w:t>CPUC Energy Division - PG&amp;E</w:t>
        </w:r>
      </w:hyperlink>
      <w:r w:rsidR="0D65216D" w:rsidRPr="0AE025ED">
        <w:rPr>
          <w:color w:val="000000" w:themeColor="text1"/>
          <w:lang w:val="en"/>
        </w:rPr>
        <w:t>.</w:t>
      </w:r>
      <w:r>
        <w:rPr>
          <w:bCs/>
          <w:color w:val="000000" w:themeColor="text1"/>
          <w:lang w:val="en"/>
        </w:rPr>
        <w:t xml:space="preserve"> </w:t>
      </w:r>
      <w:r w:rsidRPr="00033B17">
        <w:rPr>
          <w:bCs/>
          <w:color w:val="000000" w:themeColor="text1"/>
          <w:lang w:val="en"/>
        </w:rPr>
        <w:t xml:space="preserve">In addition, </w:t>
      </w:r>
      <w:r w:rsidR="007A2DCB">
        <w:rPr>
          <w:bCs/>
          <w:color w:val="000000" w:themeColor="text1"/>
          <w:lang w:val="en"/>
        </w:rPr>
        <w:t>Energy Division</w:t>
      </w:r>
      <w:r w:rsidRPr="00033B17">
        <w:rPr>
          <w:bCs/>
          <w:color w:val="000000" w:themeColor="text1"/>
          <w:lang w:val="en"/>
        </w:rPr>
        <w:t xml:space="preserve"> provides information on the general rate case process at</w:t>
      </w:r>
      <w:r>
        <w:rPr>
          <w:bCs/>
          <w:color w:val="000000" w:themeColor="text1"/>
          <w:lang w:val="en"/>
        </w:rPr>
        <w:t xml:space="preserve"> </w:t>
      </w:r>
      <w:hyperlink r:id="rId20">
        <w:r w:rsidR="6E03D9CE" w:rsidRPr="0AE025ED">
          <w:rPr>
            <w:rStyle w:val="Hyperlink"/>
            <w:lang w:val="en"/>
          </w:rPr>
          <w:t>CPUC - GRC</w:t>
        </w:r>
      </w:hyperlink>
      <w:r w:rsidR="6E03D9CE" w:rsidRPr="0AE025ED">
        <w:rPr>
          <w:color w:val="000000" w:themeColor="text1"/>
          <w:lang w:val="en"/>
        </w:rPr>
        <w:t xml:space="preserve"> and information on natural gas in California at </w:t>
      </w:r>
      <w:hyperlink r:id="rId21">
        <w:r w:rsidR="6E03D9CE" w:rsidRPr="0AE025ED">
          <w:rPr>
            <w:rStyle w:val="Hyperlink"/>
            <w:lang w:val="en"/>
          </w:rPr>
          <w:t>CPUC - Natural Gas</w:t>
        </w:r>
      </w:hyperlink>
      <w:r w:rsidR="6E03D9CE" w:rsidRPr="0AE025ED">
        <w:rPr>
          <w:color w:val="000000" w:themeColor="text1"/>
          <w:lang w:val="en"/>
        </w:rPr>
        <w:t xml:space="preserve">. </w:t>
      </w:r>
    </w:p>
    <w:p w14:paraId="3CA71487" w14:textId="4001611A" w:rsidR="005D1366" w:rsidRDefault="005D1366" w:rsidP="005D0A3D">
      <w:pPr>
        <w:numPr>
          <w:ilvl w:val="0"/>
          <w:numId w:val="33"/>
        </w:numPr>
        <w:pBdr>
          <w:top w:val="single" w:sz="8" w:space="1" w:color="ECF2F8" w:themeColor="accent1" w:themeTint="33"/>
          <w:bottom w:val="single" w:sz="8" w:space="1" w:color="ECF2F8" w:themeColor="accent1" w:themeTint="33"/>
        </w:pBdr>
        <w:shd w:val="clear" w:color="auto" w:fill="FFFFFF" w:themeFill="background1"/>
        <w:rPr>
          <w:bCs/>
          <w:color w:val="000000" w:themeColor="text1"/>
          <w:lang w:val="en"/>
        </w:rPr>
      </w:pPr>
      <w:r>
        <w:rPr>
          <w:color w:val="000000" w:themeColor="text1"/>
          <w:lang w:val="en"/>
        </w:rPr>
        <w:t>To learn more about PG&amp;E’s costs to purchase electricity</w:t>
      </w:r>
      <w:r w:rsidR="00AC5A46">
        <w:rPr>
          <w:color w:val="000000" w:themeColor="text1"/>
          <w:lang w:val="en"/>
        </w:rPr>
        <w:t xml:space="preserve"> and related issues, see Application 22-05-029, PG&amp;E’s “ERRA” proceeding. </w:t>
      </w:r>
      <w:r w:rsidR="00551BF9">
        <w:rPr>
          <w:color w:val="000000" w:themeColor="text1"/>
          <w:lang w:val="en"/>
        </w:rPr>
        <w:t xml:space="preserve">In this proceeding, parties have agreed to </w:t>
      </w:r>
      <w:r w:rsidR="00551BF9" w:rsidRPr="00551BF9">
        <w:rPr>
          <w:color w:val="000000" w:themeColor="text1"/>
        </w:rPr>
        <w:t xml:space="preserve">2023 net revenue requirement of </w:t>
      </w:r>
      <w:proofErr w:type="spellStart"/>
      <w:r w:rsidR="00551BF9">
        <w:rPr>
          <w:color w:val="000000" w:themeColor="text1"/>
        </w:rPr>
        <w:t>appromimately</w:t>
      </w:r>
      <w:proofErr w:type="spellEnd"/>
      <w:r w:rsidR="00551BF9">
        <w:rPr>
          <w:color w:val="000000" w:themeColor="text1"/>
        </w:rPr>
        <w:t xml:space="preserve"> </w:t>
      </w:r>
      <w:r w:rsidR="00551BF9" w:rsidRPr="00551BF9">
        <w:rPr>
          <w:color w:val="000000" w:themeColor="text1"/>
        </w:rPr>
        <w:t>$1,995,957,000</w:t>
      </w:r>
      <w:r w:rsidR="004A3FC4">
        <w:rPr>
          <w:color w:val="000000" w:themeColor="text1"/>
        </w:rPr>
        <w:t xml:space="preserve"> (</w:t>
      </w:r>
      <w:r w:rsidR="004A3FC4" w:rsidRPr="004A3FC4">
        <w:rPr>
          <w:color w:val="000000" w:themeColor="text1"/>
        </w:rPr>
        <w:t>$1.55 monthly bill increase for an average residential customer</w:t>
      </w:r>
      <w:r w:rsidR="004A3FC4">
        <w:rPr>
          <w:color w:val="000000" w:themeColor="text1"/>
        </w:rPr>
        <w:t>)</w:t>
      </w:r>
      <w:r w:rsidR="004A3FC4" w:rsidRPr="004A3FC4">
        <w:rPr>
          <w:color w:val="000000" w:themeColor="text1"/>
        </w:rPr>
        <w:t>.</w:t>
      </w:r>
      <w:r w:rsidR="00B2156B">
        <w:rPr>
          <w:color w:val="000000" w:themeColor="text1"/>
        </w:rPr>
        <w:t xml:space="preserve"> </w:t>
      </w:r>
    </w:p>
    <w:p w14:paraId="3312D3D3" w14:textId="16CE855A" w:rsidR="00D31938" w:rsidRPr="00D31938" w:rsidRDefault="00D31938" w:rsidP="00D31938">
      <w:pPr>
        <w:pStyle w:val="ListParagraph"/>
        <w:numPr>
          <w:ilvl w:val="0"/>
          <w:numId w:val="33"/>
        </w:numPr>
        <w:rPr>
          <w:color w:val="auto"/>
          <w:lang w:val="en"/>
        </w:rPr>
      </w:pPr>
      <w:bookmarkStart w:id="4" w:name="_Hlk118898190"/>
      <w:r w:rsidRPr="00166D96">
        <w:rPr>
          <w:color w:val="auto"/>
          <w:lang w:val="en"/>
        </w:rPr>
        <w:t>Regarding Diablo Canyon Nuclear Power Plant, PG&amp;E is working toward obtaining approval from the state and federal government to extend plant operations consistent with Senate Bill (SB) 846.</w:t>
      </w:r>
      <w:r w:rsidRPr="00166D96">
        <w:rPr>
          <w:color w:val="auto"/>
        </w:rPr>
        <w:t xml:space="preserve"> </w:t>
      </w:r>
      <w:r>
        <w:rPr>
          <w:color w:val="auto"/>
        </w:rPr>
        <w:t xml:space="preserve">The </w:t>
      </w:r>
      <w:r w:rsidR="00566384">
        <w:rPr>
          <w:color w:val="auto"/>
        </w:rPr>
        <w:t xml:space="preserve">CPUC </w:t>
      </w:r>
      <w:r>
        <w:rPr>
          <w:color w:val="auto"/>
        </w:rPr>
        <w:t xml:space="preserve">is establishing a process to support SB 846 in </w:t>
      </w:r>
      <w:r w:rsidRPr="00166D96">
        <w:rPr>
          <w:color w:val="auto"/>
        </w:rPr>
        <w:t>Application 16-08-006</w:t>
      </w:r>
      <w:r>
        <w:rPr>
          <w:color w:val="auto"/>
        </w:rPr>
        <w:t>.</w:t>
      </w:r>
      <w:r w:rsidR="00A40D9E">
        <w:rPr>
          <w:color w:val="auto"/>
        </w:rPr>
        <w:t xml:space="preserve"> </w:t>
      </w:r>
      <w:r w:rsidRPr="00166D96">
        <w:rPr>
          <w:color w:val="auto"/>
          <w:lang w:val="en"/>
        </w:rPr>
        <w:t xml:space="preserve">This General Rate Case does not </w:t>
      </w:r>
      <w:r w:rsidRPr="00166D96">
        <w:rPr>
          <w:color w:val="auto"/>
          <w:lang w:val="en"/>
        </w:rPr>
        <w:lastRenderedPageBreak/>
        <w:t xml:space="preserve">address </w:t>
      </w:r>
      <w:r w:rsidR="00566384">
        <w:rPr>
          <w:color w:val="auto"/>
          <w:lang w:val="en"/>
        </w:rPr>
        <w:t xml:space="preserve">additional </w:t>
      </w:r>
      <w:r w:rsidRPr="00166D96">
        <w:rPr>
          <w:color w:val="auto"/>
          <w:lang w:val="en"/>
        </w:rPr>
        <w:t xml:space="preserve">costs that may result from extending Diablo Canyon’s </w:t>
      </w:r>
      <w:r w:rsidRPr="00E25451">
        <w:rPr>
          <w:color w:val="auto"/>
          <w:lang w:val="en"/>
        </w:rPr>
        <w:t>operations. The</w:t>
      </w:r>
      <w:r w:rsidR="00D7741F">
        <w:rPr>
          <w:color w:val="auto"/>
          <w:lang w:val="en"/>
        </w:rPr>
        <w:t>se</w:t>
      </w:r>
      <w:r w:rsidRPr="00E25451">
        <w:rPr>
          <w:color w:val="auto"/>
          <w:lang w:val="en"/>
        </w:rPr>
        <w:t xml:space="preserve"> costs will be addressed by the C</w:t>
      </w:r>
      <w:r w:rsidR="00566384">
        <w:rPr>
          <w:color w:val="auto"/>
          <w:lang w:val="en"/>
        </w:rPr>
        <w:t>PUC</w:t>
      </w:r>
      <w:r w:rsidRPr="00E25451">
        <w:rPr>
          <w:color w:val="auto"/>
          <w:lang w:val="en"/>
        </w:rPr>
        <w:t xml:space="preserve"> in</w:t>
      </w:r>
      <w:bookmarkEnd w:id="4"/>
      <w:r>
        <w:rPr>
          <w:color w:val="auto"/>
          <w:lang w:val="en"/>
        </w:rPr>
        <w:t xml:space="preserve"> a different proceeding.</w:t>
      </w:r>
    </w:p>
    <w:p w14:paraId="4BAFABB6" w14:textId="2280355A" w:rsidR="00BD182F" w:rsidRDefault="00BD182F" w:rsidP="005D0A3D">
      <w:pPr>
        <w:numPr>
          <w:ilvl w:val="0"/>
          <w:numId w:val="33"/>
        </w:numPr>
        <w:pBdr>
          <w:top w:val="single" w:sz="8" w:space="1" w:color="ECF2F8" w:themeColor="accent1" w:themeTint="33"/>
          <w:bottom w:val="single" w:sz="8" w:space="1" w:color="ECF2F8" w:themeColor="accent1" w:themeTint="33"/>
        </w:pBdr>
        <w:shd w:val="clear" w:color="auto" w:fill="FFFFFF" w:themeFill="background1"/>
        <w:rPr>
          <w:bCs/>
          <w:color w:val="000000" w:themeColor="text1"/>
          <w:lang w:val="en"/>
        </w:rPr>
      </w:pPr>
      <w:r w:rsidRPr="00BD182F">
        <w:rPr>
          <w:bCs/>
          <w:color w:val="000000" w:themeColor="text1"/>
          <w:lang w:val="en"/>
        </w:rPr>
        <w:t xml:space="preserve">The CPUC’s April 2021 </w:t>
      </w:r>
      <w:r w:rsidRPr="00522621">
        <w:rPr>
          <w:bCs/>
          <w:i/>
          <w:iCs/>
          <w:color w:val="000000" w:themeColor="text1"/>
          <w:lang w:val="en"/>
        </w:rPr>
        <w:t>Affordability Report</w:t>
      </w:r>
      <w:r w:rsidRPr="00BD182F">
        <w:rPr>
          <w:bCs/>
          <w:color w:val="000000" w:themeColor="text1"/>
          <w:lang w:val="en"/>
        </w:rPr>
        <w:t xml:space="preserve"> highlights trends in affordability of combined essential services and can be viewed at</w:t>
      </w:r>
      <w:r>
        <w:rPr>
          <w:bCs/>
          <w:color w:val="000000" w:themeColor="text1"/>
          <w:lang w:val="en"/>
        </w:rPr>
        <w:t xml:space="preserve"> </w:t>
      </w:r>
      <w:hyperlink r:id="rId22">
        <w:r w:rsidR="5C476BC7" w:rsidRPr="0AE025ED">
          <w:rPr>
            <w:rStyle w:val="Hyperlink"/>
            <w:lang w:val="en"/>
          </w:rPr>
          <w:t>CPUC - Affordability Report</w:t>
        </w:r>
      </w:hyperlink>
      <w:r w:rsidR="5C476BC7" w:rsidRPr="0AE025ED">
        <w:rPr>
          <w:color w:val="000000" w:themeColor="text1"/>
          <w:lang w:val="en"/>
        </w:rPr>
        <w:t>.</w:t>
      </w:r>
      <w:r w:rsidR="00783E06">
        <w:rPr>
          <w:bCs/>
          <w:color w:val="000000" w:themeColor="text1"/>
          <w:lang w:val="en"/>
        </w:rPr>
        <w:t xml:space="preserve"> </w:t>
      </w:r>
      <w:r w:rsidR="00DB6F36" w:rsidRPr="00DB6F36">
        <w:rPr>
          <w:bCs/>
          <w:color w:val="000000" w:themeColor="text1"/>
          <w:lang w:val="en"/>
        </w:rPr>
        <w:t>For information on the CPUC proceeding developing a framework and processes for assessing the affordability of utility services, see https://www.cpuc.ca.gov/industries-and-topics/electrical-energy/affordability.</w:t>
      </w:r>
    </w:p>
    <w:p w14:paraId="5F3B3F68" w14:textId="113321A5" w:rsidR="00D82532" w:rsidRPr="00D82532" w:rsidRDefault="00D82532" w:rsidP="00D82532">
      <w:pPr>
        <w:pStyle w:val="ListParagraph"/>
        <w:numPr>
          <w:ilvl w:val="0"/>
          <w:numId w:val="33"/>
        </w:numPr>
        <w:rPr>
          <w:bCs/>
          <w:color w:val="000000" w:themeColor="text1"/>
          <w:lang w:val="en"/>
        </w:rPr>
      </w:pPr>
      <w:r w:rsidRPr="00D82532">
        <w:rPr>
          <w:bCs/>
          <w:color w:val="000000" w:themeColor="text1"/>
          <w:lang w:val="en"/>
        </w:rPr>
        <w:t xml:space="preserve">PG&amp;E offers a variety of assistance to </w:t>
      </w:r>
      <w:r w:rsidR="00FE0C69">
        <w:rPr>
          <w:bCs/>
          <w:color w:val="000000" w:themeColor="text1"/>
          <w:lang w:val="en"/>
        </w:rPr>
        <w:t>help</w:t>
      </w:r>
      <w:r w:rsidRPr="00D82532">
        <w:rPr>
          <w:bCs/>
          <w:color w:val="000000" w:themeColor="text1"/>
          <w:lang w:val="en"/>
        </w:rPr>
        <w:t xml:space="preserve"> resid</w:t>
      </w:r>
      <w:r w:rsidR="00FE0C69">
        <w:rPr>
          <w:bCs/>
          <w:color w:val="000000" w:themeColor="text1"/>
          <w:lang w:val="en"/>
        </w:rPr>
        <w:t>ential customers</w:t>
      </w:r>
      <w:r w:rsidRPr="00D82532">
        <w:rPr>
          <w:bCs/>
          <w:color w:val="000000" w:themeColor="text1"/>
          <w:lang w:val="en"/>
        </w:rPr>
        <w:t xml:space="preserve"> and small businesses</w:t>
      </w:r>
      <w:r w:rsidR="00FE0C69">
        <w:rPr>
          <w:bCs/>
          <w:color w:val="000000" w:themeColor="text1"/>
          <w:lang w:val="en"/>
        </w:rPr>
        <w:t xml:space="preserve"> </w:t>
      </w:r>
      <w:r w:rsidRPr="00D82532">
        <w:rPr>
          <w:bCs/>
          <w:color w:val="000000" w:themeColor="text1"/>
          <w:lang w:val="en"/>
        </w:rPr>
        <w:t>analyz</w:t>
      </w:r>
      <w:r w:rsidR="005E27EB">
        <w:rPr>
          <w:bCs/>
          <w:color w:val="000000" w:themeColor="text1"/>
          <w:lang w:val="en"/>
        </w:rPr>
        <w:t>e</w:t>
      </w:r>
      <w:r w:rsidRPr="00D82532">
        <w:rPr>
          <w:bCs/>
          <w:color w:val="000000" w:themeColor="text1"/>
          <w:lang w:val="en"/>
        </w:rPr>
        <w:t xml:space="preserve"> their usage, rebate</w:t>
      </w:r>
      <w:r w:rsidR="00FE0C69">
        <w:rPr>
          <w:bCs/>
          <w:color w:val="000000" w:themeColor="text1"/>
          <w:lang w:val="en"/>
        </w:rPr>
        <w:t xml:space="preserve">s, </w:t>
      </w:r>
      <w:r w:rsidRPr="00D82532">
        <w:rPr>
          <w:bCs/>
          <w:color w:val="000000" w:themeColor="text1"/>
          <w:lang w:val="en"/>
        </w:rPr>
        <w:t xml:space="preserve">other savings programs, and programs to help pay </w:t>
      </w:r>
      <w:r w:rsidR="005E27EB">
        <w:rPr>
          <w:bCs/>
          <w:color w:val="000000" w:themeColor="text1"/>
          <w:lang w:val="en"/>
        </w:rPr>
        <w:t xml:space="preserve">gas and electric </w:t>
      </w:r>
      <w:r w:rsidRPr="00D82532">
        <w:rPr>
          <w:bCs/>
          <w:color w:val="000000" w:themeColor="text1"/>
          <w:lang w:val="en"/>
        </w:rPr>
        <w:t>bills. For information on these programs</w:t>
      </w:r>
      <w:r w:rsidR="00B87E9B">
        <w:rPr>
          <w:bCs/>
          <w:color w:val="000000" w:themeColor="text1"/>
          <w:lang w:val="en"/>
        </w:rPr>
        <w:t>,</w:t>
      </w:r>
      <w:r w:rsidRPr="00D82532">
        <w:rPr>
          <w:bCs/>
          <w:color w:val="000000" w:themeColor="text1"/>
          <w:lang w:val="en"/>
        </w:rPr>
        <w:t xml:space="preserve"> go to</w:t>
      </w:r>
      <w:r w:rsidR="00210D74">
        <w:rPr>
          <w:bCs/>
          <w:color w:val="000000" w:themeColor="text1"/>
          <w:lang w:val="en"/>
        </w:rPr>
        <w:t>:</w:t>
      </w:r>
      <w:r w:rsidRPr="00D82532">
        <w:rPr>
          <w:bCs/>
          <w:color w:val="000000" w:themeColor="text1"/>
          <w:lang w:val="en"/>
        </w:rPr>
        <w:t xml:space="preserve"> www.pge.com </w:t>
      </w:r>
      <w:r w:rsidR="00210D74">
        <w:rPr>
          <w:bCs/>
          <w:color w:val="000000" w:themeColor="text1"/>
          <w:lang w:val="en"/>
        </w:rPr>
        <w:t>– click links for</w:t>
      </w:r>
      <w:r w:rsidRPr="00D82532">
        <w:rPr>
          <w:bCs/>
          <w:color w:val="000000" w:themeColor="text1"/>
          <w:lang w:val="en"/>
        </w:rPr>
        <w:t xml:space="preserve"> residential or small and medium business.</w:t>
      </w:r>
    </w:p>
    <w:p w14:paraId="5A87CD27" w14:textId="3F440126" w:rsidR="009B7946" w:rsidRPr="00010C7D" w:rsidRDefault="43045FDB" w:rsidP="00010C7D">
      <w:pPr>
        <w:pStyle w:val="ListParagraph"/>
        <w:numPr>
          <w:ilvl w:val="0"/>
          <w:numId w:val="33"/>
        </w:numPr>
        <w:rPr>
          <w:bCs/>
          <w:color w:val="000000" w:themeColor="text1"/>
          <w:lang w:val="en"/>
        </w:rPr>
      </w:pPr>
      <w:r w:rsidRPr="0AE025ED">
        <w:rPr>
          <w:color w:val="000000" w:themeColor="text1"/>
          <w:lang w:val="en"/>
        </w:rPr>
        <w:t>For more information on the wide variety of CPUC proceedings impacting customer rates</w:t>
      </w:r>
      <w:r w:rsidR="5457CBC5" w:rsidRPr="0AE025ED">
        <w:rPr>
          <w:color w:val="000000" w:themeColor="text1"/>
          <w:lang w:val="en"/>
        </w:rPr>
        <w:t>,</w:t>
      </w:r>
      <w:r w:rsidRPr="0AE025ED">
        <w:rPr>
          <w:color w:val="000000" w:themeColor="text1"/>
          <w:lang w:val="en"/>
        </w:rPr>
        <w:t xml:space="preserve"> see the 2021 CPUC Annual Report to the </w:t>
      </w:r>
      <w:r w:rsidR="5457CBC5" w:rsidRPr="0AE025ED">
        <w:rPr>
          <w:color w:val="000000" w:themeColor="text1"/>
          <w:lang w:val="en"/>
        </w:rPr>
        <w:t>California L</w:t>
      </w:r>
      <w:r w:rsidRPr="0AE025ED">
        <w:rPr>
          <w:color w:val="000000" w:themeColor="text1"/>
          <w:lang w:val="en"/>
        </w:rPr>
        <w:t>egislature at</w:t>
      </w:r>
      <w:r w:rsidR="5457CBC5" w:rsidRPr="0AE025ED">
        <w:rPr>
          <w:color w:val="000000" w:themeColor="text1"/>
          <w:lang w:val="en"/>
        </w:rPr>
        <w:t>:</w:t>
      </w:r>
      <w:r w:rsidR="4B56F601" w:rsidRPr="0AE025ED">
        <w:rPr>
          <w:color w:val="000000" w:themeColor="text1"/>
          <w:lang w:val="en"/>
        </w:rPr>
        <w:t xml:space="preserve"> </w:t>
      </w:r>
      <w:hyperlink r:id="rId23">
        <w:r w:rsidR="25821735" w:rsidRPr="0AE025ED">
          <w:rPr>
            <w:rStyle w:val="Hyperlink"/>
            <w:lang w:val="en"/>
          </w:rPr>
          <w:t>https://www.cpuc.ca.gov/-/media/cpuc-website/divisions/news-and-outreach/reports/annual-reports/annual_report_2021_web.pdf</w:t>
        </w:r>
      </w:hyperlink>
      <w:r w:rsidR="25821735" w:rsidRPr="0AE025ED">
        <w:rPr>
          <w:color w:val="000000" w:themeColor="text1"/>
          <w:lang w:val="en"/>
        </w:rPr>
        <w:t>.</w:t>
      </w:r>
    </w:p>
    <w:p w14:paraId="1385820E" w14:textId="52FBC45F" w:rsidR="0087202E" w:rsidRDefault="00B9135C" w:rsidP="00B9135C">
      <w:pPr>
        <w:pStyle w:val="ListParagraph"/>
        <w:numPr>
          <w:ilvl w:val="0"/>
          <w:numId w:val="33"/>
        </w:numPr>
        <w:rPr>
          <w:bCs/>
          <w:color w:val="000000" w:themeColor="text1"/>
          <w:lang w:val="en"/>
        </w:rPr>
      </w:pPr>
      <w:r w:rsidRPr="00B9135C">
        <w:rPr>
          <w:bCs/>
          <w:color w:val="000000" w:themeColor="text1"/>
          <w:lang w:val="en"/>
        </w:rPr>
        <w:t>Because regional restructuring has the potential to improve PG&amp;E’s safety performance and responsiveness to local communities, the CPUC ordered PG&amp;E to file a</w:t>
      </w:r>
      <w:r w:rsidR="00566384">
        <w:rPr>
          <w:bCs/>
          <w:color w:val="000000" w:themeColor="text1"/>
          <w:lang w:val="en"/>
        </w:rPr>
        <w:t xml:space="preserve"> request </w:t>
      </w:r>
      <w:r w:rsidRPr="00B9135C">
        <w:rPr>
          <w:bCs/>
          <w:color w:val="000000" w:themeColor="text1"/>
          <w:lang w:val="en"/>
        </w:rPr>
        <w:t xml:space="preserve">for regional restructuring in proceeding A.20-06-011. </w:t>
      </w:r>
      <w:r w:rsidR="1DE9EA2E" w:rsidRPr="0AE025ED">
        <w:rPr>
          <w:color w:val="000000" w:themeColor="text1"/>
          <w:lang w:val="en"/>
        </w:rPr>
        <w:t xml:space="preserve">More </w:t>
      </w:r>
      <w:r w:rsidR="6933D840" w:rsidRPr="0AE025ED">
        <w:rPr>
          <w:color w:val="000000" w:themeColor="text1"/>
          <w:lang w:val="en"/>
        </w:rPr>
        <w:t>information on this proceeding</w:t>
      </w:r>
      <w:r w:rsidR="1DE9EA2E" w:rsidRPr="0AE025ED">
        <w:rPr>
          <w:color w:val="000000" w:themeColor="text1"/>
          <w:lang w:val="en"/>
        </w:rPr>
        <w:t xml:space="preserve"> is at:</w:t>
      </w:r>
      <w:r w:rsidR="6933D840" w:rsidRPr="0AE025ED">
        <w:rPr>
          <w:color w:val="000000" w:themeColor="text1"/>
          <w:lang w:val="en"/>
        </w:rPr>
        <w:t xml:space="preserve"> </w:t>
      </w:r>
      <w:r w:rsidR="36FE1B4E" w:rsidRPr="0AE025ED">
        <w:rPr>
          <w:color w:val="000000" w:themeColor="text1"/>
          <w:lang w:val="en"/>
        </w:rPr>
        <w:t xml:space="preserve"> </w:t>
      </w:r>
      <w:hyperlink r:id="rId24">
        <w:r w:rsidR="4B56F601" w:rsidRPr="0AE025ED">
          <w:rPr>
            <w:rStyle w:val="Hyperlink"/>
            <w:lang w:val="en"/>
          </w:rPr>
          <w:t>https://www.cpuc.ca.gov/industries-and-topics/pge/pge-regionalization</w:t>
        </w:r>
      </w:hyperlink>
      <w:r w:rsidR="4B56F601" w:rsidRPr="0AE025ED">
        <w:rPr>
          <w:color w:val="000000" w:themeColor="text1"/>
          <w:lang w:val="en"/>
        </w:rPr>
        <w:t>.</w:t>
      </w:r>
    </w:p>
    <w:p w14:paraId="349AF4A2" w14:textId="79C36C13" w:rsidR="00D30A77" w:rsidRPr="00B9135C" w:rsidRDefault="00D30A77" w:rsidP="00F05F79">
      <w:pPr>
        <w:pStyle w:val="ListParagraph"/>
        <w:ind w:left="1080"/>
        <w:rPr>
          <w:rStyle w:val="Hyperlink"/>
          <w:bCs/>
          <w:color w:val="000000" w:themeColor="text1"/>
          <w:u w:val="none"/>
          <w:lang w:val="en"/>
        </w:rPr>
      </w:pPr>
    </w:p>
    <w:sectPr w:rsidR="00D30A77" w:rsidRPr="00B9135C" w:rsidSect="00B07653">
      <w:footerReference w:type="default" r:id="rId25"/>
      <w:headerReference w:type="first" r:id="rId26"/>
      <w:pgSz w:w="12240" w:h="15840"/>
      <w:pgMar w:top="720" w:right="1008" w:bottom="446" w:left="432"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DAC78" w14:textId="77777777" w:rsidR="00BB38B1" w:rsidRDefault="00BB38B1">
      <w:r>
        <w:separator/>
      </w:r>
    </w:p>
  </w:endnote>
  <w:endnote w:type="continuationSeparator" w:id="0">
    <w:p w14:paraId="36356175" w14:textId="77777777" w:rsidR="00BB38B1" w:rsidRDefault="00BB38B1">
      <w:r>
        <w:continuationSeparator/>
      </w:r>
    </w:p>
  </w:endnote>
  <w:endnote w:type="continuationNotice" w:id="1">
    <w:p w14:paraId="4EF0C7BE" w14:textId="77777777" w:rsidR="00BB38B1" w:rsidRDefault="00BB3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OLE_LINK2" w:displacedByCustomXml="next"/>
  <w:bookmarkStart w:id="6" w:name="OLE_LINK1" w:displacedByCustomXml="next"/>
  <w:sdt>
    <w:sdtPr>
      <w:id w:val="1955594859"/>
      <w:docPartObj>
        <w:docPartGallery w:val="Page Numbers (Bottom of Page)"/>
        <w:docPartUnique/>
      </w:docPartObj>
    </w:sdtPr>
    <w:sdtEndPr>
      <w:rPr>
        <w:noProof/>
      </w:rPr>
    </w:sdtEndPr>
    <w:sdtContent>
      <w:p w14:paraId="73C4EECF" w14:textId="5CD6DF7A" w:rsidR="0046305B" w:rsidRDefault="0046305B">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0E1BD245" w14:textId="2AAA15FC" w:rsidR="00AA200C" w:rsidRPr="00A10962" w:rsidRDefault="00AA200C" w:rsidP="00B84618">
    <w:pPr>
      <w:rPr>
        <w:rFonts w:ascii="Century Gothic" w:hAnsi="Century Gothic"/>
        <w:b/>
        <w:sz w:val="20"/>
        <w:szCs w:val="20"/>
      </w:rPr>
    </w:pPr>
  </w:p>
  <w:bookmarkEnd w:id="6"/>
  <w:bookmarkEnd w:i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E1FDB" w14:textId="77777777" w:rsidR="00BB38B1" w:rsidRDefault="00BB38B1">
      <w:r>
        <w:separator/>
      </w:r>
    </w:p>
  </w:footnote>
  <w:footnote w:type="continuationSeparator" w:id="0">
    <w:p w14:paraId="0EB3DA3E" w14:textId="77777777" w:rsidR="00BB38B1" w:rsidRDefault="00BB38B1">
      <w:r>
        <w:continuationSeparator/>
      </w:r>
    </w:p>
  </w:footnote>
  <w:footnote w:type="continuationNotice" w:id="1">
    <w:p w14:paraId="319B0281" w14:textId="77777777" w:rsidR="00BB38B1" w:rsidRDefault="00BB38B1"/>
  </w:footnote>
  <w:footnote w:id="2">
    <w:p w14:paraId="771A333A" w14:textId="10115762" w:rsidR="00C75B37" w:rsidRPr="00B5204A" w:rsidRDefault="00C75B37">
      <w:pPr>
        <w:pStyle w:val="FootnoteText"/>
        <w:rPr>
          <w:rFonts w:ascii="Garamond" w:hAnsi="Garamond"/>
          <w:sz w:val="18"/>
          <w:szCs w:val="18"/>
          <w:lang w:val="en-US"/>
        </w:rPr>
      </w:pPr>
      <w:r w:rsidRPr="00B5204A">
        <w:rPr>
          <w:rStyle w:val="FootnoteReference"/>
          <w:rFonts w:ascii="Garamond" w:hAnsi="Garamond"/>
          <w:sz w:val="18"/>
          <w:szCs w:val="18"/>
        </w:rPr>
        <w:footnoteRef/>
      </w:r>
      <w:r w:rsidR="38843368" w:rsidRPr="00B5204A">
        <w:rPr>
          <w:rFonts w:ascii="Garamond" w:hAnsi="Garamond"/>
          <w:sz w:val="18"/>
          <w:szCs w:val="18"/>
        </w:rPr>
        <w:t xml:space="preserve"> </w:t>
      </w:r>
      <w:r w:rsidR="006210EC" w:rsidRPr="00B5204A">
        <w:rPr>
          <w:rFonts w:ascii="Garamond" w:hAnsi="Garamond"/>
          <w:sz w:val="18"/>
          <w:szCs w:val="18"/>
        </w:rPr>
        <w:t xml:space="preserve">In this </w:t>
      </w:r>
      <w:r w:rsidR="006210EC" w:rsidRPr="00B5204A">
        <w:rPr>
          <w:rFonts w:ascii="Garamond" w:hAnsi="Garamond"/>
          <w:sz w:val="18"/>
          <w:szCs w:val="18"/>
          <w:lang w:val="en-US"/>
        </w:rPr>
        <w:t>PG&amp;E</w:t>
      </w:r>
      <w:r w:rsidR="38843368" w:rsidRPr="00B5204A">
        <w:rPr>
          <w:rFonts w:ascii="Garamond" w:hAnsi="Garamond"/>
          <w:sz w:val="18"/>
          <w:szCs w:val="18"/>
          <w:lang w:val="en-US"/>
        </w:rPr>
        <w:t xml:space="preserve"> GRC case</w:t>
      </w:r>
      <w:r w:rsidR="007E3A9E" w:rsidRPr="00B5204A">
        <w:rPr>
          <w:rFonts w:ascii="Garamond" w:hAnsi="Garamond"/>
          <w:sz w:val="18"/>
          <w:szCs w:val="18"/>
          <w:lang w:val="en-US"/>
        </w:rPr>
        <w:t>, the CPUC</w:t>
      </w:r>
      <w:r w:rsidR="38843368" w:rsidRPr="00B5204A">
        <w:rPr>
          <w:rFonts w:ascii="Garamond" w:hAnsi="Garamond"/>
          <w:sz w:val="18"/>
          <w:szCs w:val="18"/>
          <w:lang w:val="en-US"/>
        </w:rPr>
        <w:t xml:space="preserve"> reviews PG&amp;E’s </w:t>
      </w:r>
      <w:r w:rsidR="00184466" w:rsidRPr="00B5204A">
        <w:rPr>
          <w:rFonts w:ascii="Garamond" w:hAnsi="Garamond"/>
          <w:sz w:val="18"/>
          <w:szCs w:val="18"/>
          <w:lang w:val="en-US"/>
        </w:rPr>
        <w:t>expected cost</w:t>
      </w:r>
      <w:r w:rsidR="005D1BF7" w:rsidRPr="00B5204A">
        <w:rPr>
          <w:rFonts w:ascii="Garamond" w:hAnsi="Garamond"/>
          <w:sz w:val="18"/>
          <w:szCs w:val="18"/>
          <w:lang w:val="en-US"/>
        </w:rPr>
        <w:t>s</w:t>
      </w:r>
      <w:r w:rsidR="38843368" w:rsidRPr="00B5204A">
        <w:rPr>
          <w:rFonts w:ascii="Garamond" w:hAnsi="Garamond"/>
          <w:sz w:val="18"/>
          <w:szCs w:val="18"/>
          <w:lang w:val="en-US"/>
        </w:rPr>
        <w:t xml:space="preserve"> for gas and electric distribution, gas transmission and storage, and electric generation. PG&amp;E</w:t>
      </w:r>
      <w:r w:rsidR="00E42D83" w:rsidRPr="00B5204A">
        <w:rPr>
          <w:rFonts w:ascii="Garamond" w:hAnsi="Garamond"/>
          <w:sz w:val="18"/>
          <w:szCs w:val="18"/>
          <w:lang w:val="en-US"/>
        </w:rPr>
        <w:t>’s</w:t>
      </w:r>
      <w:r w:rsidR="38843368" w:rsidRPr="00B5204A">
        <w:rPr>
          <w:rFonts w:ascii="Garamond" w:hAnsi="Garamond"/>
          <w:sz w:val="18"/>
          <w:szCs w:val="18"/>
          <w:lang w:val="en-US"/>
        </w:rPr>
        <w:t xml:space="preserve"> electric rates include </w:t>
      </w:r>
      <w:r w:rsidR="0055525A" w:rsidRPr="00B5204A">
        <w:rPr>
          <w:rFonts w:ascii="Garamond" w:hAnsi="Garamond"/>
          <w:sz w:val="18"/>
          <w:szCs w:val="18"/>
          <w:lang w:val="en-US"/>
        </w:rPr>
        <w:t>additional</w:t>
      </w:r>
      <w:r w:rsidR="38843368" w:rsidRPr="00B5204A">
        <w:rPr>
          <w:rFonts w:ascii="Garamond" w:hAnsi="Garamond"/>
          <w:sz w:val="18"/>
          <w:szCs w:val="18"/>
          <w:lang w:val="en-US"/>
        </w:rPr>
        <w:t xml:space="preserve"> </w:t>
      </w:r>
      <w:r w:rsidR="005D1BF7" w:rsidRPr="00B5204A">
        <w:rPr>
          <w:rFonts w:ascii="Garamond" w:hAnsi="Garamond"/>
          <w:sz w:val="18"/>
          <w:szCs w:val="18"/>
          <w:lang w:val="en-US"/>
        </w:rPr>
        <w:t>costs</w:t>
      </w:r>
      <w:r w:rsidR="38843368" w:rsidRPr="00B5204A">
        <w:rPr>
          <w:rFonts w:ascii="Garamond" w:hAnsi="Garamond"/>
          <w:sz w:val="18"/>
          <w:szCs w:val="18"/>
          <w:lang w:val="en-US"/>
        </w:rPr>
        <w:t xml:space="preserve">, </w:t>
      </w:r>
      <w:r w:rsidR="00E42D83" w:rsidRPr="00B5204A">
        <w:rPr>
          <w:rFonts w:ascii="Garamond" w:hAnsi="Garamond"/>
          <w:sz w:val="18"/>
          <w:szCs w:val="18"/>
          <w:lang w:val="en-US"/>
        </w:rPr>
        <w:t xml:space="preserve">such as </w:t>
      </w:r>
      <w:r w:rsidR="38843368" w:rsidRPr="00B5204A">
        <w:rPr>
          <w:rFonts w:ascii="Garamond" w:hAnsi="Garamond"/>
          <w:sz w:val="18"/>
          <w:szCs w:val="18"/>
          <w:lang w:val="en-US"/>
        </w:rPr>
        <w:t>fuel</w:t>
      </w:r>
      <w:r w:rsidR="0055525A" w:rsidRPr="00B5204A">
        <w:rPr>
          <w:rFonts w:ascii="Garamond" w:hAnsi="Garamond"/>
          <w:sz w:val="18"/>
          <w:szCs w:val="18"/>
          <w:lang w:val="en-US"/>
        </w:rPr>
        <w:t xml:space="preserve"> costs</w:t>
      </w:r>
      <w:r w:rsidR="00E355BB" w:rsidRPr="00B5204A">
        <w:rPr>
          <w:rFonts w:ascii="Garamond" w:hAnsi="Garamond"/>
          <w:sz w:val="18"/>
          <w:szCs w:val="18"/>
          <w:lang w:val="en-US"/>
        </w:rPr>
        <w:t>,</w:t>
      </w:r>
      <w:r w:rsidR="38843368" w:rsidRPr="00B5204A">
        <w:rPr>
          <w:rFonts w:ascii="Garamond" w:hAnsi="Garamond"/>
          <w:sz w:val="18"/>
          <w:szCs w:val="18"/>
          <w:lang w:val="en-US"/>
        </w:rPr>
        <w:t xml:space="preserve"> purchased </w:t>
      </w:r>
      <w:r w:rsidR="008E4FEB" w:rsidRPr="00B5204A">
        <w:rPr>
          <w:rFonts w:ascii="Garamond" w:hAnsi="Garamond"/>
          <w:sz w:val="18"/>
          <w:szCs w:val="18"/>
          <w:lang w:val="en-US"/>
        </w:rPr>
        <w:t xml:space="preserve">electric </w:t>
      </w:r>
      <w:r w:rsidR="38843368" w:rsidRPr="00B5204A">
        <w:rPr>
          <w:rFonts w:ascii="Garamond" w:hAnsi="Garamond"/>
          <w:sz w:val="18"/>
          <w:szCs w:val="18"/>
          <w:lang w:val="en-US"/>
        </w:rPr>
        <w:t>power</w:t>
      </w:r>
      <w:r w:rsidR="00E355BB" w:rsidRPr="00B5204A">
        <w:rPr>
          <w:rFonts w:ascii="Garamond" w:hAnsi="Garamond"/>
          <w:sz w:val="18"/>
          <w:szCs w:val="18"/>
          <w:lang w:val="en-US"/>
        </w:rPr>
        <w:t>,</w:t>
      </w:r>
      <w:r w:rsidR="38843368" w:rsidRPr="00B5204A">
        <w:rPr>
          <w:rFonts w:ascii="Garamond" w:hAnsi="Garamond"/>
          <w:sz w:val="18"/>
          <w:szCs w:val="18"/>
          <w:lang w:val="en-US"/>
        </w:rPr>
        <w:t xml:space="preserve"> and electric transmission</w:t>
      </w:r>
      <w:r w:rsidR="0055525A" w:rsidRPr="00B5204A">
        <w:rPr>
          <w:rFonts w:ascii="Garamond" w:hAnsi="Garamond"/>
          <w:sz w:val="18"/>
          <w:szCs w:val="18"/>
          <w:lang w:val="en-US"/>
        </w:rPr>
        <w:t xml:space="preserve"> costs. These additional costs </w:t>
      </w:r>
      <w:r w:rsidR="38843368" w:rsidRPr="00B5204A">
        <w:rPr>
          <w:rFonts w:ascii="Garamond" w:hAnsi="Garamond"/>
          <w:sz w:val="18"/>
          <w:szCs w:val="18"/>
          <w:lang w:val="en-US"/>
        </w:rPr>
        <w:t xml:space="preserve">are not addressed in this case.  </w:t>
      </w:r>
      <w:r w:rsidR="008E4FEB" w:rsidRPr="00B5204A">
        <w:rPr>
          <w:rFonts w:ascii="Garamond" w:hAnsi="Garamond"/>
          <w:sz w:val="18"/>
          <w:szCs w:val="18"/>
          <w:lang w:val="en-US"/>
        </w:rPr>
        <w:t>T</w:t>
      </w:r>
      <w:r w:rsidR="38843368" w:rsidRPr="00B5204A">
        <w:rPr>
          <w:rFonts w:ascii="Garamond" w:hAnsi="Garamond"/>
          <w:sz w:val="18"/>
          <w:szCs w:val="18"/>
          <w:lang w:val="en-US"/>
        </w:rPr>
        <w:t xml:space="preserve">his GRC </w:t>
      </w:r>
      <w:r w:rsidR="008E4FEB" w:rsidRPr="00B5204A">
        <w:rPr>
          <w:rFonts w:ascii="Garamond" w:hAnsi="Garamond"/>
          <w:sz w:val="18"/>
          <w:szCs w:val="18"/>
          <w:lang w:val="en-US"/>
        </w:rPr>
        <w:t xml:space="preserve">also </w:t>
      </w:r>
      <w:r w:rsidR="38843368" w:rsidRPr="00B5204A">
        <w:rPr>
          <w:rFonts w:ascii="Garamond" w:hAnsi="Garamond"/>
          <w:sz w:val="18"/>
          <w:szCs w:val="18"/>
          <w:lang w:val="en-US"/>
        </w:rPr>
        <w:t xml:space="preserve">does not address </w:t>
      </w:r>
      <w:r w:rsidR="001A5D5E" w:rsidRPr="00B5204A">
        <w:rPr>
          <w:rFonts w:ascii="Garamond" w:hAnsi="Garamond"/>
          <w:sz w:val="18"/>
          <w:szCs w:val="18"/>
          <w:lang w:val="en-US"/>
        </w:rPr>
        <w:t xml:space="preserve">the costs of </w:t>
      </w:r>
      <w:r w:rsidR="0055525A" w:rsidRPr="00B5204A">
        <w:rPr>
          <w:rFonts w:ascii="Garamond" w:hAnsi="Garamond"/>
          <w:sz w:val="18"/>
          <w:szCs w:val="18"/>
          <w:lang w:val="en-US"/>
        </w:rPr>
        <w:t xml:space="preserve">natural </w:t>
      </w:r>
      <w:r w:rsidR="38843368" w:rsidRPr="00B5204A">
        <w:rPr>
          <w:rFonts w:ascii="Garamond" w:hAnsi="Garamond"/>
          <w:sz w:val="18"/>
          <w:szCs w:val="18"/>
          <w:lang w:val="en-US"/>
        </w:rPr>
        <w:t>gas</w:t>
      </w:r>
      <w:r w:rsidR="000F6FD8" w:rsidRPr="00B5204A">
        <w:rPr>
          <w:rFonts w:ascii="Garamond" w:hAnsi="Garamond"/>
          <w:sz w:val="18"/>
          <w:szCs w:val="18"/>
          <w:lang w:val="en-US"/>
        </w:rPr>
        <w:t>.</w:t>
      </w:r>
    </w:p>
  </w:footnote>
  <w:footnote w:id="3">
    <w:p w14:paraId="362A6A0B" w14:textId="3A78F6B8" w:rsidR="00F151D3" w:rsidRPr="00B5204A" w:rsidRDefault="00F151D3" w:rsidP="00F151D3">
      <w:pPr>
        <w:pBdr>
          <w:top w:val="nil"/>
          <w:left w:val="nil"/>
          <w:bottom w:val="nil"/>
          <w:right w:val="nil"/>
          <w:between w:val="nil"/>
        </w:pBdr>
        <w:rPr>
          <w:color w:val="000000"/>
          <w:sz w:val="18"/>
          <w:szCs w:val="18"/>
        </w:rPr>
      </w:pPr>
      <w:r w:rsidRPr="00B5204A">
        <w:rPr>
          <w:color w:val="000000"/>
          <w:sz w:val="18"/>
          <w:szCs w:val="18"/>
        </w:rPr>
        <w:t>For</w:t>
      </w:r>
      <w:r w:rsidR="00EB4649" w:rsidRPr="00B5204A">
        <w:rPr>
          <w:color w:val="000000"/>
          <w:sz w:val="18"/>
          <w:szCs w:val="18"/>
        </w:rPr>
        <w:t xml:space="preserve"> information</w:t>
      </w:r>
      <w:r w:rsidRPr="00B5204A">
        <w:rPr>
          <w:color w:val="000000"/>
          <w:sz w:val="18"/>
          <w:szCs w:val="18"/>
        </w:rPr>
        <w:t xml:space="preserve"> on recent PG&amp;E rate changes</w:t>
      </w:r>
      <w:r w:rsidR="00EB4649" w:rsidRPr="00B5204A">
        <w:rPr>
          <w:color w:val="000000"/>
          <w:sz w:val="18"/>
          <w:szCs w:val="18"/>
        </w:rPr>
        <w:t>,</w:t>
      </w:r>
      <w:r w:rsidRPr="00B5204A">
        <w:rPr>
          <w:color w:val="000000"/>
          <w:sz w:val="18"/>
          <w:szCs w:val="18"/>
        </w:rPr>
        <w:t xml:space="preserve"> see the Energy Division Rate Change Advisory here: </w:t>
      </w:r>
      <w:hyperlink r:id="rId1" w:history="1">
        <w:r w:rsidRPr="00B5204A">
          <w:rPr>
            <w:rStyle w:val="Hyperlink"/>
            <w:sz w:val="18"/>
            <w:szCs w:val="18"/>
          </w:rPr>
          <w:t>https://www.cpuc.ca.gov/-/media/cpuc-website/divisions/energy-division/documents/rate-change-advisories/20220101rate-alertpge-updated.pdf</w:t>
        </w:r>
      </w:hyperlink>
      <w:r w:rsidRPr="00B5204A">
        <w:rPr>
          <w:color w:val="000000"/>
          <w:sz w:val="18"/>
          <w:szCs w:val="18"/>
        </w:rPr>
        <w:t>.</w:t>
      </w:r>
    </w:p>
  </w:footnote>
  <w:footnote w:id="4">
    <w:p w14:paraId="1B6AEE1C" w14:textId="04F7FA5F" w:rsidR="00B64702" w:rsidRPr="00B5204A" w:rsidRDefault="00B64702">
      <w:pPr>
        <w:pStyle w:val="FootnoteText"/>
        <w:rPr>
          <w:rFonts w:ascii="Garamond" w:hAnsi="Garamond"/>
          <w:sz w:val="18"/>
          <w:szCs w:val="18"/>
          <w:lang w:val="en-US"/>
        </w:rPr>
      </w:pPr>
      <w:r w:rsidRPr="00B5204A">
        <w:rPr>
          <w:rStyle w:val="FootnoteReference"/>
          <w:rFonts w:ascii="Garamond" w:hAnsi="Garamond"/>
          <w:sz w:val="18"/>
          <w:szCs w:val="18"/>
        </w:rPr>
        <w:footnoteRef/>
      </w:r>
      <w:r w:rsidRPr="00B5204A">
        <w:rPr>
          <w:rFonts w:ascii="Garamond" w:hAnsi="Garamond"/>
          <w:sz w:val="18"/>
          <w:szCs w:val="18"/>
        </w:rPr>
        <w:t xml:space="preserve"> </w:t>
      </w:r>
      <w:r w:rsidRPr="00B5204A">
        <w:rPr>
          <w:rFonts w:ascii="Garamond" w:hAnsi="Garamond"/>
          <w:sz w:val="18"/>
          <w:szCs w:val="18"/>
          <w:lang w:val="en-US"/>
        </w:rPr>
        <w:t xml:space="preserve">Residential customers are billed by PG&amp;E based primarily on their energy usage.  Electric usage is measured in kilowatt-hours (kWh) and gas usage is measured in </w:t>
      </w:r>
      <w:proofErr w:type="spellStart"/>
      <w:r w:rsidRPr="00B5204A">
        <w:rPr>
          <w:rFonts w:ascii="Garamond" w:hAnsi="Garamond"/>
          <w:sz w:val="18"/>
          <w:szCs w:val="18"/>
          <w:lang w:val="en-US"/>
        </w:rPr>
        <w:t>therms</w:t>
      </w:r>
      <w:proofErr w:type="spellEnd"/>
      <w:r w:rsidRPr="00B5204A">
        <w:rPr>
          <w:rFonts w:ascii="Garamond" w:hAnsi="Garamond"/>
          <w:sz w:val="18"/>
          <w:szCs w:val="18"/>
          <w:lang w:val="en-US"/>
        </w:rPr>
        <w:t>.</w:t>
      </w:r>
    </w:p>
  </w:footnote>
  <w:footnote w:id="5">
    <w:p w14:paraId="4775191A" w14:textId="7E5E9CDF" w:rsidR="009661FC" w:rsidRPr="00B5204A" w:rsidRDefault="009661FC">
      <w:pPr>
        <w:pStyle w:val="FootnoteText"/>
        <w:rPr>
          <w:rFonts w:ascii="Garamond" w:hAnsi="Garamond"/>
          <w:sz w:val="18"/>
          <w:szCs w:val="18"/>
          <w:lang w:val="en-ZW"/>
        </w:rPr>
      </w:pPr>
      <w:r w:rsidRPr="00B5204A">
        <w:rPr>
          <w:rStyle w:val="FootnoteReference"/>
          <w:rFonts w:ascii="Garamond" w:hAnsi="Garamond"/>
          <w:sz w:val="18"/>
          <w:szCs w:val="18"/>
        </w:rPr>
        <w:footnoteRef/>
      </w:r>
      <w:r w:rsidRPr="00B5204A">
        <w:rPr>
          <w:rFonts w:ascii="Garamond" w:hAnsi="Garamond"/>
          <w:sz w:val="18"/>
          <w:szCs w:val="18"/>
        </w:rPr>
        <w:t xml:space="preserve"> </w:t>
      </w:r>
      <w:bookmarkStart w:id="3" w:name="_Hlk120975746"/>
      <w:r w:rsidRPr="00B5204A">
        <w:rPr>
          <w:rFonts w:ascii="Garamond" w:hAnsi="Garamond"/>
          <w:sz w:val="18"/>
          <w:szCs w:val="18"/>
          <w:lang w:val="en-ZW"/>
        </w:rPr>
        <w:t>PG&amp;E Ex-1 at 1-18.</w:t>
      </w:r>
    </w:p>
    <w:bookmarkEnd w:id="3"/>
  </w:footnote>
  <w:footnote w:id="6">
    <w:p w14:paraId="3DFAE929" w14:textId="1D132CD2" w:rsidR="00971DB1" w:rsidRPr="00B5204A" w:rsidRDefault="00971DB1" w:rsidP="00971DB1">
      <w:pPr>
        <w:pStyle w:val="FootnoteText"/>
        <w:rPr>
          <w:rFonts w:ascii="Garamond" w:hAnsi="Garamond"/>
          <w:sz w:val="18"/>
          <w:szCs w:val="18"/>
          <w:lang w:val="en-US"/>
        </w:rPr>
      </w:pPr>
      <w:r w:rsidRPr="00B5204A">
        <w:rPr>
          <w:rStyle w:val="FootnoteReference"/>
          <w:rFonts w:ascii="Garamond" w:hAnsi="Garamond"/>
          <w:sz w:val="18"/>
          <w:szCs w:val="18"/>
        </w:rPr>
        <w:footnoteRef/>
      </w:r>
      <w:r w:rsidRPr="00B5204A">
        <w:rPr>
          <w:rFonts w:ascii="Garamond" w:hAnsi="Garamond"/>
          <w:sz w:val="18"/>
          <w:szCs w:val="18"/>
        </w:rPr>
        <w:t xml:space="preserve"> </w:t>
      </w:r>
      <w:r w:rsidR="00DD75E5" w:rsidRPr="00B5204A">
        <w:rPr>
          <w:rFonts w:ascii="Garamond" w:hAnsi="Garamond"/>
          <w:sz w:val="18"/>
          <w:szCs w:val="18"/>
          <w:lang w:val="en-US"/>
        </w:rPr>
        <w:t>Information regarding PG&amp;E’s rate of retur</w:t>
      </w:r>
      <w:r w:rsidR="00942511">
        <w:rPr>
          <w:rFonts w:ascii="Garamond" w:hAnsi="Garamond"/>
          <w:sz w:val="18"/>
          <w:szCs w:val="18"/>
          <w:lang w:val="en-US"/>
        </w:rPr>
        <w:t>n</w:t>
      </w:r>
      <w:r w:rsidR="00DD75E5" w:rsidRPr="00B5204A">
        <w:rPr>
          <w:rFonts w:ascii="Garamond" w:hAnsi="Garamond"/>
          <w:sz w:val="18"/>
          <w:szCs w:val="18"/>
          <w:lang w:val="en-US"/>
        </w:rPr>
        <w:t xml:space="preserve"> is available </w:t>
      </w:r>
      <w:r w:rsidR="00203671" w:rsidRPr="00B5204A">
        <w:rPr>
          <w:rFonts w:ascii="Garamond" w:hAnsi="Garamond"/>
          <w:sz w:val="18"/>
          <w:szCs w:val="18"/>
          <w:lang w:val="en-US"/>
        </w:rPr>
        <w:t xml:space="preserve">in A.22-04-008 and </w:t>
      </w:r>
      <w:r w:rsidR="00DD75E5" w:rsidRPr="00B5204A">
        <w:rPr>
          <w:rFonts w:ascii="Garamond" w:hAnsi="Garamond"/>
          <w:sz w:val="18"/>
          <w:szCs w:val="18"/>
          <w:lang w:val="en-US"/>
        </w:rPr>
        <w:t>on the CPUC’s website</w:t>
      </w:r>
      <w:r w:rsidR="00203671" w:rsidRPr="00B5204A">
        <w:rPr>
          <w:rFonts w:ascii="Garamond" w:hAnsi="Garamond"/>
          <w:sz w:val="18"/>
          <w:szCs w:val="18"/>
          <w:lang w:val="en-US"/>
        </w:rPr>
        <w:t xml:space="preserve"> at the following link: </w:t>
      </w:r>
      <w:hyperlink r:id="rId2" w:history="1">
        <w:r w:rsidR="000F575E" w:rsidRPr="00B5204A">
          <w:rPr>
            <w:rStyle w:val="Hyperlink"/>
            <w:rFonts w:ascii="Garamond" w:hAnsi="Garamond"/>
            <w:sz w:val="18"/>
            <w:szCs w:val="18"/>
            <w:lang w:val="en-US"/>
          </w:rPr>
          <w:t>498526018.PDF (ca.gov)</w:t>
        </w:r>
      </w:hyperlink>
      <w:r w:rsidR="004F3348">
        <w:rPr>
          <w:rFonts w:ascii="Garamond" w:hAnsi="Garamond"/>
          <w:sz w:val="18"/>
          <w:szCs w:val="18"/>
          <w:lang w:val="en-US"/>
        </w:rPr>
        <w:t xml:space="preserve"> </w:t>
      </w:r>
      <w:r w:rsidR="006B1BF7" w:rsidRPr="00B5204A">
        <w:rPr>
          <w:rFonts w:ascii="Garamond" w:hAnsi="Garamond"/>
          <w:sz w:val="18"/>
          <w:szCs w:val="18"/>
          <w:lang w:val="en-US"/>
        </w:rPr>
        <w:t xml:space="preserve">The November </w:t>
      </w:r>
      <w:r w:rsidR="004F1442" w:rsidRPr="00B5204A">
        <w:rPr>
          <w:rFonts w:ascii="Garamond" w:hAnsi="Garamond"/>
          <w:sz w:val="18"/>
          <w:szCs w:val="18"/>
          <w:lang w:val="en-US"/>
        </w:rPr>
        <w:t>9</w:t>
      </w:r>
      <w:r w:rsidR="006B1BF7" w:rsidRPr="00B5204A">
        <w:rPr>
          <w:rFonts w:ascii="Garamond" w:hAnsi="Garamond"/>
          <w:sz w:val="18"/>
          <w:szCs w:val="18"/>
          <w:lang w:val="en-US"/>
        </w:rPr>
        <w:t>, 2022 proposed decision recommends that the CPUC adopt a 2023</w:t>
      </w:r>
      <w:r w:rsidRPr="00B5204A">
        <w:rPr>
          <w:rFonts w:ascii="Garamond" w:hAnsi="Garamond"/>
          <w:sz w:val="18"/>
          <w:szCs w:val="18"/>
          <w:lang w:val="en-US"/>
        </w:rPr>
        <w:t xml:space="preserve"> rate of return of 7.3</w:t>
      </w:r>
      <w:r w:rsidR="006B1BF7" w:rsidRPr="00B5204A">
        <w:rPr>
          <w:rFonts w:ascii="Garamond" w:hAnsi="Garamond"/>
          <w:sz w:val="18"/>
          <w:szCs w:val="18"/>
          <w:lang w:val="en-US"/>
        </w:rPr>
        <w:t>2</w:t>
      </w:r>
      <w:r w:rsidRPr="00B5204A">
        <w:rPr>
          <w:rFonts w:ascii="Garamond" w:hAnsi="Garamond"/>
          <w:sz w:val="18"/>
          <w:szCs w:val="18"/>
          <w:lang w:val="en-US"/>
        </w:rPr>
        <w:t xml:space="preserve">%. </w:t>
      </w:r>
      <w:r w:rsidR="00CA3ECF" w:rsidRPr="00B5204A">
        <w:rPr>
          <w:rFonts w:ascii="Garamond" w:hAnsi="Garamond"/>
          <w:sz w:val="18"/>
          <w:szCs w:val="18"/>
          <w:lang w:val="en-US"/>
        </w:rPr>
        <w:t xml:space="preserve"> </w:t>
      </w:r>
      <w:r w:rsidRPr="00B5204A">
        <w:rPr>
          <w:rFonts w:ascii="Garamond" w:hAnsi="Garamond"/>
          <w:sz w:val="18"/>
          <w:szCs w:val="18"/>
          <w:lang w:val="en-US"/>
        </w:rPr>
        <w:t>PG&amp;E request</w:t>
      </w:r>
      <w:r w:rsidR="006B1BF7" w:rsidRPr="00B5204A">
        <w:rPr>
          <w:rFonts w:ascii="Garamond" w:hAnsi="Garamond"/>
          <w:sz w:val="18"/>
          <w:szCs w:val="18"/>
          <w:lang w:val="en-US"/>
        </w:rPr>
        <w:t>ed</w:t>
      </w:r>
      <w:r w:rsidRPr="00B5204A">
        <w:rPr>
          <w:rFonts w:ascii="Garamond" w:hAnsi="Garamond"/>
          <w:sz w:val="18"/>
          <w:szCs w:val="18"/>
          <w:lang w:val="en-US"/>
        </w:rPr>
        <w:t xml:space="preserve"> a rate of return of 7.78%.  </w:t>
      </w:r>
    </w:p>
  </w:footnote>
  <w:footnote w:id="7">
    <w:p w14:paraId="18BB2E3B" w14:textId="40D12A7E" w:rsidR="009A6F1E" w:rsidRPr="00B5204A" w:rsidRDefault="009A6F1E">
      <w:pPr>
        <w:pStyle w:val="FootnoteText"/>
        <w:rPr>
          <w:rFonts w:ascii="Garamond" w:hAnsi="Garamond"/>
          <w:sz w:val="18"/>
          <w:szCs w:val="18"/>
          <w:lang w:val="en-ZW"/>
        </w:rPr>
      </w:pPr>
      <w:r w:rsidRPr="00B5204A">
        <w:rPr>
          <w:rStyle w:val="FootnoteReference"/>
          <w:rFonts w:ascii="Garamond" w:hAnsi="Garamond"/>
          <w:sz w:val="18"/>
          <w:szCs w:val="18"/>
        </w:rPr>
        <w:footnoteRef/>
      </w:r>
      <w:r w:rsidRPr="00B5204A">
        <w:rPr>
          <w:rFonts w:ascii="Garamond" w:hAnsi="Garamond"/>
          <w:sz w:val="18"/>
          <w:szCs w:val="18"/>
        </w:rPr>
        <w:t xml:space="preserve"> </w:t>
      </w:r>
      <w:r w:rsidRPr="00B5204A">
        <w:rPr>
          <w:rFonts w:ascii="Garamond" w:hAnsi="Garamond"/>
          <w:sz w:val="18"/>
          <w:szCs w:val="18"/>
          <w:lang w:val="en-ZW"/>
        </w:rPr>
        <w:t>PG&amp;E Ex-4 at 2-5 and 2-6.</w:t>
      </w:r>
    </w:p>
  </w:footnote>
  <w:footnote w:id="8">
    <w:p w14:paraId="34268CB1" w14:textId="1113AFFD" w:rsidR="006A3DBF" w:rsidRPr="00B5204A" w:rsidRDefault="006A3DBF">
      <w:pPr>
        <w:pStyle w:val="FootnoteText"/>
        <w:rPr>
          <w:rFonts w:ascii="Garamond" w:hAnsi="Garamond"/>
          <w:sz w:val="18"/>
          <w:szCs w:val="18"/>
          <w:lang w:val="en-ZW"/>
        </w:rPr>
      </w:pPr>
      <w:r w:rsidRPr="00B5204A">
        <w:rPr>
          <w:rStyle w:val="FootnoteReference"/>
          <w:rFonts w:ascii="Garamond" w:hAnsi="Garamond"/>
          <w:sz w:val="18"/>
          <w:szCs w:val="18"/>
        </w:rPr>
        <w:footnoteRef/>
      </w:r>
      <w:r w:rsidRPr="00B5204A">
        <w:rPr>
          <w:rFonts w:ascii="Garamond" w:hAnsi="Garamond"/>
          <w:sz w:val="18"/>
          <w:szCs w:val="18"/>
        </w:rPr>
        <w:t xml:space="preserve"> </w:t>
      </w:r>
      <w:r w:rsidRPr="00B5204A">
        <w:rPr>
          <w:rFonts w:ascii="Garamond" w:hAnsi="Garamond"/>
          <w:sz w:val="18"/>
          <w:szCs w:val="18"/>
          <w:lang w:val="en-ZW"/>
        </w:rPr>
        <w:t>PG&amp;E Ex</w:t>
      </w:r>
      <w:r w:rsidR="002A65B4" w:rsidRPr="00B5204A">
        <w:rPr>
          <w:rFonts w:ascii="Garamond" w:hAnsi="Garamond"/>
          <w:sz w:val="18"/>
          <w:szCs w:val="18"/>
          <w:lang w:val="en-ZW"/>
        </w:rPr>
        <w:t>-</w:t>
      </w:r>
      <w:r w:rsidRPr="00B5204A">
        <w:rPr>
          <w:rFonts w:ascii="Garamond" w:hAnsi="Garamond"/>
          <w:sz w:val="18"/>
          <w:szCs w:val="18"/>
          <w:lang w:val="en-ZW"/>
        </w:rPr>
        <w:t xml:space="preserve">4 at </w:t>
      </w:r>
      <w:r w:rsidR="00FB306D" w:rsidRPr="00B5204A">
        <w:rPr>
          <w:rFonts w:ascii="Garamond" w:hAnsi="Garamond"/>
          <w:sz w:val="18"/>
          <w:szCs w:val="18"/>
          <w:lang w:val="en-ZW"/>
        </w:rPr>
        <w:t>2-7.</w:t>
      </w:r>
    </w:p>
  </w:footnote>
  <w:footnote w:id="9">
    <w:p w14:paraId="00C47401" w14:textId="03FF2B8C" w:rsidR="008D68C2" w:rsidRPr="00B5204A" w:rsidRDefault="008D68C2">
      <w:pPr>
        <w:pStyle w:val="FootnoteText"/>
        <w:rPr>
          <w:rFonts w:ascii="Garamond" w:hAnsi="Garamond"/>
          <w:sz w:val="18"/>
          <w:szCs w:val="18"/>
          <w:lang w:val="en-ZW"/>
        </w:rPr>
      </w:pPr>
      <w:r w:rsidRPr="00B5204A">
        <w:rPr>
          <w:rStyle w:val="FootnoteReference"/>
          <w:rFonts w:ascii="Garamond" w:hAnsi="Garamond"/>
          <w:sz w:val="18"/>
          <w:szCs w:val="18"/>
        </w:rPr>
        <w:footnoteRef/>
      </w:r>
      <w:r w:rsidRPr="00B5204A">
        <w:rPr>
          <w:rFonts w:ascii="Garamond" w:hAnsi="Garamond"/>
          <w:sz w:val="18"/>
          <w:szCs w:val="18"/>
        </w:rPr>
        <w:t xml:space="preserve"> PG&amp;E Ex</w:t>
      </w:r>
      <w:r w:rsidR="002A65B4" w:rsidRPr="00B5204A">
        <w:rPr>
          <w:rFonts w:ascii="Garamond" w:hAnsi="Garamond"/>
          <w:sz w:val="18"/>
          <w:szCs w:val="18"/>
        </w:rPr>
        <w:t xml:space="preserve">-4 at </w:t>
      </w:r>
      <w:r w:rsidRPr="00B5204A">
        <w:rPr>
          <w:rFonts w:ascii="Garamond" w:hAnsi="Garamond"/>
          <w:sz w:val="18"/>
          <w:szCs w:val="18"/>
          <w:lang w:val="en-ZW"/>
        </w:rPr>
        <w:t>2-7 and 2-8.</w:t>
      </w:r>
    </w:p>
  </w:footnote>
  <w:footnote w:id="10">
    <w:p w14:paraId="13E45C2F" w14:textId="6293A52A" w:rsidR="00B125E7" w:rsidRPr="00B5204A" w:rsidRDefault="00B125E7">
      <w:pPr>
        <w:pStyle w:val="FootnoteText"/>
        <w:rPr>
          <w:rFonts w:ascii="Garamond" w:hAnsi="Garamond"/>
          <w:sz w:val="18"/>
          <w:szCs w:val="18"/>
          <w:lang w:val="en-ZW"/>
        </w:rPr>
      </w:pPr>
      <w:r w:rsidRPr="00B5204A">
        <w:rPr>
          <w:rStyle w:val="FootnoteReference"/>
          <w:rFonts w:ascii="Garamond" w:hAnsi="Garamond"/>
          <w:sz w:val="18"/>
          <w:szCs w:val="18"/>
        </w:rPr>
        <w:footnoteRef/>
      </w:r>
      <w:r w:rsidRPr="00B5204A">
        <w:rPr>
          <w:rFonts w:ascii="Garamond" w:hAnsi="Garamond"/>
          <w:sz w:val="18"/>
          <w:szCs w:val="18"/>
        </w:rPr>
        <w:t xml:space="preserve"> </w:t>
      </w:r>
      <w:r w:rsidRPr="00B5204A">
        <w:rPr>
          <w:rFonts w:ascii="Garamond" w:hAnsi="Garamond"/>
          <w:sz w:val="18"/>
          <w:szCs w:val="18"/>
          <w:lang w:val="en-ZW"/>
        </w:rPr>
        <w:t>PG&amp;E Ex-1 at 1-19.</w:t>
      </w:r>
    </w:p>
  </w:footnote>
  <w:footnote w:id="11">
    <w:p w14:paraId="462DED7B" w14:textId="4B5D2D6A" w:rsidR="00540806" w:rsidRPr="00B5204A" w:rsidRDefault="00540806">
      <w:pPr>
        <w:pStyle w:val="FootnoteText"/>
        <w:rPr>
          <w:rFonts w:ascii="Garamond" w:hAnsi="Garamond"/>
          <w:sz w:val="18"/>
          <w:szCs w:val="18"/>
          <w:lang w:val="en-ZW"/>
        </w:rPr>
      </w:pPr>
      <w:r w:rsidRPr="00B5204A">
        <w:rPr>
          <w:rStyle w:val="FootnoteReference"/>
          <w:rFonts w:ascii="Garamond" w:hAnsi="Garamond"/>
          <w:sz w:val="18"/>
          <w:szCs w:val="18"/>
        </w:rPr>
        <w:footnoteRef/>
      </w:r>
      <w:r w:rsidRPr="00B5204A">
        <w:rPr>
          <w:rFonts w:ascii="Garamond" w:hAnsi="Garamond"/>
          <w:sz w:val="18"/>
          <w:szCs w:val="18"/>
        </w:rPr>
        <w:t xml:space="preserve"> </w:t>
      </w:r>
      <w:r w:rsidRPr="00B5204A">
        <w:rPr>
          <w:rFonts w:ascii="Garamond" w:hAnsi="Garamond"/>
          <w:sz w:val="18"/>
          <w:szCs w:val="18"/>
          <w:lang w:val="en-ZW"/>
        </w:rPr>
        <w:t>PG&amp;E Ex-3 at 2-3</w:t>
      </w:r>
      <w:r w:rsidR="00950D11" w:rsidRPr="00B5204A">
        <w:rPr>
          <w:rFonts w:ascii="Garamond" w:hAnsi="Garamond"/>
          <w:sz w:val="18"/>
          <w:szCs w:val="18"/>
          <w:lang w:val="en-ZW"/>
        </w:rPr>
        <w:t>.</w:t>
      </w:r>
    </w:p>
  </w:footnote>
  <w:footnote w:id="12">
    <w:p w14:paraId="0B84F8C5" w14:textId="166EA4D2" w:rsidR="00CC1E20" w:rsidRPr="00B5204A" w:rsidRDefault="00CC1E20">
      <w:pPr>
        <w:pStyle w:val="FootnoteText"/>
        <w:rPr>
          <w:rFonts w:ascii="Garamond" w:hAnsi="Garamond"/>
          <w:sz w:val="18"/>
          <w:szCs w:val="18"/>
          <w:lang w:val="en-ZW"/>
        </w:rPr>
      </w:pPr>
      <w:r w:rsidRPr="00B5204A">
        <w:rPr>
          <w:rStyle w:val="FootnoteReference"/>
          <w:rFonts w:ascii="Garamond" w:hAnsi="Garamond"/>
          <w:sz w:val="18"/>
          <w:szCs w:val="18"/>
        </w:rPr>
        <w:footnoteRef/>
      </w:r>
      <w:r w:rsidRPr="00B5204A">
        <w:rPr>
          <w:rFonts w:ascii="Garamond" w:hAnsi="Garamond"/>
          <w:sz w:val="18"/>
          <w:szCs w:val="18"/>
        </w:rPr>
        <w:t xml:space="preserve"> </w:t>
      </w:r>
      <w:r w:rsidRPr="00B5204A">
        <w:rPr>
          <w:rFonts w:ascii="Garamond" w:hAnsi="Garamond"/>
          <w:sz w:val="18"/>
          <w:szCs w:val="18"/>
          <w:lang w:val="en-ZW"/>
        </w:rPr>
        <w:t>PG&amp;E Ex-3 at 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6E91" w14:textId="68DD6DC8" w:rsidR="00AA200C" w:rsidRDefault="00AA200C">
    <w:pPr>
      <w:pStyle w:val="Header"/>
    </w:pPr>
    <w:r>
      <w:rPr>
        <w:noProof/>
        <w:color w:val="2B579A"/>
        <w:shd w:val="clear" w:color="auto" w:fill="E6E6E6"/>
      </w:rPr>
      <w:drawing>
        <wp:anchor distT="0" distB="0" distL="114300" distR="114300" simplePos="0" relativeHeight="251658240" behindDoc="0" locked="0" layoutInCell="1" allowOverlap="1" wp14:anchorId="32C7E25D" wp14:editId="11B6B564">
          <wp:simplePos x="0" y="0"/>
          <wp:positionH relativeFrom="column">
            <wp:posOffset>-462045</wp:posOffset>
          </wp:positionH>
          <wp:positionV relativeFrom="paragraph">
            <wp:posOffset>-91415</wp:posOffset>
          </wp:positionV>
          <wp:extent cx="7772400" cy="649361"/>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Blan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64936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D56"/>
    <w:multiLevelType w:val="hybridMultilevel"/>
    <w:tmpl w:val="43D24596"/>
    <w:lvl w:ilvl="0" w:tplc="12EC3E6A">
      <w:start w:val="1"/>
      <w:numFmt w:val="bullet"/>
      <w:lvlText w:val="●"/>
      <w:lvlJc w:val="left"/>
      <w:pPr>
        <w:ind w:left="246" w:hanging="360"/>
      </w:pPr>
      <w:rPr>
        <w:rFonts w:ascii="Times New Roman" w:hAnsi="Times New Roman" w:hint="default"/>
        <w:caps w:val="0"/>
        <w:strike w:val="0"/>
        <w:dstrike w:val="0"/>
        <w:vanish w:val="0"/>
        <w:color w:val="1F3864" w:themeColor="accent5" w:themeShade="80"/>
        <w:sz w:val="24"/>
        <w:vertAlign w:val="baseline"/>
      </w:rPr>
    </w:lvl>
    <w:lvl w:ilvl="1" w:tplc="04090003" w:tentative="1">
      <w:start w:val="1"/>
      <w:numFmt w:val="bullet"/>
      <w:lvlText w:val="o"/>
      <w:lvlJc w:val="left"/>
      <w:pPr>
        <w:ind w:left="966" w:hanging="360"/>
      </w:pPr>
      <w:rPr>
        <w:rFonts w:ascii="Courier New" w:hAnsi="Courier New" w:cs="Courier New" w:hint="default"/>
      </w:rPr>
    </w:lvl>
    <w:lvl w:ilvl="2" w:tplc="04090005" w:tentative="1">
      <w:start w:val="1"/>
      <w:numFmt w:val="bullet"/>
      <w:lvlText w:val=""/>
      <w:lvlJc w:val="left"/>
      <w:pPr>
        <w:ind w:left="1686" w:hanging="360"/>
      </w:pPr>
      <w:rPr>
        <w:rFonts w:ascii="Wingdings" w:hAnsi="Wingdings" w:hint="default"/>
      </w:rPr>
    </w:lvl>
    <w:lvl w:ilvl="3" w:tplc="04090001" w:tentative="1">
      <w:start w:val="1"/>
      <w:numFmt w:val="bullet"/>
      <w:lvlText w:val=""/>
      <w:lvlJc w:val="left"/>
      <w:pPr>
        <w:ind w:left="2406" w:hanging="360"/>
      </w:pPr>
      <w:rPr>
        <w:rFonts w:ascii="Symbol" w:hAnsi="Symbol" w:hint="default"/>
      </w:rPr>
    </w:lvl>
    <w:lvl w:ilvl="4" w:tplc="04090003" w:tentative="1">
      <w:start w:val="1"/>
      <w:numFmt w:val="bullet"/>
      <w:lvlText w:val="o"/>
      <w:lvlJc w:val="left"/>
      <w:pPr>
        <w:ind w:left="3126" w:hanging="360"/>
      </w:pPr>
      <w:rPr>
        <w:rFonts w:ascii="Courier New" w:hAnsi="Courier New" w:cs="Courier New" w:hint="default"/>
      </w:rPr>
    </w:lvl>
    <w:lvl w:ilvl="5" w:tplc="04090005" w:tentative="1">
      <w:start w:val="1"/>
      <w:numFmt w:val="bullet"/>
      <w:lvlText w:val=""/>
      <w:lvlJc w:val="left"/>
      <w:pPr>
        <w:ind w:left="3846" w:hanging="360"/>
      </w:pPr>
      <w:rPr>
        <w:rFonts w:ascii="Wingdings" w:hAnsi="Wingdings" w:hint="default"/>
      </w:rPr>
    </w:lvl>
    <w:lvl w:ilvl="6" w:tplc="04090001" w:tentative="1">
      <w:start w:val="1"/>
      <w:numFmt w:val="bullet"/>
      <w:lvlText w:val=""/>
      <w:lvlJc w:val="left"/>
      <w:pPr>
        <w:ind w:left="4566" w:hanging="360"/>
      </w:pPr>
      <w:rPr>
        <w:rFonts w:ascii="Symbol" w:hAnsi="Symbol" w:hint="default"/>
      </w:rPr>
    </w:lvl>
    <w:lvl w:ilvl="7" w:tplc="04090003" w:tentative="1">
      <w:start w:val="1"/>
      <w:numFmt w:val="bullet"/>
      <w:lvlText w:val="o"/>
      <w:lvlJc w:val="left"/>
      <w:pPr>
        <w:ind w:left="5286" w:hanging="360"/>
      </w:pPr>
      <w:rPr>
        <w:rFonts w:ascii="Courier New" w:hAnsi="Courier New" w:cs="Courier New" w:hint="default"/>
      </w:rPr>
    </w:lvl>
    <w:lvl w:ilvl="8" w:tplc="04090005" w:tentative="1">
      <w:start w:val="1"/>
      <w:numFmt w:val="bullet"/>
      <w:lvlText w:val=""/>
      <w:lvlJc w:val="left"/>
      <w:pPr>
        <w:ind w:left="6006" w:hanging="360"/>
      </w:pPr>
      <w:rPr>
        <w:rFonts w:ascii="Wingdings" w:hAnsi="Wingdings" w:hint="default"/>
      </w:rPr>
    </w:lvl>
  </w:abstractNum>
  <w:abstractNum w:abstractNumId="1" w15:restartNumberingAfterBreak="0">
    <w:nsid w:val="00FF766E"/>
    <w:multiLevelType w:val="hybridMultilevel"/>
    <w:tmpl w:val="4A9A5A54"/>
    <w:lvl w:ilvl="0" w:tplc="744ABF8E">
      <w:start w:val="1"/>
      <w:numFmt w:val="bullet"/>
      <w:lvlText w:val=""/>
      <w:lvlJc w:val="left"/>
      <w:pPr>
        <w:ind w:left="720" w:hanging="360"/>
      </w:pPr>
      <w:rPr>
        <w:rFonts w:ascii="Wingdings" w:hAnsi="Wingdings"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F319A"/>
    <w:multiLevelType w:val="hybridMultilevel"/>
    <w:tmpl w:val="95020D40"/>
    <w:lvl w:ilvl="0" w:tplc="C7245EF8">
      <w:start w:val="1"/>
      <w:numFmt w:val="bullet"/>
      <w:lvlText w:val="●"/>
      <w:lvlJc w:val="left"/>
      <w:pPr>
        <w:ind w:left="720" w:hanging="360"/>
      </w:pPr>
      <w:rPr>
        <w:rFonts w:ascii="Times New Roman" w:hAnsi="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02268"/>
    <w:multiLevelType w:val="hybridMultilevel"/>
    <w:tmpl w:val="43D6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374ED"/>
    <w:multiLevelType w:val="multilevel"/>
    <w:tmpl w:val="18B63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8A3208"/>
    <w:multiLevelType w:val="hybridMultilevel"/>
    <w:tmpl w:val="96E2FF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910E5C"/>
    <w:multiLevelType w:val="multilevel"/>
    <w:tmpl w:val="40A42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7439CF"/>
    <w:multiLevelType w:val="hybridMultilevel"/>
    <w:tmpl w:val="E2C8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E2CCB"/>
    <w:multiLevelType w:val="hybridMultilevel"/>
    <w:tmpl w:val="2EFCDDAC"/>
    <w:lvl w:ilvl="0" w:tplc="04090001">
      <w:start w:val="1"/>
      <w:numFmt w:val="bullet"/>
      <w:lvlText w:val=""/>
      <w:lvlJc w:val="left"/>
      <w:pPr>
        <w:ind w:left="720" w:hanging="360"/>
      </w:pPr>
      <w:rPr>
        <w:rFonts w:ascii="Symbol" w:hAnsi="Symbol"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1D73AA"/>
    <w:multiLevelType w:val="hybridMultilevel"/>
    <w:tmpl w:val="6944CA98"/>
    <w:lvl w:ilvl="0" w:tplc="6A187386">
      <w:start w:val="18"/>
      <w:numFmt w:val="bullet"/>
      <w:lvlText w:val="-"/>
      <w:lvlJc w:val="left"/>
      <w:pPr>
        <w:ind w:left="720" w:hanging="360"/>
      </w:pPr>
      <w:rPr>
        <w:rFonts w:ascii="Garamond" w:eastAsiaTheme="minorHAnsi" w:hAnsi="Garamond"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5246F"/>
    <w:multiLevelType w:val="multilevel"/>
    <w:tmpl w:val="CE94B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6582C61"/>
    <w:multiLevelType w:val="hybridMultilevel"/>
    <w:tmpl w:val="7B7CB40E"/>
    <w:lvl w:ilvl="0" w:tplc="D1FAFA06">
      <w:start w:val="1"/>
      <w:numFmt w:val="bullet"/>
      <w:lvlText w:val=""/>
      <w:lvlJc w:val="left"/>
      <w:pPr>
        <w:ind w:left="720" w:hanging="360"/>
      </w:pPr>
      <w:rPr>
        <w:rFonts w:ascii="Symbol" w:hAnsi="Symbol" w:hint="default"/>
        <w:caps w:val="0"/>
        <w:strike w:val="0"/>
        <w:dstrike w:val="0"/>
        <w:vanish w:val="0"/>
        <w:color w:val="1F3864" w:themeColor="accent5" w:themeShade="8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6914EF"/>
    <w:multiLevelType w:val="hybridMultilevel"/>
    <w:tmpl w:val="0882ABFE"/>
    <w:lvl w:ilvl="0" w:tplc="12EC3E6A">
      <w:start w:val="1"/>
      <w:numFmt w:val="bullet"/>
      <w:lvlText w:val="●"/>
      <w:lvlJc w:val="left"/>
      <w:pPr>
        <w:ind w:left="1080" w:hanging="360"/>
      </w:pPr>
      <w:rPr>
        <w:rFonts w:ascii="Times New Roman" w:hAnsi="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780C81"/>
    <w:multiLevelType w:val="hybridMultilevel"/>
    <w:tmpl w:val="B0E82E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64B14E1"/>
    <w:multiLevelType w:val="hybridMultilevel"/>
    <w:tmpl w:val="0D586E66"/>
    <w:lvl w:ilvl="0" w:tplc="B6AC67E2">
      <w:numFmt w:val="bullet"/>
      <w:lvlText w:val="•"/>
      <w:lvlJc w:val="left"/>
      <w:pPr>
        <w:ind w:left="720" w:hanging="360"/>
      </w:pPr>
      <w:rPr>
        <w:rFonts w:ascii="Calibri" w:eastAsia="Times New Roman" w:hAnsi="Calibri" w:cs="Calibri"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B731E"/>
    <w:multiLevelType w:val="hybridMultilevel"/>
    <w:tmpl w:val="2464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A1FDD"/>
    <w:multiLevelType w:val="hybridMultilevel"/>
    <w:tmpl w:val="EDA0BA0A"/>
    <w:lvl w:ilvl="0" w:tplc="AAE6EC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C57027"/>
    <w:multiLevelType w:val="hybridMultilevel"/>
    <w:tmpl w:val="A1467D4A"/>
    <w:lvl w:ilvl="0" w:tplc="2CB2FA82">
      <w:start w:val="5"/>
      <w:numFmt w:val="bullet"/>
      <w:lvlText w:val="•"/>
      <w:lvlJc w:val="left"/>
      <w:pPr>
        <w:ind w:left="720" w:hanging="360"/>
      </w:pPr>
      <w:rPr>
        <w:rFonts w:ascii="Calibri" w:eastAsiaTheme="minorHAnsi" w:hAnsi="Calibri" w:cs="Calibri"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FB13D9A"/>
    <w:multiLevelType w:val="hybridMultilevel"/>
    <w:tmpl w:val="07F46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8B57F3"/>
    <w:multiLevelType w:val="hybridMultilevel"/>
    <w:tmpl w:val="8D0EC586"/>
    <w:lvl w:ilvl="0" w:tplc="601A1FC2">
      <w:start w:val="1"/>
      <w:numFmt w:val="bullet"/>
      <w:lvlText w:val="•"/>
      <w:lvlJc w:val="left"/>
      <w:pPr>
        <w:tabs>
          <w:tab w:val="num" w:pos="720"/>
        </w:tabs>
        <w:ind w:left="720" w:hanging="360"/>
      </w:pPr>
      <w:rPr>
        <w:rFonts w:ascii="Arial" w:hAnsi="Arial" w:hint="default"/>
      </w:rPr>
    </w:lvl>
    <w:lvl w:ilvl="1" w:tplc="A79EF780" w:tentative="1">
      <w:start w:val="1"/>
      <w:numFmt w:val="bullet"/>
      <w:lvlText w:val="•"/>
      <w:lvlJc w:val="left"/>
      <w:pPr>
        <w:tabs>
          <w:tab w:val="num" w:pos="1440"/>
        </w:tabs>
        <w:ind w:left="1440" w:hanging="360"/>
      </w:pPr>
      <w:rPr>
        <w:rFonts w:ascii="Arial" w:hAnsi="Arial" w:hint="default"/>
      </w:rPr>
    </w:lvl>
    <w:lvl w:ilvl="2" w:tplc="7818CFEC" w:tentative="1">
      <w:start w:val="1"/>
      <w:numFmt w:val="bullet"/>
      <w:lvlText w:val="•"/>
      <w:lvlJc w:val="left"/>
      <w:pPr>
        <w:tabs>
          <w:tab w:val="num" w:pos="2160"/>
        </w:tabs>
        <w:ind w:left="2160" w:hanging="360"/>
      </w:pPr>
      <w:rPr>
        <w:rFonts w:ascii="Arial" w:hAnsi="Arial" w:hint="default"/>
      </w:rPr>
    </w:lvl>
    <w:lvl w:ilvl="3" w:tplc="1F0C70B0" w:tentative="1">
      <w:start w:val="1"/>
      <w:numFmt w:val="bullet"/>
      <w:lvlText w:val="•"/>
      <w:lvlJc w:val="left"/>
      <w:pPr>
        <w:tabs>
          <w:tab w:val="num" w:pos="2880"/>
        </w:tabs>
        <w:ind w:left="2880" w:hanging="360"/>
      </w:pPr>
      <w:rPr>
        <w:rFonts w:ascii="Arial" w:hAnsi="Arial" w:hint="default"/>
      </w:rPr>
    </w:lvl>
    <w:lvl w:ilvl="4" w:tplc="839684AC" w:tentative="1">
      <w:start w:val="1"/>
      <w:numFmt w:val="bullet"/>
      <w:lvlText w:val="•"/>
      <w:lvlJc w:val="left"/>
      <w:pPr>
        <w:tabs>
          <w:tab w:val="num" w:pos="3600"/>
        </w:tabs>
        <w:ind w:left="3600" w:hanging="360"/>
      </w:pPr>
      <w:rPr>
        <w:rFonts w:ascii="Arial" w:hAnsi="Arial" w:hint="default"/>
      </w:rPr>
    </w:lvl>
    <w:lvl w:ilvl="5" w:tplc="3B36D7C6" w:tentative="1">
      <w:start w:val="1"/>
      <w:numFmt w:val="bullet"/>
      <w:lvlText w:val="•"/>
      <w:lvlJc w:val="left"/>
      <w:pPr>
        <w:tabs>
          <w:tab w:val="num" w:pos="4320"/>
        </w:tabs>
        <w:ind w:left="4320" w:hanging="360"/>
      </w:pPr>
      <w:rPr>
        <w:rFonts w:ascii="Arial" w:hAnsi="Arial" w:hint="default"/>
      </w:rPr>
    </w:lvl>
    <w:lvl w:ilvl="6" w:tplc="56F08F3C" w:tentative="1">
      <w:start w:val="1"/>
      <w:numFmt w:val="bullet"/>
      <w:lvlText w:val="•"/>
      <w:lvlJc w:val="left"/>
      <w:pPr>
        <w:tabs>
          <w:tab w:val="num" w:pos="5040"/>
        </w:tabs>
        <w:ind w:left="5040" w:hanging="360"/>
      </w:pPr>
      <w:rPr>
        <w:rFonts w:ascii="Arial" w:hAnsi="Arial" w:hint="default"/>
      </w:rPr>
    </w:lvl>
    <w:lvl w:ilvl="7" w:tplc="5ABC45AC" w:tentative="1">
      <w:start w:val="1"/>
      <w:numFmt w:val="bullet"/>
      <w:lvlText w:val="•"/>
      <w:lvlJc w:val="left"/>
      <w:pPr>
        <w:tabs>
          <w:tab w:val="num" w:pos="5760"/>
        </w:tabs>
        <w:ind w:left="5760" w:hanging="360"/>
      </w:pPr>
      <w:rPr>
        <w:rFonts w:ascii="Arial" w:hAnsi="Arial" w:hint="default"/>
      </w:rPr>
    </w:lvl>
    <w:lvl w:ilvl="8" w:tplc="3F7CF24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D36499"/>
    <w:multiLevelType w:val="hybridMultilevel"/>
    <w:tmpl w:val="1F322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C81E01"/>
    <w:multiLevelType w:val="hybridMultilevel"/>
    <w:tmpl w:val="078C0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C7680"/>
    <w:multiLevelType w:val="hybridMultilevel"/>
    <w:tmpl w:val="D67CE904"/>
    <w:lvl w:ilvl="0" w:tplc="2CB2FA82">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C47141C"/>
    <w:multiLevelType w:val="hybridMultilevel"/>
    <w:tmpl w:val="DEE241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F1286B"/>
    <w:multiLevelType w:val="hybridMultilevel"/>
    <w:tmpl w:val="B302D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0296B26"/>
    <w:multiLevelType w:val="hybridMultilevel"/>
    <w:tmpl w:val="B176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B609FF"/>
    <w:multiLevelType w:val="hybridMultilevel"/>
    <w:tmpl w:val="7A00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C37269"/>
    <w:multiLevelType w:val="hybridMultilevel"/>
    <w:tmpl w:val="D036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8214E5"/>
    <w:multiLevelType w:val="hybridMultilevel"/>
    <w:tmpl w:val="9C1203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C47491E"/>
    <w:multiLevelType w:val="hybridMultilevel"/>
    <w:tmpl w:val="7DB6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B91F4E"/>
    <w:multiLevelType w:val="hybridMultilevel"/>
    <w:tmpl w:val="784C9874"/>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31" w15:restartNumberingAfterBreak="0">
    <w:nsid w:val="63045DF8"/>
    <w:multiLevelType w:val="hybridMultilevel"/>
    <w:tmpl w:val="777AE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9068B"/>
    <w:multiLevelType w:val="hybridMultilevel"/>
    <w:tmpl w:val="C818E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45093A"/>
    <w:multiLevelType w:val="hybridMultilevel"/>
    <w:tmpl w:val="51BE70E8"/>
    <w:lvl w:ilvl="0" w:tplc="12EC3E6A">
      <w:start w:val="1"/>
      <w:numFmt w:val="bullet"/>
      <w:lvlText w:val="●"/>
      <w:lvlJc w:val="left"/>
      <w:pPr>
        <w:ind w:left="1080" w:hanging="360"/>
      </w:pPr>
      <w:rPr>
        <w:rFonts w:ascii="Times New Roman" w:hAnsi="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7975432"/>
    <w:multiLevelType w:val="hybridMultilevel"/>
    <w:tmpl w:val="95FC667C"/>
    <w:lvl w:ilvl="0" w:tplc="04090001">
      <w:start w:val="1"/>
      <w:numFmt w:val="bullet"/>
      <w:lvlText w:val=""/>
      <w:lvlJc w:val="left"/>
      <w:pPr>
        <w:ind w:left="720" w:hanging="360"/>
      </w:pPr>
      <w:rPr>
        <w:rFonts w:ascii="Symbol" w:hAnsi="Symbol"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CC116F"/>
    <w:multiLevelType w:val="hybridMultilevel"/>
    <w:tmpl w:val="01765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0B7CC8"/>
    <w:multiLevelType w:val="hybridMultilevel"/>
    <w:tmpl w:val="8910A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707D4A"/>
    <w:multiLevelType w:val="multilevel"/>
    <w:tmpl w:val="BAD28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36F47FE"/>
    <w:multiLevelType w:val="hybridMultilevel"/>
    <w:tmpl w:val="E5CC603C"/>
    <w:lvl w:ilvl="0" w:tplc="8B54A562">
      <w:numFmt w:val="bullet"/>
      <w:lvlText w:val="•"/>
      <w:lvlJc w:val="left"/>
      <w:pPr>
        <w:ind w:left="720" w:hanging="360"/>
      </w:pPr>
      <w:rPr>
        <w:rFonts w:ascii="Calibri" w:eastAsia="Times New Roman" w:hAnsi="Calibri" w:cs="Calibri" w:hint="default"/>
        <w:caps w:val="0"/>
        <w:strike w:val="0"/>
        <w:dstrike w:val="0"/>
        <w:vanish w:val="0"/>
        <w:color w:val="1F3864" w:themeColor="accent5" w:themeShade="8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AF2616"/>
    <w:multiLevelType w:val="hybridMultilevel"/>
    <w:tmpl w:val="CFF8E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2C1BD3"/>
    <w:multiLevelType w:val="hybridMultilevel"/>
    <w:tmpl w:val="56B01BF6"/>
    <w:lvl w:ilvl="0" w:tplc="04090001">
      <w:start w:val="1"/>
      <w:numFmt w:val="bullet"/>
      <w:lvlText w:val=""/>
      <w:lvlJc w:val="left"/>
      <w:pPr>
        <w:ind w:left="720" w:hanging="360"/>
      </w:pPr>
      <w:rPr>
        <w:rFonts w:ascii="Symbol" w:hAnsi="Symbol" w:hint="default"/>
        <w:caps w:val="0"/>
        <w:strike w:val="0"/>
        <w:dstrike w:val="0"/>
        <w:vanish w:val="0"/>
        <w:color w:val="1F3864" w:themeColor="accent5" w:themeShade="8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A40BE4"/>
    <w:multiLevelType w:val="hybridMultilevel"/>
    <w:tmpl w:val="2A42B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00184554">
    <w:abstractNumId w:val="5"/>
  </w:num>
  <w:num w:numId="2" w16cid:durableId="1874031049">
    <w:abstractNumId w:val="13"/>
  </w:num>
  <w:num w:numId="3" w16cid:durableId="559632967">
    <w:abstractNumId w:val="23"/>
  </w:num>
  <w:num w:numId="4" w16cid:durableId="1047559788">
    <w:abstractNumId w:val="41"/>
  </w:num>
  <w:num w:numId="5" w16cid:durableId="1052076874">
    <w:abstractNumId w:val="16"/>
  </w:num>
  <w:num w:numId="6" w16cid:durableId="185483656">
    <w:abstractNumId w:val="33"/>
  </w:num>
  <w:num w:numId="7" w16cid:durableId="882332756">
    <w:abstractNumId w:val="32"/>
  </w:num>
  <w:num w:numId="8" w16cid:durableId="1212427375">
    <w:abstractNumId w:val="36"/>
  </w:num>
  <w:num w:numId="9" w16cid:durableId="138888855">
    <w:abstractNumId w:val="27"/>
  </w:num>
  <w:num w:numId="10" w16cid:durableId="1316841413">
    <w:abstractNumId w:val="7"/>
  </w:num>
  <w:num w:numId="11" w16cid:durableId="362942562">
    <w:abstractNumId w:val="3"/>
  </w:num>
  <w:num w:numId="12" w16cid:durableId="372077768">
    <w:abstractNumId w:val="18"/>
  </w:num>
  <w:num w:numId="13" w16cid:durableId="882405313">
    <w:abstractNumId w:val="15"/>
  </w:num>
  <w:num w:numId="14" w16cid:durableId="541745250">
    <w:abstractNumId w:val="31"/>
  </w:num>
  <w:num w:numId="15" w16cid:durableId="1544251021">
    <w:abstractNumId w:val="1"/>
  </w:num>
  <w:num w:numId="16" w16cid:durableId="1335842466">
    <w:abstractNumId w:val="8"/>
  </w:num>
  <w:num w:numId="17" w16cid:durableId="184834874">
    <w:abstractNumId w:val="34"/>
  </w:num>
  <w:num w:numId="18" w16cid:durableId="1457288905">
    <w:abstractNumId w:val="11"/>
  </w:num>
  <w:num w:numId="19" w16cid:durableId="1311446634">
    <w:abstractNumId w:val="38"/>
  </w:num>
  <w:num w:numId="20" w16cid:durableId="1732075503">
    <w:abstractNumId w:val="40"/>
  </w:num>
  <w:num w:numId="21" w16cid:durableId="1037704929">
    <w:abstractNumId w:val="14"/>
  </w:num>
  <w:num w:numId="22" w16cid:durableId="826284198">
    <w:abstractNumId w:val="0"/>
  </w:num>
  <w:num w:numId="23" w16cid:durableId="676150646">
    <w:abstractNumId w:val="2"/>
  </w:num>
  <w:num w:numId="24" w16cid:durableId="201089444">
    <w:abstractNumId w:val="19"/>
  </w:num>
  <w:num w:numId="25" w16cid:durableId="1620181535">
    <w:abstractNumId w:val="12"/>
  </w:num>
  <w:num w:numId="26" w16cid:durableId="1150438207">
    <w:abstractNumId w:val="10"/>
  </w:num>
  <w:num w:numId="27" w16cid:durableId="1899393693">
    <w:abstractNumId w:val="37"/>
  </w:num>
  <w:num w:numId="28" w16cid:durableId="1379940663">
    <w:abstractNumId w:val="4"/>
  </w:num>
  <w:num w:numId="29" w16cid:durableId="301539981">
    <w:abstractNumId w:val="25"/>
  </w:num>
  <w:num w:numId="30" w16cid:durableId="2145344048">
    <w:abstractNumId w:val="6"/>
  </w:num>
  <w:num w:numId="31" w16cid:durableId="366683054">
    <w:abstractNumId w:val="21"/>
  </w:num>
  <w:num w:numId="32" w16cid:durableId="1227259293">
    <w:abstractNumId w:val="39"/>
  </w:num>
  <w:num w:numId="33" w16cid:durableId="2017340419">
    <w:abstractNumId w:val="28"/>
  </w:num>
  <w:num w:numId="34" w16cid:durableId="267348056">
    <w:abstractNumId w:val="20"/>
  </w:num>
  <w:num w:numId="35" w16cid:durableId="89661785">
    <w:abstractNumId w:val="29"/>
  </w:num>
  <w:num w:numId="36" w16cid:durableId="444616421">
    <w:abstractNumId w:val="30"/>
  </w:num>
  <w:num w:numId="37" w16cid:durableId="587276905">
    <w:abstractNumId w:val="26"/>
  </w:num>
  <w:num w:numId="38" w16cid:durableId="415907756">
    <w:abstractNumId w:val="35"/>
  </w:num>
  <w:num w:numId="39" w16cid:durableId="1855458330">
    <w:abstractNumId w:val="9"/>
  </w:num>
  <w:num w:numId="40" w16cid:durableId="1646619115">
    <w:abstractNumId w:val="17"/>
  </w:num>
  <w:num w:numId="41" w16cid:durableId="1557858496">
    <w:abstractNumId w:val="22"/>
  </w:num>
  <w:num w:numId="42" w16cid:durableId="8031632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0MDM2szAwNTQ2MDBR0lEKTi0uzszPAykwrAUARdby7CwAAAA="/>
  </w:docVars>
  <w:rsids>
    <w:rsidRoot w:val="009B1590"/>
    <w:rsid w:val="00000BE7"/>
    <w:rsid w:val="00001F84"/>
    <w:rsid w:val="00002E35"/>
    <w:rsid w:val="00003C50"/>
    <w:rsid w:val="000055F1"/>
    <w:rsid w:val="000066BF"/>
    <w:rsid w:val="00007999"/>
    <w:rsid w:val="00010C7D"/>
    <w:rsid w:val="00011BDC"/>
    <w:rsid w:val="00012E28"/>
    <w:rsid w:val="00013DE6"/>
    <w:rsid w:val="00014F91"/>
    <w:rsid w:val="00020053"/>
    <w:rsid w:val="00020547"/>
    <w:rsid w:val="000214EA"/>
    <w:rsid w:val="00021502"/>
    <w:rsid w:val="00021B01"/>
    <w:rsid w:val="000227B2"/>
    <w:rsid w:val="00023EEE"/>
    <w:rsid w:val="0002466D"/>
    <w:rsid w:val="000262E8"/>
    <w:rsid w:val="0002722B"/>
    <w:rsid w:val="000274BD"/>
    <w:rsid w:val="0002765E"/>
    <w:rsid w:val="00027721"/>
    <w:rsid w:val="00030B90"/>
    <w:rsid w:val="0003116F"/>
    <w:rsid w:val="00031DF5"/>
    <w:rsid w:val="000327D9"/>
    <w:rsid w:val="000328F0"/>
    <w:rsid w:val="00032DDE"/>
    <w:rsid w:val="00033B17"/>
    <w:rsid w:val="0003500D"/>
    <w:rsid w:val="00035950"/>
    <w:rsid w:val="00036B4C"/>
    <w:rsid w:val="00036EB7"/>
    <w:rsid w:val="00036EE5"/>
    <w:rsid w:val="00037A77"/>
    <w:rsid w:val="00042A81"/>
    <w:rsid w:val="00042A97"/>
    <w:rsid w:val="00042AC1"/>
    <w:rsid w:val="00043B8E"/>
    <w:rsid w:val="00045E22"/>
    <w:rsid w:val="00046E89"/>
    <w:rsid w:val="000479AE"/>
    <w:rsid w:val="00050397"/>
    <w:rsid w:val="00051A51"/>
    <w:rsid w:val="00052D60"/>
    <w:rsid w:val="00053E77"/>
    <w:rsid w:val="00056769"/>
    <w:rsid w:val="00056E21"/>
    <w:rsid w:val="00057C8E"/>
    <w:rsid w:val="00060041"/>
    <w:rsid w:val="00060378"/>
    <w:rsid w:val="00060FCF"/>
    <w:rsid w:val="000610C2"/>
    <w:rsid w:val="000634D6"/>
    <w:rsid w:val="0006533D"/>
    <w:rsid w:val="00066364"/>
    <w:rsid w:val="0006750A"/>
    <w:rsid w:val="00067822"/>
    <w:rsid w:val="0007216A"/>
    <w:rsid w:val="0007230E"/>
    <w:rsid w:val="000756E2"/>
    <w:rsid w:val="00083D13"/>
    <w:rsid w:val="000853BF"/>
    <w:rsid w:val="00085AFE"/>
    <w:rsid w:val="0008625A"/>
    <w:rsid w:val="000902D6"/>
    <w:rsid w:val="00091090"/>
    <w:rsid w:val="00097811"/>
    <w:rsid w:val="000A2139"/>
    <w:rsid w:val="000A2163"/>
    <w:rsid w:val="000A3468"/>
    <w:rsid w:val="000A409E"/>
    <w:rsid w:val="000A523C"/>
    <w:rsid w:val="000A7854"/>
    <w:rsid w:val="000B0BCD"/>
    <w:rsid w:val="000B153B"/>
    <w:rsid w:val="000B2332"/>
    <w:rsid w:val="000B41B7"/>
    <w:rsid w:val="000B4643"/>
    <w:rsid w:val="000B4B8D"/>
    <w:rsid w:val="000B5424"/>
    <w:rsid w:val="000B5E6F"/>
    <w:rsid w:val="000B68F8"/>
    <w:rsid w:val="000B748E"/>
    <w:rsid w:val="000B79A5"/>
    <w:rsid w:val="000C0A47"/>
    <w:rsid w:val="000C3604"/>
    <w:rsid w:val="000C3D00"/>
    <w:rsid w:val="000C5670"/>
    <w:rsid w:val="000C56B4"/>
    <w:rsid w:val="000C58D8"/>
    <w:rsid w:val="000C5903"/>
    <w:rsid w:val="000C7446"/>
    <w:rsid w:val="000C7D7E"/>
    <w:rsid w:val="000D1D50"/>
    <w:rsid w:val="000D23E8"/>
    <w:rsid w:val="000D44AA"/>
    <w:rsid w:val="000D6B0D"/>
    <w:rsid w:val="000D753C"/>
    <w:rsid w:val="000D7A92"/>
    <w:rsid w:val="000D7D89"/>
    <w:rsid w:val="000E004E"/>
    <w:rsid w:val="000E02B8"/>
    <w:rsid w:val="000E0D88"/>
    <w:rsid w:val="000E16F4"/>
    <w:rsid w:val="000E2EA1"/>
    <w:rsid w:val="000E40A0"/>
    <w:rsid w:val="000E4D53"/>
    <w:rsid w:val="000E56CE"/>
    <w:rsid w:val="000F06B5"/>
    <w:rsid w:val="000F070F"/>
    <w:rsid w:val="000F1217"/>
    <w:rsid w:val="000F3E99"/>
    <w:rsid w:val="000F4AAA"/>
    <w:rsid w:val="000F575E"/>
    <w:rsid w:val="000F5E4B"/>
    <w:rsid w:val="000F6FD8"/>
    <w:rsid w:val="000F734F"/>
    <w:rsid w:val="000F7ED9"/>
    <w:rsid w:val="00100336"/>
    <w:rsid w:val="001025A6"/>
    <w:rsid w:val="0010627F"/>
    <w:rsid w:val="00107987"/>
    <w:rsid w:val="001129D0"/>
    <w:rsid w:val="00112D71"/>
    <w:rsid w:val="00113728"/>
    <w:rsid w:val="00113A02"/>
    <w:rsid w:val="00113D67"/>
    <w:rsid w:val="00114A49"/>
    <w:rsid w:val="0011561C"/>
    <w:rsid w:val="001163E2"/>
    <w:rsid w:val="00116C26"/>
    <w:rsid w:val="00116F68"/>
    <w:rsid w:val="0011778F"/>
    <w:rsid w:val="00121E52"/>
    <w:rsid w:val="00122F52"/>
    <w:rsid w:val="001261BE"/>
    <w:rsid w:val="00126948"/>
    <w:rsid w:val="00126B16"/>
    <w:rsid w:val="00126EC3"/>
    <w:rsid w:val="00132530"/>
    <w:rsid w:val="0013509E"/>
    <w:rsid w:val="001354FD"/>
    <w:rsid w:val="00135AD6"/>
    <w:rsid w:val="001370B8"/>
    <w:rsid w:val="0013743A"/>
    <w:rsid w:val="0013743F"/>
    <w:rsid w:val="00140321"/>
    <w:rsid w:val="00140482"/>
    <w:rsid w:val="0014164A"/>
    <w:rsid w:val="0014232D"/>
    <w:rsid w:val="00142BA0"/>
    <w:rsid w:val="0015171B"/>
    <w:rsid w:val="00153585"/>
    <w:rsid w:val="001549BA"/>
    <w:rsid w:val="001560D6"/>
    <w:rsid w:val="001563E7"/>
    <w:rsid w:val="0016012D"/>
    <w:rsid w:val="0016017C"/>
    <w:rsid w:val="00160B7F"/>
    <w:rsid w:val="00161A1E"/>
    <w:rsid w:val="00166D96"/>
    <w:rsid w:val="00167E4A"/>
    <w:rsid w:val="0017209C"/>
    <w:rsid w:val="00175135"/>
    <w:rsid w:val="00176B7F"/>
    <w:rsid w:val="0018273E"/>
    <w:rsid w:val="00184466"/>
    <w:rsid w:val="0018453A"/>
    <w:rsid w:val="0019068E"/>
    <w:rsid w:val="00190C43"/>
    <w:rsid w:val="001911F8"/>
    <w:rsid w:val="0019263F"/>
    <w:rsid w:val="00193637"/>
    <w:rsid w:val="00194147"/>
    <w:rsid w:val="0019507D"/>
    <w:rsid w:val="00195C3D"/>
    <w:rsid w:val="001A0752"/>
    <w:rsid w:val="001A3C4B"/>
    <w:rsid w:val="001A3E6B"/>
    <w:rsid w:val="001A5D5E"/>
    <w:rsid w:val="001A7046"/>
    <w:rsid w:val="001B00D0"/>
    <w:rsid w:val="001B2A99"/>
    <w:rsid w:val="001B2F0A"/>
    <w:rsid w:val="001B3A44"/>
    <w:rsid w:val="001B52D8"/>
    <w:rsid w:val="001B572C"/>
    <w:rsid w:val="001B5752"/>
    <w:rsid w:val="001B6383"/>
    <w:rsid w:val="001C007B"/>
    <w:rsid w:val="001C159A"/>
    <w:rsid w:val="001C1ABD"/>
    <w:rsid w:val="001C4084"/>
    <w:rsid w:val="001C73F8"/>
    <w:rsid w:val="001C79E9"/>
    <w:rsid w:val="001D0D5F"/>
    <w:rsid w:val="001D1266"/>
    <w:rsid w:val="001D3F50"/>
    <w:rsid w:val="001D681B"/>
    <w:rsid w:val="001E04DB"/>
    <w:rsid w:val="001E1E28"/>
    <w:rsid w:val="001E38CA"/>
    <w:rsid w:val="001E6770"/>
    <w:rsid w:val="001E7686"/>
    <w:rsid w:val="001E7F0E"/>
    <w:rsid w:val="001F38C3"/>
    <w:rsid w:val="001F6CBA"/>
    <w:rsid w:val="001F6DFC"/>
    <w:rsid w:val="00201357"/>
    <w:rsid w:val="00203671"/>
    <w:rsid w:val="00203B13"/>
    <w:rsid w:val="0020475C"/>
    <w:rsid w:val="002050DA"/>
    <w:rsid w:val="0020766C"/>
    <w:rsid w:val="002101AE"/>
    <w:rsid w:val="00210D74"/>
    <w:rsid w:val="00211822"/>
    <w:rsid w:val="00211CC2"/>
    <w:rsid w:val="00212066"/>
    <w:rsid w:val="00212E56"/>
    <w:rsid w:val="002135A9"/>
    <w:rsid w:val="00213B1E"/>
    <w:rsid w:val="00214DC8"/>
    <w:rsid w:val="00217494"/>
    <w:rsid w:val="002201A9"/>
    <w:rsid w:val="002203A6"/>
    <w:rsid w:val="00222339"/>
    <w:rsid w:val="00222376"/>
    <w:rsid w:val="00222A2E"/>
    <w:rsid w:val="002230B3"/>
    <w:rsid w:val="00226012"/>
    <w:rsid w:val="00226FDD"/>
    <w:rsid w:val="002279DC"/>
    <w:rsid w:val="00227B30"/>
    <w:rsid w:val="0023081E"/>
    <w:rsid w:val="00232A6E"/>
    <w:rsid w:val="00233951"/>
    <w:rsid w:val="00234C5C"/>
    <w:rsid w:val="0023518D"/>
    <w:rsid w:val="002365F6"/>
    <w:rsid w:val="00243147"/>
    <w:rsid w:val="0024529D"/>
    <w:rsid w:val="00251706"/>
    <w:rsid w:val="00255AA1"/>
    <w:rsid w:val="00255B6B"/>
    <w:rsid w:val="00255E72"/>
    <w:rsid w:val="00260047"/>
    <w:rsid w:val="00261482"/>
    <w:rsid w:val="00261B7D"/>
    <w:rsid w:val="00261F08"/>
    <w:rsid w:val="002636DD"/>
    <w:rsid w:val="00264162"/>
    <w:rsid w:val="00265BDD"/>
    <w:rsid w:val="00265CAF"/>
    <w:rsid w:val="00267D46"/>
    <w:rsid w:val="00267DFC"/>
    <w:rsid w:val="00271A35"/>
    <w:rsid w:val="002724F0"/>
    <w:rsid w:val="00273C81"/>
    <w:rsid w:val="002742D7"/>
    <w:rsid w:val="00274710"/>
    <w:rsid w:val="00274857"/>
    <w:rsid w:val="00276D62"/>
    <w:rsid w:val="00281B6A"/>
    <w:rsid w:val="00283AA1"/>
    <w:rsid w:val="0028410B"/>
    <w:rsid w:val="0028644A"/>
    <w:rsid w:val="0028762E"/>
    <w:rsid w:val="00287784"/>
    <w:rsid w:val="00287BE5"/>
    <w:rsid w:val="0029089F"/>
    <w:rsid w:val="002927D2"/>
    <w:rsid w:val="00293C75"/>
    <w:rsid w:val="00294AE5"/>
    <w:rsid w:val="002957DF"/>
    <w:rsid w:val="002968E3"/>
    <w:rsid w:val="002A02B6"/>
    <w:rsid w:val="002A5016"/>
    <w:rsid w:val="002A65B4"/>
    <w:rsid w:val="002A70A1"/>
    <w:rsid w:val="002A74F6"/>
    <w:rsid w:val="002B1D19"/>
    <w:rsid w:val="002B3D17"/>
    <w:rsid w:val="002C1030"/>
    <w:rsid w:val="002C103C"/>
    <w:rsid w:val="002C1DAB"/>
    <w:rsid w:val="002C3880"/>
    <w:rsid w:val="002C427E"/>
    <w:rsid w:val="002C4710"/>
    <w:rsid w:val="002C6452"/>
    <w:rsid w:val="002C6A5F"/>
    <w:rsid w:val="002D00F1"/>
    <w:rsid w:val="002D1B8E"/>
    <w:rsid w:val="002D2080"/>
    <w:rsid w:val="002D2D4B"/>
    <w:rsid w:val="002D4C85"/>
    <w:rsid w:val="002D6778"/>
    <w:rsid w:val="002D69B4"/>
    <w:rsid w:val="002D71A6"/>
    <w:rsid w:val="002E2842"/>
    <w:rsid w:val="002F1756"/>
    <w:rsid w:val="002F222D"/>
    <w:rsid w:val="002F232E"/>
    <w:rsid w:val="002F34D8"/>
    <w:rsid w:val="002F3F3E"/>
    <w:rsid w:val="002F50C5"/>
    <w:rsid w:val="00300746"/>
    <w:rsid w:val="003008EA"/>
    <w:rsid w:val="00301AE1"/>
    <w:rsid w:val="00302053"/>
    <w:rsid w:val="00302AC2"/>
    <w:rsid w:val="003039F6"/>
    <w:rsid w:val="0030778C"/>
    <w:rsid w:val="00311D09"/>
    <w:rsid w:val="0031212C"/>
    <w:rsid w:val="00314427"/>
    <w:rsid w:val="00315276"/>
    <w:rsid w:val="0031688C"/>
    <w:rsid w:val="003208DB"/>
    <w:rsid w:val="00321A0E"/>
    <w:rsid w:val="00324D68"/>
    <w:rsid w:val="00325771"/>
    <w:rsid w:val="00326E95"/>
    <w:rsid w:val="00327EFD"/>
    <w:rsid w:val="003304B1"/>
    <w:rsid w:val="00330950"/>
    <w:rsid w:val="00334435"/>
    <w:rsid w:val="00334A8B"/>
    <w:rsid w:val="00334AA7"/>
    <w:rsid w:val="00335BEC"/>
    <w:rsid w:val="00335E6D"/>
    <w:rsid w:val="00337454"/>
    <w:rsid w:val="003410FE"/>
    <w:rsid w:val="00343FA9"/>
    <w:rsid w:val="003452EB"/>
    <w:rsid w:val="003468EA"/>
    <w:rsid w:val="00350232"/>
    <w:rsid w:val="00350B90"/>
    <w:rsid w:val="00350F3B"/>
    <w:rsid w:val="00350F44"/>
    <w:rsid w:val="00352290"/>
    <w:rsid w:val="00352E4C"/>
    <w:rsid w:val="003530A8"/>
    <w:rsid w:val="00353B72"/>
    <w:rsid w:val="003544E9"/>
    <w:rsid w:val="00355A42"/>
    <w:rsid w:val="00360353"/>
    <w:rsid w:val="00360A33"/>
    <w:rsid w:val="00360F9C"/>
    <w:rsid w:val="00362009"/>
    <w:rsid w:val="003620C4"/>
    <w:rsid w:val="00362954"/>
    <w:rsid w:val="00365C8C"/>
    <w:rsid w:val="0036701F"/>
    <w:rsid w:val="003701B6"/>
    <w:rsid w:val="0037209A"/>
    <w:rsid w:val="003741A9"/>
    <w:rsid w:val="00375882"/>
    <w:rsid w:val="00376BCE"/>
    <w:rsid w:val="00380336"/>
    <w:rsid w:val="00380F48"/>
    <w:rsid w:val="0038294B"/>
    <w:rsid w:val="00384B40"/>
    <w:rsid w:val="0039108C"/>
    <w:rsid w:val="00391EBE"/>
    <w:rsid w:val="00392007"/>
    <w:rsid w:val="00392C62"/>
    <w:rsid w:val="00392DF7"/>
    <w:rsid w:val="00393F2A"/>
    <w:rsid w:val="00394993"/>
    <w:rsid w:val="003953D5"/>
    <w:rsid w:val="0039688D"/>
    <w:rsid w:val="00397872"/>
    <w:rsid w:val="003A4087"/>
    <w:rsid w:val="003A5BC0"/>
    <w:rsid w:val="003A5BFD"/>
    <w:rsid w:val="003AD1A2"/>
    <w:rsid w:val="003B0004"/>
    <w:rsid w:val="003B12CF"/>
    <w:rsid w:val="003B3B39"/>
    <w:rsid w:val="003B4385"/>
    <w:rsid w:val="003B464A"/>
    <w:rsid w:val="003B495E"/>
    <w:rsid w:val="003B4BCC"/>
    <w:rsid w:val="003B6002"/>
    <w:rsid w:val="003B7787"/>
    <w:rsid w:val="003B7962"/>
    <w:rsid w:val="003B7D5B"/>
    <w:rsid w:val="003C10C8"/>
    <w:rsid w:val="003C1191"/>
    <w:rsid w:val="003C6C84"/>
    <w:rsid w:val="003D2AC3"/>
    <w:rsid w:val="003D4066"/>
    <w:rsid w:val="003D4B6E"/>
    <w:rsid w:val="003D4DB1"/>
    <w:rsid w:val="003D6223"/>
    <w:rsid w:val="003D624C"/>
    <w:rsid w:val="003D6F27"/>
    <w:rsid w:val="003D78F5"/>
    <w:rsid w:val="003D7D78"/>
    <w:rsid w:val="003E2610"/>
    <w:rsid w:val="003E2947"/>
    <w:rsid w:val="003E2FA1"/>
    <w:rsid w:val="003E3253"/>
    <w:rsid w:val="003E3D19"/>
    <w:rsid w:val="003E3DE4"/>
    <w:rsid w:val="003E4244"/>
    <w:rsid w:val="003E4A6F"/>
    <w:rsid w:val="003E4B37"/>
    <w:rsid w:val="003E4CC2"/>
    <w:rsid w:val="003F12D5"/>
    <w:rsid w:val="003F6786"/>
    <w:rsid w:val="003F76F1"/>
    <w:rsid w:val="003F7B1E"/>
    <w:rsid w:val="004025AF"/>
    <w:rsid w:val="004039A2"/>
    <w:rsid w:val="00403C56"/>
    <w:rsid w:val="00403D98"/>
    <w:rsid w:val="0040583A"/>
    <w:rsid w:val="0040643A"/>
    <w:rsid w:val="004143C0"/>
    <w:rsid w:val="00416D0D"/>
    <w:rsid w:val="00423F1D"/>
    <w:rsid w:val="00430150"/>
    <w:rsid w:val="00430D3D"/>
    <w:rsid w:val="00431682"/>
    <w:rsid w:val="00431769"/>
    <w:rsid w:val="00432783"/>
    <w:rsid w:val="004339B5"/>
    <w:rsid w:val="0043414E"/>
    <w:rsid w:val="00435EC4"/>
    <w:rsid w:val="00437C71"/>
    <w:rsid w:val="00437F30"/>
    <w:rsid w:val="00440AAE"/>
    <w:rsid w:val="00440E65"/>
    <w:rsid w:val="00441483"/>
    <w:rsid w:val="00441F43"/>
    <w:rsid w:val="004430A3"/>
    <w:rsid w:val="0044336D"/>
    <w:rsid w:val="0044432A"/>
    <w:rsid w:val="00445C19"/>
    <w:rsid w:val="004523E0"/>
    <w:rsid w:val="00452557"/>
    <w:rsid w:val="004526F9"/>
    <w:rsid w:val="00455641"/>
    <w:rsid w:val="00455DB3"/>
    <w:rsid w:val="004561CF"/>
    <w:rsid w:val="0046116A"/>
    <w:rsid w:val="00461C5F"/>
    <w:rsid w:val="0046305B"/>
    <w:rsid w:val="004633B8"/>
    <w:rsid w:val="00464BAD"/>
    <w:rsid w:val="00467D35"/>
    <w:rsid w:val="00470F9A"/>
    <w:rsid w:val="00472530"/>
    <w:rsid w:val="00473162"/>
    <w:rsid w:val="00474409"/>
    <w:rsid w:val="0047584D"/>
    <w:rsid w:val="00476122"/>
    <w:rsid w:val="004764A5"/>
    <w:rsid w:val="00485BAD"/>
    <w:rsid w:val="00485E58"/>
    <w:rsid w:val="00486837"/>
    <w:rsid w:val="00487080"/>
    <w:rsid w:val="00490BCF"/>
    <w:rsid w:val="00490F4D"/>
    <w:rsid w:val="004913BE"/>
    <w:rsid w:val="00492A11"/>
    <w:rsid w:val="00494229"/>
    <w:rsid w:val="00494787"/>
    <w:rsid w:val="0049547F"/>
    <w:rsid w:val="00495AC4"/>
    <w:rsid w:val="00497F28"/>
    <w:rsid w:val="004A02FC"/>
    <w:rsid w:val="004A0D01"/>
    <w:rsid w:val="004A1323"/>
    <w:rsid w:val="004A151E"/>
    <w:rsid w:val="004A1FE8"/>
    <w:rsid w:val="004A2449"/>
    <w:rsid w:val="004A39B2"/>
    <w:rsid w:val="004A3FC4"/>
    <w:rsid w:val="004A4BD0"/>
    <w:rsid w:val="004B1485"/>
    <w:rsid w:val="004B2597"/>
    <w:rsid w:val="004B4426"/>
    <w:rsid w:val="004B44F4"/>
    <w:rsid w:val="004B6404"/>
    <w:rsid w:val="004B6A1D"/>
    <w:rsid w:val="004B7106"/>
    <w:rsid w:val="004B7C2E"/>
    <w:rsid w:val="004C073C"/>
    <w:rsid w:val="004C0C99"/>
    <w:rsid w:val="004C426A"/>
    <w:rsid w:val="004C532A"/>
    <w:rsid w:val="004C541F"/>
    <w:rsid w:val="004C7F99"/>
    <w:rsid w:val="004D0107"/>
    <w:rsid w:val="004D16F9"/>
    <w:rsid w:val="004D28CA"/>
    <w:rsid w:val="004D2987"/>
    <w:rsid w:val="004D37AB"/>
    <w:rsid w:val="004E2C0C"/>
    <w:rsid w:val="004E2DC8"/>
    <w:rsid w:val="004E4AB3"/>
    <w:rsid w:val="004E4ED7"/>
    <w:rsid w:val="004E66EB"/>
    <w:rsid w:val="004E7D61"/>
    <w:rsid w:val="004F1442"/>
    <w:rsid w:val="004F2042"/>
    <w:rsid w:val="004F3348"/>
    <w:rsid w:val="004F3890"/>
    <w:rsid w:val="004F64FF"/>
    <w:rsid w:val="004F789B"/>
    <w:rsid w:val="005006D8"/>
    <w:rsid w:val="0050153D"/>
    <w:rsid w:val="00501766"/>
    <w:rsid w:val="00501A59"/>
    <w:rsid w:val="00501DFC"/>
    <w:rsid w:val="00503751"/>
    <w:rsid w:val="005040FE"/>
    <w:rsid w:val="0050518A"/>
    <w:rsid w:val="00505349"/>
    <w:rsid w:val="00506EBD"/>
    <w:rsid w:val="00510B47"/>
    <w:rsid w:val="00511760"/>
    <w:rsid w:val="00514602"/>
    <w:rsid w:val="00514F9F"/>
    <w:rsid w:val="005152F2"/>
    <w:rsid w:val="00515F40"/>
    <w:rsid w:val="00516798"/>
    <w:rsid w:val="00516908"/>
    <w:rsid w:val="00516A05"/>
    <w:rsid w:val="00520186"/>
    <w:rsid w:val="00520A59"/>
    <w:rsid w:val="00521AB7"/>
    <w:rsid w:val="00522621"/>
    <w:rsid w:val="005237C1"/>
    <w:rsid w:val="00523970"/>
    <w:rsid w:val="005250EB"/>
    <w:rsid w:val="0052546B"/>
    <w:rsid w:val="005262F2"/>
    <w:rsid w:val="00527908"/>
    <w:rsid w:val="00527DC9"/>
    <w:rsid w:val="00530108"/>
    <w:rsid w:val="00530EDD"/>
    <w:rsid w:val="00535BEB"/>
    <w:rsid w:val="005366C0"/>
    <w:rsid w:val="005373C0"/>
    <w:rsid w:val="00537793"/>
    <w:rsid w:val="00537B4C"/>
    <w:rsid w:val="00540806"/>
    <w:rsid w:val="0054113E"/>
    <w:rsid w:val="00542053"/>
    <w:rsid w:val="0054361E"/>
    <w:rsid w:val="00543627"/>
    <w:rsid w:val="00543651"/>
    <w:rsid w:val="00543C72"/>
    <w:rsid w:val="00545E66"/>
    <w:rsid w:val="005472A2"/>
    <w:rsid w:val="0054754B"/>
    <w:rsid w:val="00551A8A"/>
    <w:rsid w:val="00551BF9"/>
    <w:rsid w:val="00551D2E"/>
    <w:rsid w:val="00551EBC"/>
    <w:rsid w:val="005533FD"/>
    <w:rsid w:val="00553E16"/>
    <w:rsid w:val="005540E9"/>
    <w:rsid w:val="005542B3"/>
    <w:rsid w:val="0055525A"/>
    <w:rsid w:val="00555E6C"/>
    <w:rsid w:val="00561CC5"/>
    <w:rsid w:val="0056207E"/>
    <w:rsid w:val="005636E1"/>
    <w:rsid w:val="005658F0"/>
    <w:rsid w:val="00566384"/>
    <w:rsid w:val="00566B04"/>
    <w:rsid w:val="00567D79"/>
    <w:rsid w:val="00570097"/>
    <w:rsid w:val="005731F6"/>
    <w:rsid w:val="005738F3"/>
    <w:rsid w:val="00575C98"/>
    <w:rsid w:val="005763E5"/>
    <w:rsid w:val="005769B8"/>
    <w:rsid w:val="00577726"/>
    <w:rsid w:val="00577FEA"/>
    <w:rsid w:val="00582A4D"/>
    <w:rsid w:val="00584CCD"/>
    <w:rsid w:val="005850AC"/>
    <w:rsid w:val="005854F7"/>
    <w:rsid w:val="00585F98"/>
    <w:rsid w:val="00586C4E"/>
    <w:rsid w:val="0059267E"/>
    <w:rsid w:val="00592A32"/>
    <w:rsid w:val="005955D8"/>
    <w:rsid w:val="00595DD2"/>
    <w:rsid w:val="00596DB5"/>
    <w:rsid w:val="005A1475"/>
    <w:rsid w:val="005A179B"/>
    <w:rsid w:val="005A4CA1"/>
    <w:rsid w:val="005A6BCA"/>
    <w:rsid w:val="005B2C1F"/>
    <w:rsid w:val="005B3A84"/>
    <w:rsid w:val="005B4B07"/>
    <w:rsid w:val="005B50AF"/>
    <w:rsid w:val="005B57D5"/>
    <w:rsid w:val="005B62F0"/>
    <w:rsid w:val="005B64A1"/>
    <w:rsid w:val="005C1534"/>
    <w:rsid w:val="005C4D39"/>
    <w:rsid w:val="005C7DDB"/>
    <w:rsid w:val="005D0A3D"/>
    <w:rsid w:val="005D1366"/>
    <w:rsid w:val="005D1BF7"/>
    <w:rsid w:val="005D2055"/>
    <w:rsid w:val="005D2D28"/>
    <w:rsid w:val="005D5600"/>
    <w:rsid w:val="005D5CB1"/>
    <w:rsid w:val="005D6258"/>
    <w:rsid w:val="005E1F25"/>
    <w:rsid w:val="005E27EB"/>
    <w:rsid w:val="005E27EE"/>
    <w:rsid w:val="005E359D"/>
    <w:rsid w:val="005E5A6F"/>
    <w:rsid w:val="005E6C84"/>
    <w:rsid w:val="005F1C7A"/>
    <w:rsid w:val="005F27F6"/>
    <w:rsid w:val="005F51F1"/>
    <w:rsid w:val="005F74BB"/>
    <w:rsid w:val="0060079B"/>
    <w:rsid w:val="00600C88"/>
    <w:rsid w:val="00605388"/>
    <w:rsid w:val="00605424"/>
    <w:rsid w:val="00605928"/>
    <w:rsid w:val="00606666"/>
    <w:rsid w:val="0060697C"/>
    <w:rsid w:val="00606DDE"/>
    <w:rsid w:val="0060785E"/>
    <w:rsid w:val="00607FE5"/>
    <w:rsid w:val="00611A91"/>
    <w:rsid w:val="00612259"/>
    <w:rsid w:val="00615A11"/>
    <w:rsid w:val="00615F91"/>
    <w:rsid w:val="0061647E"/>
    <w:rsid w:val="006167D1"/>
    <w:rsid w:val="00617496"/>
    <w:rsid w:val="006210A0"/>
    <w:rsid w:val="006210EC"/>
    <w:rsid w:val="00625E1D"/>
    <w:rsid w:val="0062715F"/>
    <w:rsid w:val="00627696"/>
    <w:rsid w:val="00630D10"/>
    <w:rsid w:val="00634176"/>
    <w:rsid w:val="0063479B"/>
    <w:rsid w:val="00635238"/>
    <w:rsid w:val="00635304"/>
    <w:rsid w:val="00635EDB"/>
    <w:rsid w:val="00637AC7"/>
    <w:rsid w:val="00640FD1"/>
    <w:rsid w:val="00641546"/>
    <w:rsid w:val="006426A5"/>
    <w:rsid w:val="006446A3"/>
    <w:rsid w:val="0064507D"/>
    <w:rsid w:val="00650C1F"/>
    <w:rsid w:val="0065156E"/>
    <w:rsid w:val="00651B68"/>
    <w:rsid w:val="00652F84"/>
    <w:rsid w:val="00660B60"/>
    <w:rsid w:val="00662CA5"/>
    <w:rsid w:val="0066383F"/>
    <w:rsid w:val="00665AA3"/>
    <w:rsid w:val="006705BA"/>
    <w:rsid w:val="0067147F"/>
    <w:rsid w:val="006720A0"/>
    <w:rsid w:val="00673EE8"/>
    <w:rsid w:val="0067454B"/>
    <w:rsid w:val="006753B0"/>
    <w:rsid w:val="00677685"/>
    <w:rsid w:val="00677EDF"/>
    <w:rsid w:val="00682B04"/>
    <w:rsid w:val="006855AF"/>
    <w:rsid w:val="00685B2E"/>
    <w:rsid w:val="00690158"/>
    <w:rsid w:val="0069098D"/>
    <w:rsid w:val="00690E1E"/>
    <w:rsid w:val="00692C4B"/>
    <w:rsid w:val="0069321A"/>
    <w:rsid w:val="006936F2"/>
    <w:rsid w:val="00693A3C"/>
    <w:rsid w:val="00693C2E"/>
    <w:rsid w:val="00694F79"/>
    <w:rsid w:val="00695795"/>
    <w:rsid w:val="00695F31"/>
    <w:rsid w:val="00696D29"/>
    <w:rsid w:val="006A0AE0"/>
    <w:rsid w:val="006A1906"/>
    <w:rsid w:val="006A2052"/>
    <w:rsid w:val="006A30DB"/>
    <w:rsid w:val="006A3DBF"/>
    <w:rsid w:val="006A4EEB"/>
    <w:rsid w:val="006A5163"/>
    <w:rsid w:val="006A52B7"/>
    <w:rsid w:val="006A742B"/>
    <w:rsid w:val="006A7CE1"/>
    <w:rsid w:val="006B02DF"/>
    <w:rsid w:val="006B114D"/>
    <w:rsid w:val="006B16CD"/>
    <w:rsid w:val="006B1BF7"/>
    <w:rsid w:val="006B2B26"/>
    <w:rsid w:val="006B3D7E"/>
    <w:rsid w:val="006B52FC"/>
    <w:rsid w:val="006B5FEE"/>
    <w:rsid w:val="006B6300"/>
    <w:rsid w:val="006C2B88"/>
    <w:rsid w:val="006C2F43"/>
    <w:rsid w:val="006C40B5"/>
    <w:rsid w:val="006C4511"/>
    <w:rsid w:val="006C45C8"/>
    <w:rsid w:val="006C5A80"/>
    <w:rsid w:val="006C778B"/>
    <w:rsid w:val="006D20A5"/>
    <w:rsid w:val="006D2D9E"/>
    <w:rsid w:val="006D3822"/>
    <w:rsid w:val="006D5030"/>
    <w:rsid w:val="006D5170"/>
    <w:rsid w:val="006D65D6"/>
    <w:rsid w:val="006E30E2"/>
    <w:rsid w:val="006E569B"/>
    <w:rsid w:val="006E671E"/>
    <w:rsid w:val="006F028B"/>
    <w:rsid w:val="006F047D"/>
    <w:rsid w:val="006F06C4"/>
    <w:rsid w:val="006F50FF"/>
    <w:rsid w:val="006F5757"/>
    <w:rsid w:val="006F628E"/>
    <w:rsid w:val="006F79AF"/>
    <w:rsid w:val="007004AA"/>
    <w:rsid w:val="00700DDD"/>
    <w:rsid w:val="00702147"/>
    <w:rsid w:val="00703C90"/>
    <w:rsid w:val="00706CB1"/>
    <w:rsid w:val="00710376"/>
    <w:rsid w:val="00711AF0"/>
    <w:rsid w:val="007129D1"/>
    <w:rsid w:val="0071561B"/>
    <w:rsid w:val="00717141"/>
    <w:rsid w:val="00717919"/>
    <w:rsid w:val="00720686"/>
    <w:rsid w:val="0072145C"/>
    <w:rsid w:val="00721683"/>
    <w:rsid w:val="007237BF"/>
    <w:rsid w:val="00724A02"/>
    <w:rsid w:val="00725091"/>
    <w:rsid w:val="00726FF8"/>
    <w:rsid w:val="007273E4"/>
    <w:rsid w:val="007275F4"/>
    <w:rsid w:val="00733A41"/>
    <w:rsid w:val="00733CD3"/>
    <w:rsid w:val="0073491F"/>
    <w:rsid w:val="00742188"/>
    <w:rsid w:val="00742423"/>
    <w:rsid w:val="00745A6B"/>
    <w:rsid w:val="00747A07"/>
    <w:rsid w:val="00752C96"/>
    <w:rsid w:val="00753B18"/>
    <w:rsid w:val="00755F0A"/>
    <w:rsid w:val="00760280"/>
    <w:rsid w:val="00760373"/>
    <w:rsid w:val="00761E9A"/>
    <w:rsid w:val="0076291D"/>
    <w:rsid w:val="00762B4D"/>
    <w:rsid w:val="0076708C"/>
    <w:rsid w:val="007672F3"/>
    <w:rsid w:val="00770534"/>
    <w:rsid w:val="00771C3D"/>
    <w:rsid w:val="00772A73"/>
    <w:rsid w:val="00773ED8"/>
    <w:rsid w:val="007819E2"/>
    <w:rsid w:val="00783CB4"/>
    <w:rsid w:val="00783E06"/>
    <w:rsid w:val="0079037A"/>
    <w:rsid w:val="00790B00"/>
    <w:rsid w:val="00791265"/>
    <w:rsid w:val="007951A2"/>
    <w:rsid w:val="0079547E"/>
    <w:rsid w:val="00795685"/>
    <w:rsid w:val="00795CA7"/>
    <w:rsid w:val="0079666B"/>
    <w:rsid w:val="00796EA6"/>
    <w:rsid w:val="007978FA"/>
    <w:rsid w:val="007A1BB9"/>
    <w:rsid w:val="007A1C4C"/>
    <w:rsid w:val="007A2DCB"/>
    <w:rsid w:val="007A380F"/>
    <w:rsid w:val="007A3A9B"/>
    <w:rsid w:val="007A5ABA"/>
    <w:rsid w:val="007A5C49"/>
    <w:rsid w:val="007A701D"/>
    <w:rsid w:val="007A7A56"/>
    <w:rsid w:val="007B0C77"/>
    <w:rsid w:val="007B0E4F"/>
    <w:rsid w:val="007B1FC1"/>
    <w:rsid w:val="007B248C"/>
    <w:rsid w:val="007B3F3C"/>
    <w:rsid w:val="007B4866"/>
    <w:rsid w:val="007B5100"/>
    <w:rsid w:val="007B618A"/>
    <w:rsid w:val="007B6384"/>
    <w:rsid w:val="007B708D"/>
    <w:rsid w:val="007B768E"/>
    <w:rsid w:val="007C164D"/>
    <w:rsid w:val="007C26CB"/>
    <w:rsid w:val="007C3851"/>
    <w:rsid w:val="007C74C0"/>
    <w:rsid w:val="007C7962"/>
    <w:rsid w:val="007D21D5"/>
    <w:rsid w:val="007D358F"/>
    <w:rsid w:val="007D3F28"/>
    <w:rsid w:val="007D4186"/>
    <w:rsid w:val="007D670F"/>
    <w:rsid w:val="007D7815"/>
    <w:rsid w:val="007E11AB"/>
    <w:rsid w:val="007E1D6F"/>
    <w:rsid w:val="007E1E87"/>
    <w:rsid w:val="007E29AD"/>
    <w:rsid w:val="007E34E0"/>
    <w:rsid w:val="007E3A9E"/>
    <w:rsid w:val="007E55CA"/>
    <w:rsid w:val="007E767C"/>
    <w:rsid w:val="007E76B7"/>
    <w:rsid w:val="007E78A0"/>
    <w:rsid w:val="007E7AC8"/>
    <w:rsid w:val="007F218A"/>
    <w:rsid w:val="007F5606"/>
    <w:rsid w:val="007F7EEF"/>
    <w:rsid w:val="00801498"/>
    <w:rsid w:val="00801D58"/>
    <w:rsid w:val="008021D4"/>
    <w:rsid w:val="00803B69"/>
    <w:rsid w:val="00810170"/>
    <w:rsid w:val="00811AD8"/>
    <w:rsid w:val="00814BE3"/>
    <w:rsid w:val="0081582B"/>
    <w:rsid w:val="00817AAE"/>
    <w:rsid w:val="00817DB8"/>
    <w:rsid w:val="00820AC0"/>
    <w:rsid w:val="0082152E"/>
    <w:rsid w:val="00822C1B"/>
    <w:rsid w:val="008238D8"/>
    <w:rsid w:val="008244C1"/>
    <w:rsid w:val="00825686"/>
    <w:rsid w:val="00825C3C"/>
    <w:rsid w:val="00826B50"/>
    <w:rsid w:val="008302C4"/>
    <w:rsid w:val="00830650"/>
    <w:rsid w:val="00830D11"/>
    <w:rsid w:val="0083202B"/>
    <w:rsid w:val="008328D6"/>
    <w:rsid w:val="00833199"/>
    <w:rsid w:val="00833DD8"/>
    <w:rsid w:val="00834010"/>
    <w:rsid w:val="008349E4"/>
    <w:rsid w:val="00837AD9"/>
    <w:rsid w:val="008438D7"/>
    <w:rsid w:val="00843DBB"/>
    <w:rsid w:val="0084536D"/>
    <w:rsid w:val="0084720B"/>
    <w:rsid w:val="00851126"/>
    <w:rsid w:val="008515C1"/>
    <w:rsid w:val="00852364"/>
    <w:rsid w:val="00852E50"/>
    <w:rsid w:val="00853893"/>
    <w:rsid w:val="00853AA9"/>
    <w:rsid w:val="0085446B"/>
    <w:rsid w:val="00856013"/>
    <w:rsid w:val="00857177"/>
    <w:rsid w:val="00857F64"/>
    <w:rsid w:val="00860623"/>
    <w:rsid w:val="00860F35"/>
    <w:rsid w:val="00863FB5"/>
    <w:rsid w:val="008647C9"/>
    <w:rsid w:val="0086786B"/>
    <w:rsid w:val="00870B21"/>
    <w:rsid w:val="00871AA9"/>
    <w:rsid w:val="0087202E"/>
    <w:rsid w:val="008721C6"/>
    <w:rsid w:val="008722C0"/>
    <w:rsid w:val="00873E00"/>
    <w:rsid w:val="008746A5"/>
    <w:rsid w:val="00874C7D"/>
    <w:rsid w:val="00877227"/>
    <w:rsid w:val="008779BE"/>
    <w:rsid w:val="0088204A"/>
    <w:rsid w:val="00883671"/>
    <w:rsid w:val="00885990"/>
    <w:rsid w:val="00886442"/>
    <w:rsid w:val="00890F55"/>
    <w:rsid w:val="00891C2D"/>
    <w:rsid w:val="00892192"/>
    <w:rsid w:val="008935B4"/>
    <w:rsid w:val="008951AB"/>
    <w:rsid w:val="00896105"/>
    <w:rsid w:val="008A13BB"/>
    <w:rsid w:val="008A17B5"/>
    <w:rsid w:val="008A31D9"/>
    <w:rsid w:val="008A3E0A"/>
    <w:rsid w:val="008A4B89"/>
    <w:rsid w:val="008A626D"/>
    <w:rsid w:val="008A76FD"/>
    <w:rsid w:val="008A7C4C"/>
    <w:rsid w:val="008B1DDB"/>
    <w:rsid w:val="008B3172"/>
    <w:rsid w:val="008B35DD"/>
    <w:rsid w:val="008B3875"/>
    <w:rsid w:val="008B4437"/>
    <w:rsid w:val="008B68FB"/>
    <w:rsid w:val="008B6FC9"/>
    <w:rsid w:val="008B7064"/>
    <w:rsid w:val="008C3A16"/>
    <w:rsid w:val="008C440C"/>
    <w:rsid w:val="008C5231"/>
    <w:rsid w:val="008C52AE"/>
    <w:rsid w:val="008C616C"/>
    <w:rsid w:val="008C69A6"/>
    <w:rsid w:val="008C7300"/>
    <w:rsid w:val="008D1206"/>
    <w:rsid w:val="008D3E48"/>
    <w:rsid w:val="008D68C2"/>
    <w:rsid w:val="008D6F93"/>
    <w:rsid w:val="008D76CC"/>
    <w:rsid w:val="008D7FDD"/>
    <w:rsid w:val="008E1413"/>
    <w:rsid w:val="008E4FEB"/>
    <w:rsid w:val="008E563E"/>
    <w:rsid w:val="008E75A6"/>
    <w:rsid w:val="008F00E0"/>
    <w:rsid w:val="008F417A"/>
    <w:rsid w:val="008F4338"/>
    <w:rsid w:val="008F55C8"/>
    <w:rsid w:val="008F57AA"/>
    <w:rsid w:val="00900495"/>
    <w:rsid w:val="00900AB2"/>
    <w:rsid w:val="00904B08"/>
    <w:rsid w:val="00905FEF"/>
    <w:rsid w:val="00907ED5"/>
    <w:rsid w:val="00910C91"/>
    <w:rsid w:val="009125E4"/>
    <w:rsid w:val="00913FED"/>
    <w:rsid w:val="00914275"/>
    <w:rsid w:val="00914408"/>
    <w:rsid w:val="00914F18"/>
    <w:rsid w:val="00915840"/>
    <w:rsid w:val="00915E98"/>
    <w:rsid w:val="00916E21"/>
    <w:rsid w:val="009227F9"/>
    <w:rsid w:val="00922E71"/>
    <w:rsid w:val="0092390A"/>
    <w:rsid w:val="00923B1A"/>
    <w:rsid w:val="00927C68"/>
    <w:rsid w:val="00931565"/>
    <w:rsid w:val="009323DF"/>
    <w:rsid w:val="00934103"/>
    <w:rsid w:val="009361CA"/>
    <w:rsid w:val="00936411"/>
    <w:rsid w:val="00936F32"/>
    <w:rsid w:val="0093722F"/>
    <w:rsid w:val="00937C26"/>
    <w:rsid w:val="0094062E"/>
    <w:rsid w:val="00940ED1"/>
    <w:rsid w:val="00941A3B"/>
    <w:rsid w:val="00942511"/>
    <w:rsid w:val="00945015"/>
    <w:rsid w:val="0094518F"/>
    <w:rsid w:val="009453D6"/>
    <w:rsid w:val="00945500"/>
    <w:rsid w:val="00950390"/>
    <w:rsid w:val="00950D11"/>
    <w:rsid w:val="00951F82"/>
    <w:rsid w:val="00953730"/>
    <w:rsid w:val="00953E1B"/>
    <w:rsid w:val="00955B24"/>
    <w:rsid w:val="00957C5D"/>
    <w:rsid w:val="00960315"/>
    <w:rsid w:val="009608C3"/>
    <w:rsid w:val="00960D45"/>
    <w:rsid w:val="00961008"/>
    <w:rsid w:val="00961077"/>
    <w:rsid w:val="0096253F"/>
    <w:rsid w:val="00962C1D"/>
    <w:rsid w:val="00964C56"/>
    <w:rsid w:val="009661FC"/>
    <w:rsid w:val="00966BED"/>
    <w:rsid w:val="009676B0"/>
    <w:rsid w:val="0096784D"/>
    <w:rsid w:val="00970E39"/>
    <w:rsid w:val="00970EE3"/>
    <w:rsid w:val="00971AD9"/>
    <w:rsid w:val="00971DB1"/>
    <w:rsid w:val="009724C7"/>
    <w:rsid w:val="00972D63"/>
    <w:rsid w:val="00972EE3"/>
    <w:rsid w:val="009738DE"/>
    <w:rsid w:val="0097403E"/>
    <w:rsid w:val="0097521A"/>
    <w:rsid w:val="009764A8"/>
    <w:rsid w:val="00977465"/>
    <w:rsid w:val="00980856"/>
    <w:rsid w:val="0098098B"/>
    <w:rsid w:val="0098287D"/>
    <w:rsid w:val="009847B4"/>
    <w:rsid w:val="00984EF0"/>
    <w:rsid w:val="00985671"/>
    <w:rsid w:val="00986BB6"/>
    <w:rsid w:val="00987105"/>
    <w:rsid w:val="0099075B"/>
    <w:rsid w:val="00990AE8"/>
    <w:rsid w:val="00992212"/>
    <w:rsid w:val="00992967"/>
    <w:rsid w:val="009950D1"/>
    <w:rsid w:val="009965B5"/>
    <w:rsid w:val="00996A87"/>
    <w:rsid w:val="009A2AB1"/>
    <w:rsid w:val="009A62BC"/>
    <w:rsid w:val="009A6F1E"/>
    <w:rsid w:val="009A7965"/>
    <w:rsid w:val="009B1590"/>
    <w:rsid w:val="009B4AE0"/>
    <w:rsid w:val="009B4BCC"/>
    <w:rsid w:val="009B4E90"/>
    <w:rsid w:val="009B6839"/>
    <w:rsid w:val="009B687D"/>
    <w:rsid w:val="009B706A"/>
    <w:rsid w:val="009B769C"/>
    <w:rsid w:val="009B7946"/>
    <w:rsid w:val="009B7B85"/>
    <w:rsid w:val="009C0DD4"/>
    <w:rsid w:val="009C24CF"/>
    <w:rsid w:val="009C272F"/>
    <w:rsid w:val="009C2844"/>
    <w:rsid w:val="009C2922"/>
    <w:rsid w:val="009C2D56"/>
    <w:rsid w:val="009C2F86"/>
    <w:rsid w:val="009C6D3A"/>
    <w:rsid w:val="009D0956"/>
    <w:rsid w:val="009D72F3"/>
    <w:rsid w:val="009D7317"/>
    <w:rsid w:val="009D75BB"/>
    <w:rsid w:val="009D75C4"/>
    <w:rsid w:val="009D7D8A"/>
    <w:rsid w:val="009E25F4"/>
    <w:rsid w:val="009E6D6B"/>
    <w:rsid w:val="009F0E6E"/>
    <w:rsid w:val="009F3886"/>
    <w:rsid w:val="009F4E6A"/>
    <w:rsid w:val="009F51C6"/>
    <w:rsid w:val="009F5AE5"/>
    <w:rsid w:val="009F7FB0"/>
    <w:rsid w:val="00A0292A"/>
    <w:rsid w:val="00A04A4A"/>
    <w:rsid w:val="00A05A9E"/>
    <w:rsid w:val="00A10962"/>
    <w:rsid w:val="00A1249A"/>
    <w:rsid w:val="00A13634"/>
    <w:rsid w:val="00A13D7B"/>
    <w:rsid w:val="00A14AF4"/>
    <w:rsid w:val="00A14E78"/>
    <w:rsid w:val="00A16183"/>
    <w:rsid w:val="00A17058"/>
    <w:rsid w:val="00A21DCE"/>
    <w:rsid w:val="00A24AC1"/>
    <w:rsid w:val="00A26DAB"/>
    <w:rsid w:val="00A306E1"/>
    <w:rsid w:val="00A3225E"/>
    <w:rsid w:val="00A3331C"/>
    <w:rsid w:val="00A344F7"/>
    <w:rsid w:val="00A36CAB"/>
    <w:rsid w:val="00A40D9E"/>
    <w:rsid w:val="00A40DAB"/>
    <w:rsid w:val="00A410CE"/>
    <w:rsid w:val="00A416FB"/>
    <w:rsid w:val="00A42742"/>
    <w:rsid w:val="00A4478F"/>
    <w:rsid w:val="00A44CEB"/>
    <w:rsid w:val="00A460BE"/>
    <w:rsid w:val="00A47DF0"/>
    <w:rsid w:val="00A51190"/>
    <w:rsid w:val="00A54023"/>
    <w:rsid w:val="00A54187"/>
    <w:rsid w:val="00A54FD0"/>
    <w:rsid w:val="00A566F4"/>
    <w:rsid w:val="00A5794E"/>
    <w:rsid w:val="00A6147A"/>
    <w:rsid w:val="00A62A19"/>
    <w:rsid w:val="00A62B40"/>
    <w:rsid w:val="00A63B2A"/>
    <w:rsid w:val="00A66A6F"/>
    <w:rsid w:val="00A66C39"/>
    <w:rsid w:val="00A715DB"/>
    <w:rsid w:val="00A737AC"/>
    <w:rsid w:val="00A7578B"/>
    <w:rsid w:val="00A76776"/>
    <w:rsid w:val="00A77725"/>
    <w:rsid w:val="00A80646"/>
    <w:rsid w:val="00A816E0"/>
    <w:rsid w:val="00A818AF"/>
    <w:rsid w:val="00A82272"/>
    <w:rsid w:val="00A827CD"/>
    <w:rsid w:val="00A87BBF"/>
    <w:rsid w:val="00A9037C"/>
    <w:rsid w:val="00A90465"/>
    <w:rsid w:val="00A92CF0"/>
    <w:rsid w:val="00A9323A"/>
    <w:rsid w:val="00A9466F"/>
    <w:rsid w:val="00A95F96"/>
    <w:rsid w:val="00A97A96"/>
    <w:rsid w:val="00A97D6C"/>
    <w:rsid w:val="00AA04FC"/>
    <w:rsid w:val="00AA0A59"/>
    <w:rsid w:val="00AA200C"/>
    <w:rsid w:val="00AA3DE1"/>
    <w:rsid w:val="00AA6DA6"/>
    <w:rsid w:val="00AB085F"/>
    <w:rsid w:val="00AB0ED3"/>
    <w:rsid w:val="00AB228A"/>
    <w:rsid w:val="00AB45E7"/>
    <w:rsid w:val="00AB69A8"/>
    <w:rsid w:val="00AB7937"/>
    <w:rsid w:val="00AB7A99"/>
    <w:rsid w:val="00AC131A"/>
    <w:rsid w:val="00AC42F9"/>
    <w:rsid w:val="00AC4A5D"/>
    <w:rsid w:val="00AC5A46"/>
    <w:rsid w:val="00AC6D31"/>
    <w:rsid w:val="00AC6FD0"/>
    <w:rsid w:val="00AD0155"/>
    <w:rsid w:val="00AD36F9"/>
    <w:rsid w:val="00AE0491"/>
    <w:rsid w:val="00AE102D"/>
    <w:rsid w:val="00AE1371"/>
    <w:rsid w:val="00AE1A13"/>
    <w:rsid w:val="00AE2D54"/>
    <w:rsid w:val="00AE31E1"/>
    <w:rsid w:val="00AE33AA"/>
    <w:rsid w:val="00AE3836"/>
    <w:rsid w:val="00AE448F"/>
    <w:rsid w:val="00AE515D"/>
    <w:rsid w:val="00AE723E"/>
    <w:rsid w:val="00AE7CB4"/>
    <w:rsid w:val="00AF0FAB"/>
    <w:rsid w:val="00AF31BA"/>
    <w:rsid w:val="00AF7651"/>
    <w:rsid w:val="00AF7D20"/>
    <w:rsid w:val="00B00C20"/>
    <w:rsid w:val="00B01DFC"/>
    <w:rsid w:val="00B01E8F"/>
    <w:rsid w:val="00B02732"/>
    <w:rsid w:val="00B02B2F"/>
    <w:rsid w:val="00B0736C"/>
    <w:rsid w:val="00B07653"/>
    <w:rsid w:val="00B07F0F"/>
    <w:rsid w:val="00B125C2"/>
    <w:rsid w:val="00B125E7"/>
    <w:rsid w:val="00B16BC8"/>
    <w:rsid w:val="00B16EA3"/>
    <w:rsid w:val="00B20EAD"/>
    <w:rsid w:val="00B2127A"/>
    <w:rsid w:val="00B2156B"/>
    <w:rsid w:val="00B21A6F"/>
    <w:rsid w:val="00B21E76"/>
    <w:rsid w:val="00B225DC"/>
    <w:rsid w:val="00B24643"/>
    <w:rsid w:val="00B25E6F"/>
    <w:rsid w:val="00B2614D"/>
    <w:rsid w:val="00B306FC"/>
    <w:rsid w:val="00B30F13"/>
    <w:rsid w:val="00B31815"/>
    <w:rsid w:val="00B34199"/>
    <w:rsid w:val="00B34ECB"/>
    <w:rsid w:val="00B3624C"/>
    <w:rsid w:val="00B378B1"/>
    <w:rsid w:val="00B37EE3"/>
    <w:rsid w:val="00B40027"/>
    <w:rsid w:val="00B404D9"/>
    <w:rsid w:val="00B45A88"/>
    <w:rsid w:val="00B46179"/>
    <w:rsid w:val="00B46D36"/>
    <w:rsid w:val="00B47610"/>
    <w:rsid w:val="00B51BDA"/>
    <w:rsid w:val="00B51C43"/>
    <w:rsid w:val="00B5204A"/>
    <w:rsid w:val="00B5327C"/>
    <w:rsid w:val="00B541AB"/>
    <w:rsid w:val="00B551DD"/>
    <w:rsid w:val="00B557CB"/>
    <w:rsid w:val="00B5588F"/>
    <w:rsid w:val="00B56B36"/>
    <w:rsid w:val="00B6122C"/>
    <w:rsid w:val="00B62461"/>
    <w:rsid w:val="00B62844"/>
    <w:rsid w:val="00B62DFA"/>
    <w:rsid w:val="00B6387A"/>
    <w:rsid w:val="00B64702"/>
    <w:rsid w:val="00B65EB4"/>
    <w:rsid w:val="00B675A3"/>
    <w:rsid w:val="00B702C5"/>
    <w:rsid w:val="00B72D90"/>
    <w:rsid w:val="00B72FE4"/>
    <w:rsid w:val="00B740E6"/>
    <w:rsid w:val="00B74408"/>
    <w:rsid w:val="00B75ADC"/>
    <w:rsid w:val="00B80B4B"/>
    <w:rsid w:val="00B82944"/>
    <w:rsid w:val="00B8326D"/>
    <w:rsid w:val="00B83D40"/>
    <w:rsid w:val="00B84618"/>
    <w:rsid w:val="00B84C6B"/>
    <w:rsid w:val="00B867B3"/>
    <w:rsid w:val="00B87E9B"/>
    <w:rsid w:val="00B902D4"/>
    <w:rsid w:val="00B904A3"/>
    <w:rsid w:val="00B9135C"/>
    <w:rsid w:val="00B94BCD"/>
    <w:rsid w:val="00B978ED"/>
    <w:rsid w:val="00B97CE7"/>
    <w:rsid w:val="00B97FBA"/>
    <w:rsid w:val="00BA0ECD"/>
    <w:rsid w:val="00BA158B"/>
    <w:rsid w:val="00BA42BD"/>
    <w:rsid w:val="00BA7ABF"/>
    <w:rsid w:val="00BB207A"/>
    <w:rsid w:val="00BB2D83"/>
    <w:rsid w:val="00BB38B1"/>
    <w:rsid w:val="00BB3D66"/>
    <w:rsid w:val="00BB7CA5"/>
    <w:rsid w:val="00BC0C37"/>
    <w:rsid w:val="00BC23F0"/>
    <w:rsid w:val="00BC27BF"/>
    <w:rsid w:val="00BC792A"/>
    <w:rsid w:val="00BC7A1E"/>
    <w:rsid w:val="00BD0F85"/>
    <w:rsid w:val="00BD182F"/>
    <w:rsid w:val="00BD23A9"/>
    <w:rsid w:val="00BD2A18"/>
    <w:rsid w:val="00BD469A"/>
    <w:rsid w:val="00BD4D98"/>
    <w:rsid w:val="00BD57E7"/>
    <w:rsid w:val="00BD7E02"/>
    <w:rsid w:val="00BE21E6"/>
    <w:rsid w:val="00BE34FF"/>
    <w:rsid w:val="00BE45A6"/>
    <w:rsid w:val="00BF014A"/>
    <w:rsid w:val="00BF18C8"/>
    <w:rsid w:val="00BF3BF1"/>
    <w:rsid w:val="00BF5048"/>
    <w:rsid w:val="00BF6693"/>
    <w:rsid w:val="00BF6BFA"/>
    <w:rsid w:val="00C00233"/>
    <w:rsid w:val="00C00F61"/>
    <w:rsid w:val="00C03820"/>
    <w:rsid w:val="00C05679"/>
    <w:rsid w:val="00C06BC1"/>
    <w:rsid w:val="00C070EF"/>
    <w:rsid w:val="00C07C09"/>
    <w:rsid w:val="00C106BD"/>
    <w:rsid w:val="00C10A58"/>
    <w:rsid w:val="00C10B23"/>
    <w:rsid w:val="00C10E1A"/>
    <w:rsid w:val="00C119D8"/>
    <w:rsid w:val="00C13D03"/>
    <w:rsid w:val="00C142AF"/>
    <w:rsid w:val="00C154A8"/>
    <w:rsid w:val="00C15BE7"/>
    <w:rsid w:val="00C17F82"/>
    <w:rsid w:val="00C23B32"/>
    <w:rsid w:val="00C2432F"/>
    <w:rsid w:val="00C24666"/>
    <w:rsid w:val="00C24BFF"/>
    <w:rsid w:val="00C26BEB"/>
    <w:rsid w:val="00C27771"/>
    <w:rsid w:val="00C27956"/>
    <w:rsid w:val="00C37BED"/>
    <w:rsid w:val="00C40320"/>
    <w:rsid w:val="00C40330"/>
    <w:rsid w:val="00C41557"/>
    <w:rsid w:val="00C4238C"/>
    <w:rsid w:val="00C471FD"/>
    <w:rsid w:val="00C47B4C"/>
    <w:rsid w:val="00C4A8F1"/>
    <w:rsid w:val="00C50AC4"/>
    <w:rsid w:val="00C51306"/>
    <w:rsid w:val="00C51E74"/>
    <w:rsid w:val="00C524A3"/>
    <w:rsid w:val="00C528AD"/>
    <w:rsid w:val="00C5295A"/>
    <w:rsid w:val="00C52DB9"/>
    <w:rsid w:val="00C544DB"/>
    <w:rsid w:val="00C54872"/>
    <w:rsid w:val="00C5642F"/>
    <w:rsid w:val="00C567F2"/>
    <w:rsid w:val="00C57575"/>
    <w:rsid w:val="00C576E9"/>
    <w:rsid w:val="00C61B23"/>
    <w:rsid w:val="00C63730"/>
    <w:rsid w:val="00C63D69"/>
    <w:rsid w:val="00C65D5B"/>
    <w:rsid w:val="00C65DD8"/>
    <w:rsid w:val="00C665D7"/>
    <w:rsid w:val="00C71027"/>
    <w:rsid w:val="00C71669"/>
    <w:rsid w:val="00C72D76"/>
    <w:rsid w:val="00C7373D"/>
    <w:rsid w:val="00C741D7"/>
    <w:rsid w:val="00C75B37"/>
    <w:rsid w:val="00C77881"/>
    <w:rsid w:val="00C80EA5"/>
    <w:rsid w:val="00C81A33"/>
    <w:rsid w:val="00C903B2"/>
    <w:rsid w:val="00C90FDB"/>
    <w:rsid w:val="00C95593"/>
    <w:rsid w:val="00C96A8B"/>
    <w:rsid w:val="00CA0B5F"/>
    <w:rsid w:val="00CA1A95"/>
    <w:rsid w:val="00CA3ECF"/>
    <w:rsid w:val="00CA4D24"/>
    <w:rsid w:val="00CA4FA4"/>
    <w:rsid w:val="00CA5141"/>
    <w:rsid w:val="00CA598A"/>
    <w:rsid w:val="00CA6B87"/>
    <w:rsid w:val="00CB02CB"/>
    <w:rsid w:val="00CB0D9B"/>
    <w:rsid w:val="00CB41EC"/>
    <w:rsid w:val="00CB5575"/>
    <w:rsid w:val="00CB604E"/>
    <w:rsid w:val="00CC0293"/>
    <w:rsid w:val="00CC1D05"/>
    <w:rsid w:val="00CC1E20"/>
    <w:rsid w:val="00CC2FCD"/>
    <w:rsid w:val="00CC38AB"/>
    <w:rsid w:val="00CC4415"/>
    <w:rsid w:val="00CC6931"/>
    <w:rsid w:val="00CD0DD3"/>
    <w:rsid w:val="00CD12C9"/>
    <w:rsid w:val="00CD149C"/>
    <w:rsid w:val="00CD3AD9"/>
    <w:rsid w:val="00CD4530"/>
    <w:rsid w:val="00CD4F16"/>
    <w:rsid w:val="00CD5E2A"/>
    <w:rsid w:val="00CE231B"/>
    <w:rsid w:val="00CE29A4"/>
    <w:rsid w:val="00CE328F"/>
    <w:rsid w:val="00CE38AE"/>
    <w:rsid w:val="00CE509B"/>
    <w:rsid w:val="00CE54F9"/>
    <w:rsid w:val="00CE6AF2"/>
    <w:rsid w:val="00CF14B4"/>
    <w:rsid w:val="00CF1576"/>
    <w:rsid w:val="00CF3AC9"/>
    <w:rsid w:val="00CF4C88"/>
    <w:rsid w:val="00CF79F4"/>
    <w:rsid w:val="00CF7E36"/>
    <w:rsid w:val="00D024B8"/>
    <w:rsid w:val="00D02ACC"/>
    <w:rsid w:val="00D03A54"/>
    <w:rsid w:val="00D04581"/>
    <w:rsid w:val="00D110B9"/>
    <w:rsid w:val="00D11C67"/>
    <w:rsid w:val="00D12FC3"/>
    <w:rsid w:val="00D14EE1"/>
    <w:rsid w:val="00D17AF7"/>
    <w:rsid w:val="00D2050F"/>
    <w:rsid w:val="00D206D6"/>
    <w:rsid w:val="00D21401"/>
    <w:rsid w:val="00D23BCE"/>
    <w:rsid w:val="00D24F23"/>
    <w:rsid w:val="00D26641"/>
    <w:rsid w:val="00D26A47"/>
    <w:rsid w:val="00D26D14"/>
    <w:rsid w:val="00D27EF0"/>
    <w:rsid w:val="00D30A77"/>
    <w:rsid w:val="00D31938"/>
    <w:rsid w:val="00D32B11"/>
    <w:rsid w:val="00D35A8A"/>
    <w:rsid w:val="00D36F63"/>
    <w:rsid w:val="00D37855"/>
    <w:rsid w:val="00D4052C"/>
    <w:rsid w:val="00D432A4"/>
    <w:rsid w:val="00D43D15"/>
    <w:rsid w:val="00D449F3"/>
    <w:rsid w:val="00D45B0D"/>
    <w:rsid w:val="00D472A0"/>
    <w:rsid w:val="00D4766B"/>
    <w:rsid w:val="00D476D1"/>
    <w:rsid w:val="00D52133"/>
    <w:rsid w:val="00D52A68"/>
    <w:rsid w:val="00D53376"/>
    <w:rsid w:val="00D542C2"/>
    <w:rsid w:val="00D5572E"/>
    <w:rsid w:val="00D5637E"/>
    <w:rsid w:val="00D5739E"/>
    <w:rsid w:val="00D5765C"/>
    <w:rsid w:val="00D60796"/>
    <w:rsid w:val="00D61152"/>
    <w:rsid w:val="00D62108"/>
    <w:rsid w:val="00D63185"/>
    <w:rsid w:val="00D6410E"/>
    <w:rsid w:val="00D675EC"/>
    <w:rsid w:val="00D67A9B"/>
    <w:rsid w:val="00D715B4"/>
    <w:rsid w:val="00D72176"/>
    <w:rsid w:val="00D722D0"/>
    <w:rsid w:val="00D72A37"/>
    <w:rsid w:val="00D73B7C"/>
    <w:rsid w:val="00D7416E"/>
    <w:rsid w:val="00D7741F"/>
    <w:rsid w:val="00D77FDA"/>
    <w:rsid w:val="00D81C3D"/>
    <w:rsid w:val="00D82532"/>
    <w:rsid w:val="00D83E74"/>
    <w:rsid w:val="00D8719F"/>
    <w:rsid w:val="00D87E4D"/>
    <w:rsid w:val="00D90EA2"/>
    <w:rsid w:val="00D91164"/>
    <w:rsid w:val="00D919D5"/>
    <w:rsid w:val="00D92758"/>
    <w:rsid w:val="00D9445D"/>
    <w:rsid w:val="00D95D4A"/>
    <w:rsid w:val="00D95EF5"/>
    <w:rsid w:val="00D9708B"/>
    <w:rsid w:val="00DA08B8"/>
    <w:rsid w:val="00DA17D3"/>
    <w:rsid w:val="00DA1AAA"/>
    <w:rsid w:val="00DA22AD"/>
    <w:rsid w:val="00DA3586"/>
    <w:rsid w:val="00DA37CB"/>
    <w:rsid w:val="00DA3C8A"/>
    <w:rsid w:val="00DA3DB9"/>
    <w:rsid w:val="00DA42B9"/>
    <w:rsid w:val="00DA4377"/>
    <w:rsid w:val="00DA58E6"/>
    <w:rsid w:val="00DA7253"/>
    <w:rsid w:val="00DB404A"/>
    <w:rsid w:val="00DB4464"/>
    <w:rsid w:val="00DB4F0D"/>
    <w:rsid w:val="00DB6F36"/>
    <w:rsid w:val="00DB754E"/>
    <w:rsid w:val="00DB7F66"/>
    <w:rsid w:val="00DC1084"/>
    <w:rsid w:val="00DC3368"/>
    <w:rsid w:val="00DC434B"/>
    <w:rsid w:val="00DC4EE4"/>
    <w:rsid w:val="00DC7C88"/>
    <w:rsid w:val="00DD53FC"/>
    <w:rsid w:val="00DD5887"/>
    <w:rsid w:val="00DD748B"/>
    <w:rsid w:val="00DD75E5"/>
    <w:rsid w:val="00DD79BC"/>
    <w:rsid w:val="00DE0145"/>
    <w:rsid w:val="00DE0205"/>
    <w:rsid w:val="00DE04E6"/>
    <w:rsid w:val="00DE08EA"/>
    <w:rsid w:val="00DE286B"/>
    <w:rsid w:val="00DE2870"/>
    <w:rsid w:val="00DE3036"/>
    <w:rsid w:val="00DE3D37"/>
    <w:rsid w:val="00DE4DC3"/>
    <w:rsid w:val="00DE67FE"/>
    <w:rsid w:val="00DF1A4F"/>
    <w:rsid w:val="00DF2565"/>
    <w:rsid w:val="00DF2B5B"/>
    <w:rsid w:val="00DF5332"/>
    <w:rsid w:val="00E009E5"/>
    <w:rsid w:val="00E00E1C"/>
    <w:rsid w:val="00E011AD"/>
    <w:rsid w:val="00E02E71"/>
    <w:rsid w:val="00E06B7D"/>
    <w:rsid w:val="00E07853"/>
    <w:rsid w:val="00E11996"/>
    <w:rsid w:val="00E125DD"/>
    <w:rsid w:val="00E12A33"/>
    <w:rsid w:val="00E12ACC"/>
    <w:rsid w:val="00E133ED"/>
    <w:rsid w:val="00E1341E"/>
    <w:rsid w:val="00E140E9"/>
    <w:rsid w:val="00E141D4"/>
    <w:rsid w:val="00E16D8F"/>
    <w:rsid w:val="00E17C9A"/>
    <w:rsid w:val="00E20161"/>
    <w:rsid w:val="00E20C97"/>
    <w:rsid w:val="00E225F5"/>
    <w:rsid w:val="00E2470A"/>
    <w:rsid w:val="00E253DB"/>
    <w:rsid w:val="00E25451"/>
    <w:rsid w:val="00E25C1F"/>
    <w:rsid w:val="00E26B7B"/>
    <w:rsid w:val="00E2737F"/>
    <w:rsid w:val="00E312FD"/>
    <w:rsid w:val="00E31308"/>
    <w:rsid w:val="00E3200F"/>
    <w:rsid w:val="00E32AED"/>
    <w:rsid w:val="00E3335E"/>
    <w:rsid w:val="00E33ACB"/>
    <w:rsid w:val="00E342BB"/>
    <w:rsid w:val="00E355BB"/>
    <w:rsid w:val="00E363D6"/>
    <w:rsid w:val="00E374DF"/>
    <w:rsid w:val="00E37E21"/>
    <w:rsid w:val="00E4239A"/>
    <w:rsid w:val="00E42D83"/>
    <w:rsid w:val="00E42EAD"/>
    <w:rsid w:val="00E43A05"/>
    <w:rsid w:val="00E43C55"/>
    <w:rsid w:val="00E43C99"/>
    <w:rsid w:val="00E44845"/>
    <w:rsid w:val="00E45457"/>
    <w:rsid w:val="00E47368"/>
    <w:rsid w:val="00E51BC2"/>
    <w:rsid w:val="00E52123"/>
    <w:rsid w:val="00E53547"/>
    <w:rsid w:val="00E54C63"/>
    <w:rsid w:val="00E54EBD"/>
    <w:rsid w:val="00E56BDD"/>
    <w:rsid w:val="00E5732C"/>
    <w:rsid w:val="00E60396"/>
    <w:rsid w:val="00E615CF"/>
    <w:rsid w:val="00E61793"/>
    <w:rsid w:val="00E61C8F"/>
    <w:rsid w:val="00E62633"/>
    <w:rsid w:val="00E62DF4"/>
    <w:rsid w:val="00E64D02"/>
    <w:rsid w:val="00E669EA"/>
    <w:rsid w:val="00E66E19"/>
    <w:rsid w:val="00E70A0E"/>
    <w:rsid w:val="00E70D38"/>
    <w:rsid w:val="00E71274"/>
    <w:rsid w:val="00E722A5"/>
    <w:rsid w:val="00E73913"/>
    <w:rsid w:val="00E73B46"/>
    <w:rsid w:val="00E808E4"/>
    <w:rsid w:val="00E82327"/>
    <w:rsid w:val="00E85699"/>
    <w:rsid w:val="00E86F87"/>
    <w:rsid w:val="00E9431F"/>
    <w:rsid w:val="00E94E9B"/>
    <w:rsid w:val="00E94F19"/>
    <w:rsid w:val="00E97223"/>
    <w:rsid w:val="00E974A2"/>
    <w:rsid w:val="00E97752"/>
    <w:rsid w:val="00EA102F"/>
    <w:rsid w:val="00EA1720"/>
    <w:rsid w:val="00EA18B3"/>
    <w:rsid w:val="00EA4C38"/>
    <w:rsid w:val="00EA56B6"/>
    <w:rsid w:val="00EA72E9"/>
    <w:rsid w:val="00EB221C"/>
    <w:rsid w:val="00EB4649"/>
    <w:rsid w:val="00EB4B98"/>
    <w:rsid w:val="00EB59A6"/>
    <w:rsid w:val="00EB5B22"/>
    <w:rsid w:val="00EB71AE"/>
    <w:rsid w:val="00EB7D12"/>
    <w:rsid w:val="00EC3F79"/>
    <w:rsid w:val="00EC433B"/>
    <w:rsid w:val="00EC4B87"/>
    <w:rsid w:val="00EC5694"/>
    <w:rsid w:val="00EC5F2C"/>
    <w:rsid w:val="00EC6254"/>
    <w:rsid w:val="00EC6E54"/>
    <w:rsid w:val="00ED05BF"/>
    <w:rsid w:val="00ED0B56"/>
    <w:rsid w:val="00ED37E5"/>
    <w:rsid w:val="00ED3FA4"/>
    <w:rsid w:val="00ED589B"/>
    <w:rsid w:val="00ED6848"/>
    <w:rsid w:val="00EE00A6"/>
    <w:rsid w:val="00EE0F2E"/>
    <w:rsid w:val="00EE1266"/>
    <w:rsid w:val="00EE2046"/>
    <w:rsid w:val="00EE40A2"/>
    <w:rsid w:val="00EE4DA8"/>
    <w:rsid w:val="00EE7298"/>
    <w:rsid w:val="00EE7DAD"/>
    <w:rsid w:val="00EF0B38"/>
    <w:rsid w:val="00EF353F"/>
    <w:rsid w:val="00EF459F"/>
    <w:rsid w:val="00EF4B70"/>
    <w:rsid w:val="00EF51AA"/>
    <w:rsid w:val="00EF61A9"/>
    <w:rsid w:val="00EF6D6B"/>
    <w:rsid w:val="00EF7A6A"/>
    <w:rsid w:val="00F00300"/>
    <w:rsid w:val="00F0076B"/>
    <w:rsid w:val="00F00F91"/>
    <w:rsid w:val="00F02B00"/>
    <w:rsid w:val="00F02D93"/>
    <w:rsid w:val="00F03309"/>
    <w:rsid w:val="00F033EC"/>
    <w:rsid w:val="00F0535D"/>
    <w:rsid w:val="00F05C92"/>
    <w:rsid w:val="00F05F79"/>
    <w:rsid w:val="00F0792C"/>
    <w:rsid w:val="00F100C2"/>
    <w:rsid w:val="00F128B2"/>
    <w:rsid w:val="00F148E9"/>
    <w:rsid w:val="00F151D3"/>
    <w:rsid w:val="00F15B51"/>
    <w:rsid w:val="00F15D84"/>
    <w:rsid w:val="00F16919"/>
    <w:rsid w:val="00F1793B"/>
    <w:rsid w:val="00F17D1A"/>
    <w:rsid w:val="00F211FD"/>
    <w:rsid w:val="00F21BDD"/>
    <w:rsid w:val="00F2491D"/>
    <w:rsid w:val="00F2574F"/>
    <w:rsid w:val="00F32157"/>
    <w:rsid w:val="00F3221B"/>
    <w:rsid w:val="00F3224F"/>
    <w:rsid w:val="00F33B83"/>
    <w:rsid w:val="00F34870"/>
    <w:rsid w:val="00F360B2"/>
    <w:rsid w:val="00F3753E"/>
    <w:rsid w:val="00F40872"/>
    <w:rsid w:val="00F41432"/>
    <w:rsid w:val="00F420DD"/>
    <w:rsid w:val="00F448B4"/>
    <w:rsid w:val="00F449BE"/>
    <w:rsid w:val="00F511B1"/>
    <w:rsid w:val="00F54378"/>
    <w:rsid w:val="00F5536C"/>
    <w:rsid w:val="00F57FA0"/>
    <w:rsid w:val="00F624C2"/>
    <w:rsid w:val="00F62D77"/>
    <w:rsid w:val="00F63C80"/>
    <w:rsid w:val="00F64C7C"/>
    <w:rsid w:val="00F705A4"/>
    <w:rsid w:val="00F7218C"/>
    <w:rsid w:val="00F750B3"/>
    <w:rsid w:val="00F75700"/>
    <w:rsid w:val="00F75A14"/>
    <w:rsid w:val="00F77098"/>
    <w:rsid w:val="00F77645"/>
    <w:rsid w:val="00F8174F"/>
    <w:rsid w:val="00F845FE"/>
    <w:rsid w:val="00F85532"/>
    <w:rsid w:val="00F85745"/>
    <w:rsid w:val="00F86079"/>
    <w:rsid w:val="00F87E58"/>
    <w:rsid w:val="00F91FB0"/>
    <w:rsid w:val="00F941B6"/>
    <w:rsid w:val="00F94907"/>
    <w:rsid w:val="00F955FD"/>
    <w:rsid w:val="00F96512"/>
    <w:rsid w:val="00FA3EAF"/>
    <w:rsid w:val="00FA4DE1"/>
    <w:rsid w:val="00FA691F"/>
    <w:rsid w:val="00FA75BA"/>
    <w:rsid w:val="00FA781A"/>
    <w:rsid w:val="00FB2500"/>
    <w:rsid w:val="00FB306D"/>
    <w:rsid w:val="00FB33A3"/>
    <w:rsid w:val="00FB3E48"/>
    <w:rsid w:val="00FB402E"/>
    <w:rsid w:val="00FB438A"/>
    <w:rsid w:val="00FC1065"/>
    <w:rsid w:val="00FC2465"/>
    <w:rsid w:val="00FC2E46"/>
    <w:rsid w:val="00FC3698"/>
    <w:rsid w:val="00FC402D"/>
    <w:rsid w:val="00FC40B4"/>
    <w:rsid w:val="00FC617C"/>
    <w:rsid w:val="00FC61F1"/>
    <w:rsid w:val="00FC62C0"/>
    <w:rsid w:val="00FD0935"/>
    <w:rsid w:val="00FD1548"/>
    <w:rsid w:val="00FD1F43"/>
    <w:rsid w:val="00FD22A2"/>
    <w:rsid w:val="00FD3802"/>
    <w:rsid w:val="00FD54E5"/>
    <w:rsid w:val="00FD6DF8"/>
    <w:rsid w:val="00FD76E2"/>
    <w:rsid w:val="00FE0C69"/>
    <w:rsid w:val="00FE2884"/>
    <w:rsid w:val="00FE37D0"/>
    <w:rsid w:val="00FE3992"/>
    <w:rsid w:val="00FE5078"/>
    <w:rsid w:val="00FE521B"/>
    <w:rsid w:val="00FE5D98"/>
    <w:rsid w:val="00FF0BD1"/>
    <w:rsid w:val="00FF177F"/>
    <w:rsid w:val="00FF1E1C"/>
    <w:rsid w:val="00FF2E6A"/>
    <w:rsid w:val="00FF30B9"/>
    <w:rsid w:val="00FF3C86"/>
    <w:rsid w:val="00FF517C"/>
    <w:rsid w:val="00FF6812"/>
    <w:rsid w:val="00FF6B4B"/>
    <w:rsid w:val="00FF7B51"/>
    <w:rsid w:val="00FF7E16"/>
    <w:rsid w:val="01611119"/>
    <w:rsid w:val="01982BE4"/>
    <w:rsid w:val="025AC2FF"/>
    <w:rsid w:val="026EDB1C"/>
    <w:rsid w:val="0286B81D"/>
    <w:rsid w:val="030ECD3C"/>
    <w:rsid w:val="0329E04C"/>
    <w:rsid w:val="03704F25"/>
    <w:rsid w:val="03A1C24F"/>
    <w:rsid w:val="03B05D3A"/>
    <w:rsid w:val="047506D7"/>
    <w:rsid w:val="048D83C5"/>
    <w:rsid w:val="04A86020"/>
    <w:rsid w:val="04FF8B38"/>
    <w:rsid w:val="056B8D5D"/>
    <w:rsid w:val="05A41CF8"/>
    <w:rsid w:val="05DE5D97"/>
    <w:rsid w:val="05E00D90"/>
    <w:rsid w:val="05F00395"/>
    <w:rsid w:val="063DA38B"/>
    <w:rsid w:val="06673107"/>
    <w:rsid w:val="0669B78E"/>
    <w:rsid w:val="0680A79F"/>
    <w:rsid w:val="068D3CF8"/>
    <w:rsid w:val="069D7DDA"/>
    <w:rsid w:val="06EE3561"/>
    <w:rsid w:val="07411557"/>
    <w:rsid w:val="07485AE5"/>
    <w:rsid w:val="07EFED21"/>
    <w:rsid w:val="088A05C2"/>
    <w:rsid w:val="09F1FA9E"/>
    <w:rsid w:val="0A26424C"/>
    <w:rsid w:val="0A29610A"/>
    <w:rsid w:val="0A3EFE80"/>
    <w:rsid w:val="0A640E6B"/>
    <w:rsid w:val="0A7E6B18"/>
    <w:rsid w:val="0AD07EAD"/>
    <w:rsid w:val="0AE025ED"/>
    <w:rsid w:val="0B2A5A43"/>
    <w:rsid w:val="0B74811F"/>
    <w:rsid w:val="0B9A6CBA"/>
    <w:rsid w:val="0C44F87B"/>
    <w:rsid w:val="0C4E9E7D"/>
    <w:rsid w:val="0C73200C"/>
    <w:rsid w:val="0C88DA34"/>
    <w:rsid w:val="0D04E6F3"/>
    <w:rsid w:val="0D65216D"/>
    <w:rsid w:val="0E37347B"/>
    <w:rsid w:val="0E681060"/>
    <w:rsid w:val="10C6ECF0"/>
    <w:rsid w:val="1148E604"/>
    <w:rsid w:val="11826EEC"/>
    <w:rsid w:val="11945D8B"/>
    <w:rsid w:val="11B60B8C"/>
    <w:rsid w:val="11D95C28"/>
    <w:rsid w:val="11E8EB84"/>
    <w:rsid w:val="120255E3"/>
    <w:rsid w:val="125736B0"/>
    <w:rsid w:val="1265BE1B"/>
    <w:rsid w:val="127029A1"/>
    <w:rsid w:val="12A98F4C"/>
    <w:rsid w:val="15007A1D"/>
    <w:rsid w:val="15CD2AED"/>
    <w:rsid w:val="15D39B1C"/>
    <w:rsid w:val="15DC5866"/>
    <w:rsid w:val="16D905D1"/>
    <w:rsid w:val="16EFCF7B"/>
    <w:rsid w:val="173BD56C"/>
    <w:rsid w:val="17EF0148"/>
    <w:rsid w:val="17FE84DB"/>
    <w:rsid w:val="1816FDE2"/>
    <w:rsid w:val="1821D99C"/>
    <w:rsid w:val="184BD35D"/>
    <w:rsid w:val="18C94EBA"/>
    <w:rsid w:val="193E1E54"/>
    <w:rsid w:val="19424F0C"/>
    <w:rsid w:val="1966649E"/>
    <w:rsid w:val="19B9C3D3"/>
    <w:rsid w:val="1A2708BF"/>
    <w:rsid w:val="1A566E11"/>
    <w:rsid w:val="1AB85697"/>
    <w:rsid w:val="1ADCE95C"/>
    <w:rsid w:val="1AE2AFEE"/>
    <w:rsid w:val="1B4C48BC"/>
    <w:rsid w:val="1BF315B9"/>
    <w:rsid w:val="1C95EDAE"/>
    <w:rsid w:val="1DD59403"/>
    <w:rsid w:val="1DE9EA2E"/>
    <w:rsid w:val="1DEFF759"/>
    <w:rsid w:val="1E3246AC"/>
    <w:rsid w:val="1E53E2B9"/>
    <w:rsid w:val="1E5E45AC"/>
    <w:rsid w:val="1E5EF672"/>
    <w:rsid w:val="1EA6D1C2"/>
    <w:rsid w:val="1F3F46D3"/>
    <w:rsid w:val="1F4AAE00"/>
    <w:rsid w:val="1F5EFE36"/>
    <w:rsid w:val="1FA37895"/>
    <w:rsid w:val="20032E03"/>
    <w:rsid w:val="20091A46"/>
    <w:rsid w:val="20179DAC"/>
    <w:rsid w:val="204BDEC3"/>
    <w:rsid w:val="204BEDC3"/>
    <w:rsid w:val="219EFE64"/>
    <w:rsid w:val="21E84504"/>
    <w:rsid w:val="2221CC6E"/>
    <w:rsid w:val="2226028C"/>
    <w:rsid w:val="22383354"/>
    <w:rsid w:val="22986490"/>
    <w:rsid w:val="231AE7C1"/>
    <w:rsid w:val="23883115"/>
    <w:rsid w:val="24D69F26"/>
    <w:rsid w:val="24D6B02C"/>
    <w:rsid w:val="24DE4118"/>
    <w:rsid w:val="253CEB6B"/>
    <w:rsid w:val="254AE2FD"/>
    <w:rsid w:val="2560341B"/>
    <w:rsid w:val="25821735"/>
    <w:rsid w:val="25B331E9"/>
    <w:rsid w:val="25E4F567"/>
    <w:rsid w:val="2647062C"/>
    <w:rsid w:val="26B94684"/>
    <w:rsid w:val="26CE8955"/>
    <w:rsid w:val="26D2813A"/>
    <w:rsid w:val="27A16534"/>
    <w:rsid w:val="27BF412C"/>
    <w:rsid w:val="27D5769F"/>
    <w:rsid w:val="2805760C"/>
    <w:rsid w:val="28C0D372"/>
    <w:rsid w:val="297A77FA"/>
    <w:rsid w:val="29C8EEC3"/>
    <w:rsid w:val="29E5EAB1"/>
    <w:rsid w:val="2A1F04AA"/>
    <w:rsid w:val="2A9CB532"/>
    <w:rsid w:val="2B24164E"/>
    <w:rsid w:val="2B7E13FF"/>
    <w:rsid w:val="2B864989"/>
    <w:rsid w:val="2B93EC7E"/>
    <w:rsid w:val="2B9737D3"/>
    <w:rsid w:val="2C36631D"/>
    <w:rsid w:val="2CBAB33A"/>
    <w:rsid w:val="2CBC5CD0"/>
    <w:rsid w:val="2D0B0AD6"/>
    <w:rsid w:val="2D33F8DA"/>
    <w:rsid w:val="2D3CE908"/>
    <w:rsid w:val="2DBA5C6A"/>
    <w:rsid w:val="2E59EA36"/>
    <w:rsid w:val="2ED688C8"/>
    <w:rsid w:val="2F9E0D4C"/>
    <w:rsid w:val="2FF5BA97"/>
    <w:rsid w:val="305CE162"/>
    <w:rsid w:val="30992F83"/>
    <w:rsid w:val="30F08F13"/>
    <w:rsid w:val="318C5536"/>
    <w:rsid w:val="31918AF8"/>
    <w:rsid w:val="3199FC6E"/>
    <w:rsid w:val="31BD0FB4"/>
    <w:rsid w:val="31E1F226"/>
    <w:rsid w:val="31E8B183"/>
    <w:rsid w:val="3270F47A"/>
    <w:rsid w:val="32788EE4"/>
    <w:rsid w:val="32A08B39"/>
    <w:rsid w:val="32B86B82"/>
    <w:rsid w:val="32D20BF2"/>
    <w:rsid w:val="32D8ECBE"/>
    <w:rsid w:val="33C4C22B"/>
    <w:rsid w:val="33D1E447"/>
    <w:rsid w:val="3416229C"/>
    <w:rsid w:val="342705B8"/>
    <w:rsid w:val="34D635AF"/>
    <w:rsid w:val="34E67CC0"/>
    <w:rsid w:val="3537FDD0"/>
    <w:rsid w:val="35C1A20C"/>
    <w:rsid w:val="35CA9A72"/>
    <w:rsid w:val="35F829E9"/>
    <w:rsid w:val="369E2EDE"/>
    <w:rsid w:val="369E3371"/>
    <w:rsid w:val="36E09200"/>
    <w:rsid w:val="36FE1B4E"/>
    <w:rsid w:val="372B3471"/>
    <w:rsid w:val="375013E1"/>
    <w:rsid w:val="38843368"/>
    <w:rsid w:val="39BC8573"/>
    <w:rsid w:val="3A21B7F6"/>
    <w:rsid w:val="3B56D5DA"/>
    <w:rsid w:val="3BE90244"/>
    <w:rsid w:val="3C21C0A5"/>
    <w:rsid w:val="3C236CC1"/>
    <w:rsid w:val="3C57C212"/>
    <w:rsid w:val="3C814C9B"/>
    <w:rsid w:val="3CDE32CE"/>
    <w:rsid w:val="3CFCE14C"/>
    <w:rsid w:val="3D0C312B"/>
    <w:rsid w:val="3D446DC7"/>
    <w:rsid w:val="3D8AA803"/>
    <w:rsid w:val="3DA81F6D"/>
    <w:rsid w:val="3DF6868C"/>
    <w:rsid w:val="3E56E5A3"/>
    <w:rsid w:val="3E6D8BE2"/>
    <w:rsid w:val="3E77C8A1"/>
    <w:rsid w:val="3EC01C1D"/>
    <w:rsid w:val="406202BF"/>
    <w:rsid w:val="407BE33E"/>
    <w:rsid w:val="40C04811"/>
    <w:rsid w:val="40E2A145"/>
    <w:rsid w:val="41633528"/>
    <w:rsid w:val="41C97F7F"/>
    <w:rsid w:val="420BDB67"/>
    <w:rsid w:val="42259FBB"/>
    <w:rsid w:val="42620E39"/>
    <w:rsid w:val="427501FF"/>
    <w:rsid w:val="4302987C"/>
    <w:rsid w:val="43045FDB"/>
    <w:rsid w:val="4356075D"/>
    <w:rsid w:val="43B12249"/>
    <w:rsid w:val="43C32769"/>
    <w:rsid w:val="43DD06D9"/>
    <w:rsid w:val="43ECA2DC"/>
    <w:rsid w:val="446D2077"/>
    <w:rsid w:val="44FA8823"/>
    <w:rsid w:val="452E8A9D"/>
    <w:rsid w:val="4531CF40"/>
    <w:rsid w:val="458BFCD6"/>
    <w:rsid w:val="45957B2B"/>
    <w:rsid w:val="45CA4268"/>
    <w:rsid w:val="45E28237"/>
    <w:rsid w:val="46E8961C"/>
    <w:rsid w:val="470DF845"/>
    <w:rsid w:val="4736F45E"/>
    <w:rsid w:val="481BE8FA"/>
    <w:rsid w:val="4848236A"/>
    <w:rsid w:val="4876B663"/>
    <w:rsid w:val="489D1C41"/>
    <w:rsid w:val="4914A868"/>
    <w:rsid w:val="4988F1AE"/>
    <w:rsid w:val="49F3E0F0"/>
    <w:rsid w:val="49FF6304"/>
    <w:rsid w:val="4A236113"/>
    <w:rsid w:val="4A247266"/>
    <w:rsid w:val="4A7D6334"/>
    <w:rsid w:val="4AFFDDF2"/>
    <w:rsid w:val="4B56F601"/>
    <w:rsid w:val="4BA9C9C5"/>
    <w:rsid w:val="4BF75622"/>
    <w:rsid w:val="4C354784"/>
    <w:rsid w:val="4C363593"/>
    <w:rsid w:val="4C3B87FD"/>
    <w:rsid w:val="4D766ABF"/>
    <w:rsid w:val="4E16B52F"/>
    <w:rsid w:val="4EFFD72C"/>
    <w:rsid w:val="4F48A201"/>
    <w:rsid w:val="50244351"/>
    <w:rsid w:val="508DDFE4"/>
    <w:rsid w:val="509E8617"/>
    <w:rsid w:val="5102CCB9"/>
    <w:rsid w:val="510EF920"/>
    <w:rsid w:val="5169F1DB"/>
    <w:rsid w:val="516FAD27"/>
    <w:rsid w:val="52045590"/>
    <w:rsid w:val="520AC8C3"/>
    <w:rsid w:val="52585EF7"/>
    <w:rsid w:val="52616842"/>
    <w:rsid w:val="52C25D3B"/>
    <w:rsid w:val="52CBB019"/>
    <w:rsid w:val="52F45D4F"/>
    <w:rsid w:val="531430D8"/>
    <w:rsid w:val="5335F194"/>
    <w:rsid w:val="53DE8B35"/>
    <w:rsid w:val="544699E2"/>
    <w:rsid w:val="5457CBC5"/>
    <w:rsid w:val="545CDEA0"/>
    <w:rsid w:val="54E8CC7F"/>
    <w:rsid w:val="55046481"/>
    <w:rsid w:val="551EC43A"/>
    <w:rsid w:val="55272858"/>
    <w:rsid w:val="553B0959"/>
    <w:rsid w:val="55AFD2B0"/>
    <w:rsid w:val="5677717D"/>
    <w:rsid w:val="56B15820"/>
    <w:rsid w:val="56EC5F2F"/>
    <w:rsid w:val="579062D4"/>
    <w:rsid w:val="580B329D"/>
    <w:rsid w:val="583055E9"/>
    <w:rsid w:val="587577DA"/>
    <w:rsid w:val="588C0718"/>
    <w:rsid w:val="58AD94EA"/>
    <w:rsid w:val="595CE2A3"/>
    <w:rsid w:val="59CCF5DA"/>
    <w:rsid w:val="59D0F5A3"/>
    <w:rsid w:val="59DA7442"/>
    <w:rsid w:val="59F5527F"/>
    <w:rsid w:val="59F7EA2D"/>
    <w:rsid w:val="5A06FA5F"/>
    <w:rsid w:val="5A18FFBF"/>
    <w:rsid w:val="5A19E0E5"/>
    <w:rsid w:val="5A3CAD28"/>
    <w:rsid w:val="5A52AB37"/>
    <w:rsid w:val="5B500F11"/>
    <w:rsid w:val="5C076737"/>
    <w:rsid w:val="5C476BC7"/>
    <w:rsid w:val="5D326266"/>
    <w:rsid w:val="5D7D10E3"/>
    <w:rsid w:val="5D88AA54"/>
    <w:rsid w:val="5DB4487E"/>
    <w:rsid w:val="5DF5966B"/>
    <w:rsid w:val="5F197462"/>
    <w:rsid w:val="5F422417"/>
    <w:rsid w:val="5FA15A7F"/>
    <w:rsid w:val="5FE2E2E6"/>
    <w:rsid w:val="5FFAF071"/>
    <w:rsid w:val="5FFD1C25"/>
    <w:rsid w:val="605BE8E3"/>
    <w:rsid w:val="615D9DF2"/>
    <w:rsid w:val="61AB52B1"/>
    <w:rsid w:val="6218C2C0"/>
    <w:rsid w:val="626C0A4F"/>
    <w:rsid w:val="6337F7B8"/>
    <w:rsid w:val="6341BEA2"/>
    <w:rsid w:val="664C863F"/>
    <w:rsid w:val="66AD4D52"/>
    <w:rsid w:val="66CDAE5C"/>
    <w:rsid w:val="66E3E9D0"/>
    <w:rsid w:val="6766AC61"/>
    <w:rsid w:val="6793E4C4"/>
    <w:rsid w:val="67C32258"/>
    <w:rsid w:val="68066CDD"/>
    <w:rsid w:val="68D0A1C8"/>
    <w:rsid w:val="69006E8D"/>
    <w:rsid w:val="692B8AFD"/>
    <w:rsid w:val="6933D840"/>
    <w:rsid w:val="6959E645"/>
    <w:rsid w:val="69EEADEC"/>
    <w:rsid w:val="6A421CB8"/>
    <w:rsid w:val="6A53019B"/>
    <w:rsid w:val="6A535DEB"/>
    <w:rsid w:val="6AE7F4A4"/>
    <w:rsid w:val="6B3FCECC"/>
    <w:rsid w:val="6B684C02"/>
    <w:rsid w:val="6C2EEA81"/>
    <w:rsid w:val="6C666A4F"/>
    <w:rsid w:val="6D239653"/>
    <w:rsid w:val="6D3AE3F0"/>
    <w:rsid w:val="6E03D9CE"/>
    <w:rsid w:val="6E18D481"/>
    <w:rsid w:val="6EA006FA"/>
    <w:rsid w:val="6EB33851"/>
    <w:rsid w:val="6F084479"/>
    <w:rsid w:val="6F73B684"/>
    <w:rsid w:val="6FA059EA"/>
    <w:rsid w:val="7038A5A5"/>
    <w:rsid w:val="708A16BF"/>
    <w:rsid w:val="70D25319"/>
    <w:rsid w:val="70EEFECF"/>
    <w:rsid w:val="710B6439"/>
    <w:rsid w:val="71219EAD"/>
    <w:rsid w:val="723A0F72"/>
    <w:rsid w:val="723B82AD"/>
    <w:rsid w:val="725FF7C7"/>
    <w:rsid w:val="72BEF097"/>
    <w:rsid w:val="72C3ADA2"/>
    <w:rsid w:val="7334727F"/>
    <w:rsid w:val="7388E734"/>
    <w:rsid w:val="73A8F784"/>
    <w:rsid w:val="73D0D2EA"/>
    <w:rsid w:val="7469D3F3"/>
    <w:rsid w:val="74991DBE"/>
    <w:rsid w:val="75C88F9E"/>
    <w:rsid w:val="76147342"/>
    <w:rsid w:val="76362C12"/>
    <w:rsid w:val="767035BA"/>
    <w:rsid w:val="7683457C"/>
    <w:rsid w:val="7687F6EA"/>
    <w:rsid w:val="768F98FD"/>
    <w:rsid w:val="76A81F8A"/>
    <w:rsid w:val="76B7398E"/>
    <w:rsid w:val="76FAF84A"/>
    <w:rsid w:val="774CF043"/>
    <w:rsid w:val="785EFA40"/>
    <w:rsid w:val="78B31191"/>
    <w:rsid w:val="7988E690"/>
    <w:rsid w:val="79905E89"/>
    <w:rsid w:val="7A2BF62F"/>
    <w:rsid w:val="7AA43A7F"/>
    <w:rsid w:val="7B17ED0E"/>
    <w:rsid w:val="7B314F51"/>
    <w:rsid w:val="7BDD7482"/>
    <w:rsid w:val="7C476317"/>
    <w:rsid w:val="7C4E3DBD"/>
    <w:rsid w:val="7C868A07"/>
    <w:rsid w:val="7CD3C909"/>
    <w:rsid w:val="7CF9B07D"/>
    <w:rsid w:val="7D117492"/>
    <w:rsid w:val="7E1CA4E6"/>
    <w:rsid w:val="7E232FC8"/>
    <w:rsid w:val="7E5340AD"/>
    <w:rsid w:val="7E792584"/>
    <w:rsid w:val="7ECBB959"/>
    <w:rsid w:val="7ED84D62"/>
    <w:rsid w:val="7F3CDF9C"/>
    <w:rsid w:val="7F682DEE"/>
    <w:rsid w:val="7FC8D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52DC4"/>
  <w15:docId w15:val="{44D4B325-9E8D-4A0C-8092-4C9CD034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530"/>
    <w:rPr>
      <w:rFonts w:ascii="Garamond" w:hAnsi="Garamond"/>
      <w:color w:val="595959" w:themeColor="text1" w:themeTint="A6"/>
      <w:sz w:val="24"/>
      <w:szCs w:val="24"/>
    </w:rPr>
  </w:style>
  <w:style w:type="paragraph" w:styleId="Heading1">
    <w:name w:val="heading 1"/>
    <w:basedOn w:val="Normal"/>
    <w:next w:val="Normal"/>
    <w:link w:val="Heading1Char"/>
    <w:qFormat/>
    <w:rsid w:val="00472530"/>
    <w:pPr>
      <w:framePr w:hSpace="187" w:wrap="around" w:vAnchor="text" w:hAnchor="text" w:xAlign="center" w:y="1"/>
      <w:pBdr>
        <w:bottom w:val="single" w:sz="8" w:space="1" w:color="A5C0DE" w:themeColor="accent1"/>
      </w:pBdr>
      <w:spacing w:after="120"/>
      <w:ind w:left="432"/>
      <w:suppressOverlap/>
      <w:outlineLvl w:val="0"/>
    </w:pPr>
    <w:rPr>
      <w:rFonts w:ascii="Century Gothic" w:eastAsiaTheme="minorHAnsi" w:hAnsi="Century Gothic"/>
      <w:color w:val="A5C0DE"/>
      <w:spacing w:val="-20"/>
      <w:sz w:val="56"/>
      <w:szCs w:val="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5928"/>
    <w:pPr>
      <w:tabs>
        <w:tab w:val="center" w:pos="4320"/>
        <w:tab w:val="right" w:pos="8640"/>
      </w:tabs>
    </w:pPr>
  </w:style>
  <w:style w:type="paragraph" w:styleId="Footer">
    <w:name w:val="footer"/>
    <w:basedOn w:val="Normal"/>
    <w:link w:val="FooterChar"/>
    <w:uiPriority w:val="99"/>
    <w:rsid w:val="00605928"/>
    <w:pPr>
      <w:tabs>
        <w:tab w:val="center" w:pos="4320"/>
        <w:tab w:val="right" w:pos="8640"/>
      </w:tabs>
    </w:pPr>
  </w:style>
  <w:style w:type="character" w:styleId="Hyperlink">
    <w:name w:val="Hyperlink"/>
    <w:rsid w:val="007A701D"/>
    <w:rPr>
      <w:color w:val="0000FF"/>
      <w:u w:val="single"/>
    </w:rPr>
  </w:style>
  <w:style w:type="paragraph" w:styleId="ListParagraph">
    <w:name w:val="List Paragraph"/>
    <w:basedOn w:val="Normal"/>
    <w:uiPriority w:val="34"/>
    <w:qFormat/>
    <w:rsid w:val="00530108"/>
    <w:pPr>
      <w:ind w:left="720"/>
    </w:pPr>
  </w:style>
  <w:style w:type="paragraph" w:styleId="BalloonText">
    <w:name w:val="Balloon Text"/>
    <w:basedOn w:val="Normal"/>
    <w:link w:val="BalloonTextChar"/>
    <w:rsid w:val="006C2F43"/>
    <w:rPr>
      <w:rFonts w:ascii="Tahoma" w:hAnsi="Tahoma" w:cs="Tahoma"/>
      <w:sz w:val="16"/>
      <w:szCs w:val="16"/>
    </w:rPr>
  </w:style>
  <w:style w:type="character" w:customStyle="1" w:styleId="BalloonTextChar">
    <w:name w:val="Balloon Text Char"/>
    <w:link w:val="BalloonText"/>
    <w:rsid w:val="006C2F43"/>
    <w:rPr>
      <w:rFonts w:ascii="Tahoma" w:hAnsi="Tahoma" w:cs="Tahoma"/>
      <w:sz w:val="16"/>
      <w:szCs w:val="16"/>
    </w:rPr>
  </w:style>
  <w:style w:type="table" w:styleId="TableGrid">
    <w:name w:val="Table Grid"/>
    <w:basedOn w:val="TableNormal"/>
    <w:uiPriority w:val="59"/>
    <w:rsid w:val="008B68FB"/>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919D5"/>
    <w:rPr>
      <w:sz w:val="16"/>
      <w:szCs w:val="16"/>
    </w:rPr>
  </w:style>
  <w:style w:type="paragraph" w:styleId="CommentText">
    <w:name w:val="annotation text"/>
    <w:basedOn w:val="Normal"/>
    <w:link w:val="CommentTextChar"/>
    <w:rsid w:val="00D919D5"/>
    <w:rPr>
      <w:sz w:val="20"/>
      <w:szCs w:val="20"/>
    </w:rPr>
  </w:style>
  <w:style w:type="character" w:customStyle="1" w:styleId="CommentTextChar">
    <w:name w:val="Comment Text Char"/>
    <w:basedOn w:val="DefaultParagraphFont"/>
    <w:link w:val="CommentText"/>
    <w:rsid w:val="00D919D5"/>
  </w:style>
  <w:style w:type="paragraph" w:styleId="CommentSubject">
    <w:name w:val="annotation subject"/>
    <w:basedOn w:val="CommentText"/>
    <w:next w:val="CommentText"/>
    <w:link w:val="CommentSubjectChar"/>
    <w:rsid w:val="00D919D5"/>
    <w:rPr>
      <w:b/>
      <w:bCs/>
    </w:rPr>
  </w:style>
  <w:style w:type="character" w:customStyle="1" w:styleId="CommentSubjectChar">
    <w:name w:val="Comment Subject Char"/>
    <w:basedOn w:val="CommentTextChar"/>
    <w:link w:val="CommentSubject"/>
    <w:rsid w:val="00D919D5"/>
    <w:rPr>
      <w:b/>
      <w:bCs/>
    </w:rPr>
  </w:style>
  <w:style w:type="character" w:customStyle="1" w:styleId="Heading1Char">
    <w:name w:val="Heading 1 Char"/>
    <w:basedOn w:val="DefaultParagraphFont"/>
    <w:link w:val="Heading1"/>
    <w:rsid w:val="00472530"/>
    <w:rPr>
      <w:rFonts w:ascii="Century Gothic" w:eastAsiaTheme="minorHAnsi" w:hAnsi="Century Gothic"/>
      <w:color w:val="A5C0DE"/>
      <w:spacing w:val="-20"/>
      <w:sz w:val="56"/>
      <w:szCs w:val="78"/>
    </w:rPr>
  </w:style>
  <w:style w:type="table" w:customStyle="1" w:styleId="GridTable5Dark-Accent11">
    <w:name w:val="Grid Table 5 Dark - Accent 11"/>
    <w:basedOn w:val="TableNormal"/>
    <w:uiPriority w:val="50"/>
    <w:rsid w:val="00A13D7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2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C0D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C0D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C0D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C0DE" w:themeFill="accent1"/>
      </w:tcPr>
    </w:tblStylePr>
    <w:tblStylePr w:type="band1Vert">
      <w:tblPr/>
      <w:tcPr>
        <w:shd w:val="clear" w:color="auto" w:fill="DAE5F1" w:themeFill="accent1" w:themeFillTint="66"/>
      </w:tcPr>
    </w:tblStylePr>
    <w:tblStylePr w:type="band1Horz">
      <w:tblPr/>
      <w:tcPr>
        <w:shd w:val="clear" w:color="auto" w:fill="DAE5F1" w:themeFill="accent1" w:themeFillTint="66"/>
      </w:tcPr>
    </w:tblStylePr>
  </w:style>
  <w:style w:type="character" w:styleId="FollowedHyperlink">
    <w:name w:val="FollowedHyperlink"/>
    <w:basedOn w:val="DefaultParagraphFont"/>
    <w:semiHidden/>
    <w:unhideWhenUsed/>
    <w:rsid w:val="00F100C2"/>
    <w:rPr>
      <w:color w:val="954F72" w:themeColor="followedHyperlink"/>
      <w:u w:val="single"/>
    </w:rPr>
  </w:style>
  <w:style w:type="paragraph" w:styleId="PlainText">
    <w:name w:val="Plain Text"/>
    <w:basedOn w:val="Normal"/>
    <w:link w:val="PlainTextChar"/>
    <w:unhideWhenUsed/>
    <w:rsid w:val="00F100C2"/>
    <w:rPr>
      <w:rFonts w:ascii="Consolas" w:hAnsi="Consolas" w:cs="Consolas"/>
      <w:sz w:val="21"/>
      <w:szCs w:val="21"/>
    </w:rPr>
  </w:style>
  <w:style w:type="character" w:customStyle="1" w:styleId="PlainTextChar">
    <w:name w:val="Plain Text Char"/>
    <w:basedOn w:val="DefaultParagraphFont"/>
    <w:link w:val="PlainText"/>
    <w:rsid w:val="00F100C2"/>
    <w:rPr>
      <w:rFonts w:ascii="Consolas" w:hAnsi="Consolas" w:cs="Consolas"/>
      <w:color w:val="595959" w:themeColor="text1" w:themeTint="A6"/>
      <w:sz w:val="21"/>
      <w:szCs w:val="21"/>
    </w:rPr>
  </w:style>
  <w:style w:type="character" w:styleId="UnresolvedMention">
    <w:name w:val="Unresolved Mention"/>
    <w:basedOn w:val="DefaultParagraphFont"/>
    <w:uiPriority w:val="99"/>
    <w:semiHidden/>
    <w:unhideWhenUsed/>
    <w:rsid w:val="002E2842"/>
    <w:rPr>
      <w:color w:val="605E5C"/>
      <w:shd w:val="clear" w:color="auto" w:fill="E1DFDD"/>
    </w:rPr>
  </w:style>
  <w:style w:type="paragraph" w:styleId="FootnoteText">
    <w:name w:val="footnote text"/>
    <w:basedOn w:val="Normal"/>
    <w:link w:val="FootnoteTextChar"/>
    <w:uiPriority w:val="99"/>
    <w:semiHidden/>
    <w:unhideWhenUsed/>
    <w:rsid w:val="00761E9A"/>
    <w:rPr>
      <w:rFonts w:ascii="Arial" w:eastAsia="Arial" w:hAnsi="Arial" w:cs="Arial"/>
      <w:color w:val="auto"/>
      <w:sz w:val="20"/>
      <w:szCs w:val="20"/>
      <w:lang w:val="en"/>
    </w:rPr>
  </w:style>
  <w:style w:type="character" w:customStyle="1" w:styleId="FootnoteTextChar">
    <w:name w:val="Footnote Text Char"/>
    <w:basedOn w:val="DefaultParagraphFont"/>
    <w:link w:val="FootnoteText"/>
    <w:uiPriority w:val="99"/>
    <w:semiHidden/>
    <w:rsid w:val="00761E9A"/>
    <w:rPr>
      <w:rFonts w:ascii="Arial" w:eastAsia="Arial" w:hAnsi="Arial" w:cs="Arial"/>
      <w:lang w:val="en"/>
    </w:rPr>
  </w:style>
  <w:style w:type="character" w:styleId="FootnoteReference">
    <w:name w:val="footnote reference"/>
    <w:basedOn w:val="DefaultParagraphFont"/>
    <w:uiPriority w:val="99"/>
    <w:semiHidden/>
    <w:unhideWhenUsed/>
    <w:rsid w:val="00761E9A"/>
    <w:rPr>
      <w:vertAlign w:val="superscript"/>
    </w:rPr>
  </w:style>
  <w:style w:type="character" w:customStyle="1" w:styleId="FooterChar">
    <w:name w:val="Footer Char"/>
    <w:basedOn w:val="DefaultParagraphFont"/>
    <w:link w:val="Footer"/>
    <w:uiPriority w:val="99"/>
    <w:rsid w:val="00E722A5"/>
    <w:rPr>
      <w:rFonts w:ascii="Garamond" w:hAnsi="Garamond"/>
      <w:color w:val="595959" w:themeColor="text1" w:themeTint="A6"/>
      <w:sz w:val="24"/>
      <w:szCs w:val="24"/>
    </w:rPr>
  </w:style>
  <w:style w:type="paragraph" w:styleId="Revision">
    <w:name w:val="Revision"/>
    <w:hidden/>
    <w:uiPriority w:val="99"/>
    <w:semiHidden/>
    <w:rsid w:val="00E374DF"/>
    <w:rPr>
      <w:rFonts w:ascii="Garamond" w:hAnsi="Garamond"/>
      <w:color w:val="595959" w:themeColor="text1" w:themeTint="A6"/>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15558">
      <w:bodyDiv w:val="1"/>
      <w:marLeft w:val="0"/>
      <w:marRight w:val="0"/>
      <w:marTop w:val="0"/>
      <w:marBottom w:val="0"/>
      <w:divBdr>
        <w:top w:val="none" w:sz="0" w:space="0" w:color="auto"/>
        <w:left w:val="none" w:sz="0" w:space="0" w:color="auto"/>
        <w:bottom w:val="none" w:sz="0" w:space="0" w:color="auto"/>
        <w:right w:val="none" w:sz="0" w:space="0" w:color="auto"/>
      </w:divBdr>
      <w:divsChild>
        <w:div w:id="2094161700">
          <w:marLeft w:val="187"/>
          <w:marRight w:val="0"/>
          <w:marTop w:val="0"/>
          <w:marBottom w:val="60"/>
          <w:divBdr>
            <w:top w:val="none" w:sz="0" w:space="0" w:color="auto"/>
            <w:left w:val="none" w:sz="0" w:space="0" w:color="auto"/>
            <w:bottom w:val="none" w:sz="0" w:space="0" w:color="auto"/>
            <w:right w:val="none" w:sz="0" w:space="0" w:color="auto"/>
          </w:divBdr>
        </w:div>
      </w:divsChild>
    </w:div>
    <w:div w:id="649869445">
      <w:bodyDiv w:val="1"/>
      <w:marLeft w:val="0"/>
      <w:marRight w:val="0"/>
      <w:marTop w:val="0"/>
      <w:marBottom w:val="0"/>
      <w:divBdr>
        <w:top w:val="none" w:sz="0" w:space="0" w:color="auto"/>
        <w:left w:val="none" w:sz="0" w:space="0" w:color="auto"/>
        <w:bottom w:val="none" w:sz="0" w:space="0" w:color="auto"/>
        <w:right w:val="none" w:sz="0" w:space="0" w:color="auto"/>
      </w:divBdr>
      <w:divsChild>
        <w:div w:id="679087129">
          <w:marLeft w:val="0"/>
          <w:marRight w:val="0"/>
          <w:marTop w:val="0"/>
          <w:marBottom w:val="0"/>
          <w:divBdr>
            <w:top w:val="none" w:sz="0" w:space="0" w:color="auto"/>
            <w:left w:val="none" w:sz="0" w:space="0" w:color="auto"/>
            <w:bottom w:val="none" w:sz="0" w:space="0" w:color="auto"/>
            <w:right w:val="none" w:sz="0" w:space="0" w:color="auto"/>
          </w:divBdr>
          <w:divsChild>
            <w:div w:id="10687089">
              <w:marLeft w:val="0"/>
              <w:marRight w:val="0"/>
              <w:marTop w:val="0"/>
              <w:marBottom w:val="0"/>
              <w:divBdr>
                <w:top w:val="none" w:sz="0" w:space="0" w:color="auto"/>
                <w:left w:val="none" w:sz="0" w:space="0" w:color="auto"/>
                <w:bottom w:val="none" w:sz="0" w:space="0" w:color="auto"/>
                <w:right w:val="none" w:sz="0" w:space="0" w:color="auto"/>
              </w:divBdr>
            </w:div>
            <w:div w:id="11928952">
              <w:marLeft w:val="0"/>
              <w:marRight w:val="0"/>
              <w:marTop w:val="0"/>
              <w:marBottom w:val="0"/>
              <w:divBdr>
                <w:top w:val="none" w:sz="0" w:space="0" w:color="auto"/>
                <w:left w:val="none" w:sz="0" w:space="0" w:color="auto"/>
                <w:bottom w:val="none" w:sz="0" w:space="0" w:color="auto"/>
                <w:right w:val="none" w:sz="0" w:space="0" w:color="auto"/>
              </w:divBdr>
            </w:div>
            <w:div w:id="20086482">
              <w:marLeft w:val="0"/>
              <w:marRight w:val="0"/>
              <w:marTop w:val="0"/>
              <w:marBottom w:val="0"/>
              <w:divBdr>
                <w:top w:val="none" w:sz="0" w:space="0" w:color="auto"/>
                <w:left w:val="none" w:sz="0" w:space="0" w:color="auto"/>
                <w:bottom w:val="none" w:sz="0" w:space="0" w:color="auto"/>
                <w:right w:val="none" w:sz="0" w:space="0" w:color="auto"/>
              </w:divBdr>
            </w:div>
            <w:div w:id="27998522">
              <w:marLeft w:val="0"/>
              <w:marRight w:val="0"/>
              <w:marTop w:val="0"/>
              <w:marBottom w:val="0"/>
              <w:divBdr>
                <w:top w:val="none" w:sz="0" w:space="0" w:color="auto"/>
                <w:left w:val="none" w:sz="0" w:space="0" w:color="auto"/>
                <w:bottom w:val="none" w:sz="0" w:space="0" w:color="auto"/>
                <w:right w:val="none" w:sz="0" w:space="0" w:color="auto"/>
              </w:divBdr>
            </w:div>
            <w:div w:id="56514737">
              <w:marLeft w:val="0"/>
              <w:marRight w:val="0"/>
              <w:marTop w:val="0"/>
              <w:marBottom w:val="0"/>
              <w:divBdr>
                <w:top w:val="none" w:sz="0" w:space="0" w:color="auto"/>
                <w:left w:val="none" w:sz="0" w:space="0" w:color="auto"/>
                <w:bottom w:val="none" w:sz="0" w:space="0" w:color="auto"/>
                <w:right w:val="none" w:sz="0" w:space="0" w:color="auto"/>
              </w:divBdr>
            </w:div>
            <w:div w:id="98986709">
              <w:marLeft w:val="0"/>
              <w:marRight w:val="0"/>
              <w:marTop w:val="0"/>
              <w:marBottom w:val="0"/>
              <w:divBdr>
                <w:top w:val="none" w:sz="0" w:space="0" w:color="auto"/>
                <w:left w:val="none" w:sz="0" w:space="0" w:color="auto"/>
                <w:bottom w:val="none" w:sz="0" w:space="0" w:color="auto"/>
                <w:right w:val="none" w:sz="0" w:space="0" w:color="auto"/>
              </w:divBdr>
            </w:div>
            <w:div w:id="117727417">
              <w:marLeft w:val="0"/>
              <w:marRight w:val="0"/>
              <w:marTop w:val="0"/>
              <w:marBottom w:val="0"/>
              <w:divBdr>
                <w:top w:val="none" w:sz="0" w:space="0" w:color="auto"/>
                <w:left w:val="none" w:sz="0" w:space="0" w:color="auto"/>
                <w:bottom w:val="none" w:sz="0" w:space="0" w:color="auto"/>
                <w:right w:val="none" w:sz="0" w:space="0" w:color="auto"/>
              </w:divBdr>
            </w:div>
            <w:div w:id="134370492">
              <w:marLeft w:val="0"/>
              <w:marRight w:val="0"/>
              <w:marTop w:val="0"/>
              <w:marBottom w:val="0"/>
              <w:divBdr>
                <w:top w:val="none" w:sz="0" w:space="0" w:color="auto"/>
                <w:left w:val="none" w:sz="0" w:space="0" w:color="auto"/>
                <w:bottom w:val="none" w:sz="0" w:space="0" w:color="auto"/>
                <w:right w:val="none" w:sz="0" w:space="0" w:color="auto"/>
              </w:divBdr>
            </w:div>
            <w:div w:id="183446472">
              <w:marLeft w:val="0"/>
              <w:marRight w:val="0"/>
              <w:marTop w:val="0"/>
              <w:marBottom w:val="0"/>
              <w:divBdr>
                <w:top w:val="none" w:sz="0" w:space="0" w:color="auto"/>
                <w:left w:val="none" w:sz="0" w:space="0" w:color="auto"/>
                <w:bottom w:val="none" w:sz="0" w:space="0" w:color="auto"/>
                <w:right w:val="none" w:sz="0" w:space="0" w:color="auto"/>
              </w:divBdr>
            </w:div>
            <w:div w:id="184028626">
              <w:marLeft w:val="0"/>
              <w:marRight w:val="0"/>
              <w:marTop w:val="0"/>
              <w:marBottom w:val="0"/>
              <w:divBdr>
                <w:top w:val="none" w:sz="0" w:space="0" w:color="auto"/>
                <w:left w:val="none" w:sz="0" w:space="0" w:color="auto"/>
                <w:bottom w:val="none" w:sz="0" w:space="0" w:color="auto"/>
                <w:right w:val="none" w:sz="0" w:space="0" w:color="auto"/>
              </w:divBdr>
            </w:div>
            <w:div w:id="246883515">
              <w:marLeft w:val="0"/>
              <w:marRight w:val="0"/>
              <w:marTop w:val="0"/>
              <w:marBottom w:val="0"/>
              <w:divBdr>
                <w:top w:val="none" w:sz="0" w:space="0" w:color="auto"/>
                <w:left w:val="none" w:sz="0" w:space="0" w:color="auto"/>
                <w:bottom w:val="none" w:sz="0" w:space="0" w:color="auto"/>
                <w:right w:val="none" w:sz="0" w:space="0" w:color="auto"/>
              </w:divBdr>
            </w:div>
            <w:div w:id="256603310">
              <w:marLeft w:val="0"/>
              <w:marRight w:val="0"/>
              <w:marTop w:val="0"/>
              <w:marBottom w:val="0"/>
              <w:divBdr>
                <w:top w:val="none" w:sz="0" w:space="0" w:color="auto"/>
                <w:left w:val="none" w:sz="0" w:space="0" w:color="auto"/>
                <w:bottom w:val="none" w:sz="0" w:space="0" w:color="auto"/>
                <w:right w:val="none" w:sz="0" w:space="0" w:color="auto"/>
              </w:divBdr>
            </w:div>
            <w:div w:id="267811123">
              <w:marLeft w:val="0"/>
              <w:marRight w:val="0"/>
              <w:marTop w:val="0"/>
              <w:marBottom w:val="0"/>
              <w:divBdr>
                <w:top w:val="none" w:sz="0" w:space="0" w:color="auto"/>
                <w:left w:val="none" w:sz="0" w:space="0" w:color="auto"/>
                <w:bottom w:val="none" w:sz="0" w:space="0" w:color="auto"/>
                <w:right w:val="none" w:sz="0" w:space="0" w:color="auto"/>
              </w:divBdr>
            </w:div>
            <w:div w:id="278687534">
              <w:marLeft w:val="0"/>
              <w:marRight w:val="0"/>
              <w:marTop w:val="0"/>
              <w:marBottom w:val="0"/>
              <w:divBdr>
                <w:top w:val="none" w:sz="0" w:space="0" w:color="auto"/>
                <w:left w:val="none" w:sz="0" w:space="0" w:color="auto"/>
                <w:bottom w:val="none" w:sz="0" w:space="0" w:color="auto"/>
                <w:right w:val="none" w:sz="0" w:space="0" w:color="auto"/>
              </w:divBdr>
            </w:div>
            <w:div w:id="283001884">
              <w:marLeft w:val="0"/>
              <w:marRight w:val="0"/>
              <w:marTop w:val="0"/>
              <w:marBottom w:val="0"/>
              <w:divBdr>
                <w:top w:val="none" w:sz="0" w:space="0" w:color="auto"/>
                <w:left w:val="none" w:sz="0" w:space="0" w:color="auto"/>
                <w:bottom w:val="none" w:sz="0" w:space="0" w:color="auto"/>
                <w:right w:val="none" w:sz="0" w:space="0" w:color="auto"/>
              </w:divBdr>
            </w:div>
            <w:div w:id="290749571">
              <w:marLeft w:val="0"/>
              <w:marRight w:val="0"/>
              <w:marTop w:val="0"/>
              <w:marBottom w:val="0"/>
              <w:divBdr>
                <w:top w:val="none" w:sz="0" w:space="0" w:color="auto"/>
                <w:left w:val="none" w:sz="0" w:space="0" w:color="auto"/>
                <w:bottom w:val="none" w:sz="0" w:space="0" w:color="auto"/>
                <w:right w:val="none" w:sz="0" w:space="0" w:color="auto"/>
              </w:divBdr>
            </w:div>
            <w:div w:id="299652834">
              <w:marLeft w:val="0"/>
              <w:marRight w:val="0"/>
              <w:marTop w:val="0"/>
              <w:marBottom w:val="0"/>
              <w:divBdr>
                <w:top w:val="none" w:sz="0" w:space="0" w:color="auto"/>
                <w:left w:val="none" w:sz="0" w:space="0" w:color="auto"/>
                <w:bottom w:val="none" w:sz="0" w:space="0" w:color="auto"/>
                <w:right w:val="none" w:sz="0" w:space="0" w:color="auto"/>
              </w:divBdr>
            </w:div>
            <w:div w:id="346559371">
              <w:marLeft w:val="0"/>
              <w:marRight w:val="0"/>
              <w:marTop w:val="0"/>
              <w:marBottom w:val="0"/>
              <w:divBdr>
                <w:top w:val="none" w:sz="0" w:space="0" w:color="auto"/>
                <w:left w:val="none" w:sz="0" w:space="0" w:color="auto"/>
                <w:bottom w:val="none" w:sz="0" w:space="0" w:color="auto"/>
                <w:right w:val="none" w:sz="0" w:space="0" w:color="auto"/>
              </w:divBdr>
            </w:div>
            <w:div w:id="348068492">
              <w:marLeft w:val="0"/>
              <w:marRight w:val="0"/>
              <w:marTop w:val="0"/>
              <w:marBottom w:val="0"/>
              <w:divBdr>
                <w:top w:val="none" w:sz="0" w:space="0" w:color="auto"/>
                <w:left w:val="none" w:sz="0" w:space="0" w:color="auto"/>
                <w:bottom w:val="none" w:sz="0" w:space="0" w:color="auto"/>
                <w:right w:val="none" w:sz="0" w:space="0" w:color="auto"/>
              </w:divBdr>
            </w:div>
            <w:div w:id="376667143">
              <w:marLeft w:val="0"/>
              <w:marRight w:val="0"/>
              <w:marTop w:val="0"/>
              <w:marBottom w:val="0"/>
              <w:divBdr>
                <w:top w:val="none" w:sz="0" w:space="0" w:color="auto"/>
                <w:left w:val="none" w:sz="0" w:space="0" w:color="auto"/>
                <w:bottom w:val="none" w:sz="0" w:space="0" w:color="auto"/>
                <w:right w:val="none" w:sz="0" w:space="0" w:color="auto"/>
              </w:divBdr>
            </w:div>
            <w:div w:id="419763349">
              <w:marLeft w:val="0"/>
              <w:marRight w:val="0"/>
              <w:marTop w:val="0"/>
              <w:marBottom w:val="0"/>
              <w:divBdr>
                <w:top w:val="none" w:sz="0" w:space="0" w:color="auto"/>
                <w:left w:val="none" w:sz="0" w:space="0" w:color="auto"/>
                <w:bottom w:val="none" w:sz="0" w:space="0" w:color="auto"/>
                <w:right w:val="none" w:sz="0" w:space="0" w:color="auto"/>
              </w:divBdr>
            </w:div>
            <w:div w:id="487936764">
              <w:marLeft w:val="0"/>
              <w:marRight w:val="0"/>
              <w:marTop w:val="0"/>
              <w:marBottom w:val="0"/>
              <w:divBdr>
                <w:top w:val="none" w:sz="0" w:space="0" w:color="auto"/>
                <w:left w:val="none" w:sz="0" w:space="0" w:color="auto"/>
                <w:bottom w:val="none" w:sz="0" w:space="0" w:color="auto"/>
                <w:right w:val="none" w:sz="0" w:space="0" w:color="auto"/>
              </w:divBdr>
            </w:div>
            <w:div w:id="502552266">
              <w:marLeft w:val="0"/>
              <w:marRight w:val="0"/>
              <w:marTop w:val="0"/>
              <w:marBottom w:val="0"/>
              <w:divBdr>
                <w:top w:val="none" w:sz="0" w:space="0" w:color="auto"/>
                <w:left w:val="none" w:sz="0" w:space="0" w:color="auto"/>
                <w:bottom w:val="none" w:sz="0" w:space="0" w:color="auto"/>
                <w:right w:val="none" w:sz="0" w:space="0" w:color="auto"/>
              </w:divBdr>
            </w:div>
            <w:div w:id="540291600">
              <w:marLeft w:val="0"/>
              <w:marRight w:val="0"/>
              <w:marTop w:val="0"/>
              <w:marBottom w:val="0"/>
              <w:divBdr>
                <w:top w:val="none" w:sz="0" w:space="0" w:color="auto"/>
                <w:left w:val="none" w:sz="0" w:space="0" w:color="auto"/>
                <w:bottom w:val="none" w:sz="0" w:space="0" w:color="auto"/>
                <w:right w:val="none" w:sz="0" w:space="0" w:color="auto"/>
              </w:divBdr>
            </w:div>
            <w:div w:id="545458362">
              <w:marLeft w:val="0"/>
              <w:marRight w:val="0"/>
              <w:marTop w:val="0"/>
              <w:marBottom w:val="0"/>
              <w:divBdr>
                <w:top w:val="none" w:sz="0" w:space="0" w:color="auto"/>
                <w:left w:val="none" w:sz="0" w:space="0" w:color="auto"/>
                <w:bottom w:val="none" w:sz="0" w:space="0" w:color="auto"/>
                <w:right w:val="none" w:sz="0" w:space="0" w:color="auto"/>
              </w:divBdr>
            </w:div>
            <w:div w:id="553851341">
              <w:marLeft w:val="0"/>
              <w:marRight w:val="0"/>
              <w:marTop w:val="0"/>
              <w:marBottom w:val="0"/>
              <w:divBdr>
                <w:top w:val="none" w:sz="0" w:space="0" w:color="auto"/>
                <w:left w:val="none" w:sz="0" w:space="0" w:color="auto"/>
                <w:bottom w:val="none" w:sz="0" w:space="0" w:color="auto"/>
                <w:right w:val="none" w:sz="0" w:space="0" w:color="auto"/>
              </w:divBdr>
            </w:div>
            <w:div w:id="556207207">
              <w:marLeft w:val="0"/>
              <w:marRight w:val="0"/>
              <w:marTop w:val="0"/>
              <w:marBottom w:val="0"/>
              <w:divBdr>
                <w:top w:val="none" w:sz="0" w:space="0" w:color="auto"/>
                <w:left w:val="none" w:sz="0" w:space="0" w:color="auto"/>
                <w:bottom w:val="none" w:sz="0" w:space="0" w:color="auto"/>
                <w:right w:val="none" w:sz="0" w:space="0" w:color="auto"/>
              </w:divBdr>
            </w:div>
            <w:div w:id="596866339">
              <w:marLeft w:val="0"/>
              <w:marRight w:val="0"/>
              <w:marTop w:val="0"/>
              <w:marBottom w:val="0"/>
              <w:divBdr>
                <w:top w:val="none" w:sz="0" w:space="0" w:color="auto"/>
                <w:left w:val="none" w:sz="0" w:space="0" w:color="auto"/>
                <w:bottom w:val="none" w:sz="0" w:space="0" w:color="auto"/>
                <w:right w:val="none" w:sz="0" w:space="0" w:color="auto"/>
              </w:divBdr>
            </w:div>
            <w:div w:id="611593730">
              <w:marLeft w:val="0"/>
              <w:marRight w:val="0"/>
              <w:marTop w:val="0"/>
              <w:marBottom w:val="0"/>
              <w:divBdr>
                <w:top w:val="none" w:sz="0" w:space="0" w:color="auto"/>
                <w:left w:val="none" w:sz="0" w:space="0" w:color="auto"/>
                <w:bottom w:val="none" w:sz="0" w:space="0" w:color="auto"/>
                <w:right w:val="none" w:sz="0" w:space="0" w:color="auto"/>
              </w:divBdr>
            </w:div>
            <w:div w:id="621765268">
              <w:marLeft w:val="0"/>
              <w:marRight w:val="0"/>
              <w:marTop w:val="0"/>
              <w:marBottom w:val="0"/>
              <w:divBdr>
                <w:top w:val="none" w:sz="0" w:space="0" w:color="auto"/>
                <w:left w:val="none" w:sz="0" w:space="0" w:color="auto"/>
                <w:bottom w:val="none" w:sz="0" w:space="0" w:color="auto"/>
                <w:right w:val="none" w:sz="0" w:space="0" w:color="auto"/>
              </w:divBdr>
            </w:div>
            <w:div w:id="631908050">
              <w:marLeft w:val="0"/>
              <w:marRight w:val="0"/>
              <w:marTop w:val="0"/>
              <w:marBottom w:val="0"/>
              <w:divBdr>
                <w:top w:val="none" w:sz="0" w:space="0" w:color="auto"/>
                <w:left w:val="none" w:sz="0" w:space="0" w:color="auto"/>
                <w:bottom w:val="none" w:sz="0" w:space="0" w:color="auto"/>
                <w:right w:val="none" w:sz="0" w:space="0" w:color="auto"/>
              </w:divBdr>
            </w:div>
            <w:div w:id="686055159">
              <w:marLeft w:val="0"/>
              <w:marRight w:val="0"/>
              <w:marTop w:val="0"/>
              <w:marBottom w:val="0"/>
              <w:divBdr>
                <w:top w:val="none" w:sz="0" w:space="0" w:color="auto"/>
                <w:left w:val="none" w:sz="0" w:space="0" w:color="auto"/>
                <w:bottom w:val="none" w:sz="0" w:space="0" w:color="auto"/>
                <w:right w:val="none" w:sz="0" w:space="0" w:color="auto"/>
              </w:divBdr>
            </w:div>
            <w:div w:id="697898900">
              <w:marLeft w:val="0"/>
              <w:marRight w:val="0"/>
              <w:marTop w:val="0"/>
              <w:marBottom w:val="0"/>
              <w:divBdr>
                <w:top w:val="none" w:sz="0" w:space="0" w:color="auto"/>
                <w:left w:val="none" w:sz="0" w:space="0" w:color="auto"/>
                <w:bottom w:val="none" w:sz="0" w:space="0" w:color="auto"/>
                <w:right w:val="none" w:sz="0" w:space="0" w:color="auto"/>
              </w:divBdr>
            </w:div>
            <w:div w:id="716508719">
              <w:marLeft w:val="0"/>
              <w:marRight w:val="0"/>
              <w:marTop w:val="0"/>
              <w:marBottom w:val="0"/>
              <w:divBdr>
                <w:top w:val="none" w:sz="0" w:space="0" w:color="auto"/>
                <w:left w:val="none" w:sz="0" w:space="0" w:color="auto"/>
                <w:bottom w:val="none" w:sz="0" w:space="0" w:color="auto"/>
                <w:right w:val="none" w:sz="0" w:space="0" w:color="auto"/>
              </w:divBdr>
            </w:div>
            <w:div w:id="719207203">
              <w:marLeft w:val="0"/>
              <w:marRight w:val="0"/>
              <w:marTop w:val="0"/>
              <w:marBottom w:val="0"/>
              <w:divBdr>
                <w:top w:val="none" w:sz="0" w:space="0" w:color="auto"/>
                <w:left w:val="none" w:sz="0" w:space="0" w:color="auto"/>
                <w:bottom w:val="none" w:sz="0" w:space="0" w:color="auto"/>
                <w:right w:val="none" w:sz="0" w:space="0" w:color="auto"/>
              </w:divBdr>
            </w:div>
            <w:div w:id="756173472">
              <w:marLeft w:val="0"/>
              <w:marRight w:val="0"/>
              <w:marTop w:val="0"/>
              <w:marBottom w:val="0"/>
              <w:divBdr>
                <w:top w:val="none" w:sz="0" w:space="0" w:color="auto"/>
                <w:left w:val="none" w:sz="0" w:space="0" w:color="auto"/>
                <w:bottom w:val="none" w:sz="0" w:space="0" w:color="auto"/>
                <w:right w:val="none" w:sz="0" w:space="0" w:color="auto"/>
              </w:divBdr>
            </w:div>
            <w:div w:id="765685728">
              <w:marLeft w:val="0"/>
              <w:marRight w:val="0"/>
              <w:marTop w:val="0"/>
              <w:marBottom w:val="0"/>
              <w:divBdr>
                <w:top w:val="none" w:sz="0" w:space="0" w:color="auto"/>
                <w:left w:val="none" w:sz="0" w:space="0" w:color="auto"/>
                <w:bottom w:val="none" w:sz="0" w:space="0" w:color="auto"/>
                <w:right w:val="none" w:sz="0" w:space="0" w:color="auto"/>
              </w:divBdr>
            </w:div>
            <w:div w:id="790395442">
              <w:marLeft w:val="0"/>
              <w:marRight w:val="0"/>
              <w:marTop w:val="0"/>
              <w:marBottom w:val="0"/>
              <w:divBdr>
                <w:top w:val="none" w:sz="0" w:space="0" w:color="auto"/>
                <w:left w:val="none" w:sz="0" w:space="0" w:color="auto"/>
                <w:bottom w:val="none" w:sz="0" w:space="0" w:color="auto"/>
                <w:right w:val="none" w:sz="0" w:space="0" w:color="auto"/>
              </w:divBdr>
            </w:div>
            <w:div w:id="790785408">
              <w:marLeft w:val="0"/>
              <w:marRight w:val="0"/>
              <w:marTop w:val="0"/>
              <w:marBottom w:val="0"/>
              <w:divBdr>
                <w:top w:val="none" w:sz="0" w:space="0" w:color="auto"/>
                <w:left w:val="none" w:sz="0" w:space="0" w:color="auto"/>
                <w:bottom w:val="none" w:sz="0" w:space="0" w:color="auto"/>
                <w:right w:val="none" w:sz="0" w:space="0" w:color="auto"/>
              </w:divBdr>
            </w:div>
            <w:div w:id="793910138">
              <w:marLeft w:val="0"/>
              <w:marRight w:val="0"/>
              <w:marTop w:val="0"/>
              <w:marBottom w:val="0"/>
              <w:divBdr>
                <w:top w:val="none" w:sz="0" w:space="0" w:color="auto"/>
                <w:left w:val="none" w:sz="0" w:space="0" w:color="auto"/>
                <w:bottom w:val="none" w:sz="0" w:space="0" w:color="auto"/>
                <w:right w:val="none" w:sz="0" w:space="0" w:color="auto"/>
              </w:divBdr>
            </w:div>
            <w:div w:id="800149597">
              <w:marLeft w:val="0"/>
              <w:marRight w:val="0"/>
              <w:marTop w:val="0"/>
              <w:marBottom w:val="0"/>
              <w:divBdr>
                <w:top w:val="none" w:sz="0" w:space="0" w:color="auto"/>
                <w:left w:val="none" w:sz="0" w:space="0" w:color="auto"/>
                <w:bottom w:val="none" w:sz="0" w:space="0" w:color="auto"/>
                <w:right w:val="none" w:sz="0" w:space="0" w:color="auto"/>
              </w:divBdr>
            </w:div>
            <w:div w:id="824665293">
              <w:marLeft w:val="0"/>
              <w:marRight w:val="0"/>
              <w:marTop w:val="0"/>
              <w:marBottom w:val="0"/>
              <w:divBdr>
                <w:top w:val="none" w:sz="0" w:space="0" w:color="auto"/>
                <w:left w:val="none" w:sz="0" w:space="0" w:color="auto"/>
                <w:bottom w:val="none" w:sz="0" w:space="0" w:color="auto"/>
                <w:right w:val="none" w:sz="0" w:space="0" w:color="auto"/>
              </w:divBdr>
            </w:div>
            <w:div w:id="839465199">
              <w:marLeft w:val="0"/>
              <w:marRight w:val="0"/>
              <w:marTop w:val="0"/>
              <w:marBottom w:val="0"/>
              <w:divBdr>
                <w:top w:val="none" w:sz="0" w:space="0" w:color="auto"/>
                <w:left w:val="none" w:sz="0" w:space="0" w:color="auto"/>
                <w:bottom w:val="none" w:sz="0" w:space="0" w:color="auto"/>
                <w:right w:val="none" w:sz="0" w:space="0" w:color="auto"/>
              </w:divBdr>
            </w:div>
            <w:div w:id="854735938">
              <w:marLeft w:val="0"/>
              <w:marRight w:val="0"/>
              <w:marTop w:val="0"/>
              <w:marBottom w:val="0"/>
              <w:divBdr>
                <w:top w:val="none" w:sz="0" w:space="0" w:color="auto"/>
                <w:left w:val="none" w:sz="0" w:space="0" w:color="auto"/>
                <w:bottom w:val="none" w:sz="0" w:space="0" w:color="auto"/>
                <w:right w:val="none" w:sz="0" w:space="0" w:color="auto"/>
              </w:divBdr>
            </w:div>
            <w:div w:id="856650362">
              <w:marLeft w:val="0"/>
              <w:marRight w:val="0"/>
              <w:marTop w:val="0"/>
              <w:marBottom w:val="0"/>
              <w:divBdr>
                <w:top w:val="none" w:sz="0" w:space="0" w:color="auto"/>
                <w:left w:val="none" w:sz="0" w:space="0" w:color="auto"/>
                <w:bottom w:val="none" w:sz="0" w:space="0" w:color="auto"/>
                <w:right w:val="none" w:sz="0" w:space="0" w:color="auto"/>
              </w:divBdr>
            </w:div>
            <w:div w:id="890074634">
              <w:marLeft w:val="0"/>
              <w:marRight w:val="0"/>
              <w:marTop w:val="0"/>
              <w:marBottom w:val="0"/>
              <w:divBdr>
                <w:top w:val="none" w:sz="0" w:space="0" w:color="auto"/>
                <w:left w:val="none" w:sz="0" w:space="0" w:color="auto"/>
                <w:bottom w:val="none" w:sz="0" w:space="0" w:color="auto"/>
                <w:right w:val="none" w:sz="0" w:space="0" w:color="auto"/>
              </w:divBdr>
            </w:div>
            <w:div w:id="928853007">
              <w:marLeft w:val="0"/>
              <w:marRight w:val="0"/>
              <w:marTop w:val="0"/>
              <w:marBottom w:val="0"/>
              <w:divBdr>
                <w:top w:val="none" w:sz="0" w:space="0" w:color="auto"/>
                <w:left w:val="none" w:sz="0" w:space="0" w:color="auto"/>
                <w:bottom w:val="none" w:sz="0" w:space="0" w:color="auto"/>
                <w:right w:val="none" w:sz="0" w:space="0" w:color="auto"/>
              </w:divBdr>
            </w:div>
            <w:div w:id="932589879">
              <w:marLeft w:val="0"/>
              <w:marRight w:val="0"/>
              <w:marTop w:val="0"/>
              <w:marBottom w:val="0"/>
              <w:divBdr>
                <w:top w:val="none" w:sz="0" w:space="0" w:color="auto"/>
                <w:left w:val="none" w:sz="0" w:space="0" w:color="auto"/>
                <w:bottom w:val="none" w:sz="0" w:space="0" w:color="auto"/>
                <w:right w:val="none" w:sz="0" w:space="0" w:color="auto"/>
              </w:divBdr>
            </w:div>
            <w:div w:id="937717759">
              <w:marLeft w:val="0"/>
              <w:marRight w:val="0"/>
              <w:marTop w:val="0"/>
              <w:marBottom w:val="0"/>
              <w:divBdr>
                <w:top w:val="none" w:sz="0" w:space="0" w:color="auto"/>
                <w:left w:val="none" w:sz="0" w:space="0" w:color="auto"/>
                <w:bottom w:val="none" w:sz="0" w:space="0" w:color="auto"/>
                <w:right w:val="none" w:sz="0" w:space="0" w:color="auto"/>
              </w:divBdr>
            </w:div>
            <w:div w:id="941453497">
              <w:marLeft w:val="0"/>
              <w:marRight w:val="0"/>
              <w:marTop w:val="0"/>
              <w:marBottom w:val="0"/>
              <w:divBdr>
                <w:top w:val="none" w:sz="0" w:space="0" w:color="auto"/>
                <w:left w:val="none" w:sz="0" w:space="0" w:color="auto"/>
                <w:bottom w:val="none" w:sz="0" w:space="0" w:color="auto"/>
                <w:right w:val="none" w:sz="0" w:space="0" w:color="auto"/>
              </w:divBdr>
            </w:div>
            <w:div w:id="964234897">
              <w:marLeft w:val="0"/>
              <w:marRight w:val="0"/>
              <w:marTop w:val="0"/>
              <w:marBottom w:val="0"/>
              <w:divBdr>
                <w:top w:val="none" w:sz="0" w:space="0" w:color="auto"/>
                <w:left w:val="none" w:sz="0" w:space="0" w:color="auto"/>
                <w:bottom w:val="none" w:sz="0" w:space="0" w:color="auto"/>
                <w:right w:val="none" w:sz="0" w:space="0" w:color="auto"/>
              </w:divBdr>
            </w:div>
            <w:div w:id="968315021">
              <w:marLeft w:val="0"/>
              <w:marRight w:val="0"/>
              <w:marTop w:val="0"/>
              <w:marBottom w:val="0"/>
              <w:divBdr>
                <w:top w:val="none" w:sz="0" w:space="0" w:color="auto"/>
                <w:left w:val="none" w:sz="0" w:space="0" w:color="auto"/>
                <w:bottom w:val="none" w:sz="0" w:space="0" w:color="auto"/>
                <w:right w:val="none" w:sz="0" w:space="0" w:color="auto"/>
              </w:divBdr>
            </w:div>
            <w:div w:id="977340793">
              <w:marLeft w:val="0"/>
              <w:marRight w:val="0"/>
              <w:marTop w:val="0"/>
              <w:marBottom w:val="0"/>
              <w:divBdr>
                <w:top w:val="none" w:sz="0" w:space="0" w:color="auto"/>
                <w:left w:val="none" w:sz="0" w:space="0" w:color="auto"/>
                <w:bottom w:val="none" w:sz="0" w:space="0" w:color="auto"/>
                <w:right w:val="none" w:sz="0" w:space="0" w:color="auto"/>
              </w:divBdr>
            </w:div>
            <w:div w:id="979847717">
              <w:marLeft w:val="0"/>
              <w:marRight w:val="0"/>
              <w:marTop w:val="0"/>
              <w:marBottom w:val="0"/>
              <w:divBdr>
                <w:top w:val="none" w:sz="0" w:space="0" w:color="auto"/>
                <w:left w:val="none" w:sz="0" w:space="0" w:color="auto"/>
                <w:bottom w:val="none" w:sz="0" w:space="0" w:color="auto"/>
                <w:right w:val="none" w:sz="0" w:space="0" w:color="auto"/>
              </w:divBdr>
            </w:div>
            <w:div w:id="983393235">
              <w:marLeft w:val="0"/>
              <w:marRight w:val="0"/>
              <w:marTop w:val="0"/>
              <w:marBottom w:val="0"/>
              <w:divBdr>
                <w:top w:val="none" w:sz="0" w:space="0" w:color="auto"/>
                <w:left w:val="none" w:sz="0" w:space="0" w:color="auto"/>
                <w:bottom w:val="none" w:sz="0" w:space="0" w:color="auto"/>
                <w:right w:val="none" w:sz="0" w:space="0" w:color="auto"/>
              </w:divBdr>
            </w:div>
            <w:div w:id="993412451">
              <w:marLeft w:val="0"/>
              <w:marRight w:val="0"/>
              <w:marTop w:val="0"/>
              <w:marBottom w:val="0"/>
              <w:divBdr>
                <w:top w:val="none" w:sz="0" w:space="0" w:color="auto"/>
                <w:left w:val="none" w:sz="0" w:space="0" w:color="auto"/>
                <w:bottom w:val="none" w:sz="0" w:space="0" w:color="auto"/>
                <w:right w:val="none" w:sz="0" w:space="0" w:color="auto"/>
              </w:divBdr>
            </w:div>
            <w:div w:id="1004086751">
              <w:marLeft w:val="0"/>
              <w:marRight w:val="0"/>
              <w:marTop w:val="0"/>
              <w:marBottom w:val="0"/>
              <w:divBdr>
                <w:top w:val="none" w:sz="0" w:space="0" w:color="auto"/>
                <w:left w:val="none" w:sz="0" w:space="0" w:color="auto"/>
                <w:bottom w:val="none" w:sz="0" w:space="0" w:color="auto"/>
                <w:right w:val="none" w:sz="0" w:space="0" w:color="auto"/>
              </w:divBdr>
            </w:div>
            <w:div w:id="1008680428">
              <w:marLeft w:val="0"/>
              <w:marRight w:val="0"/>
              <w:marTop w:val="0"/>
              <w:marBottom w:val="0"/>
              <w:divBdr>
                <w:top w:val="none" w:sz="0" w:space="0" w:color="auto"/>
                <w:left w:val="none" w:sz="0" w:space="0" w:color="auto"/>
                <w:bottom w:val="none" w:sz="0" w:space="0" w:color="auto"/>
                <w:right w:val="none" w:sz="0" w:space="0" w:color="auto"/>
              </w:divBdr>
            </w:div>
            <w:div w:id="1014843566">
              <w:marLeft w:val="0"/>
              <w:marRight w:val="0"/>
              <w:marTop w:val="0"/>
              <w:marBottom w:val="0"/>
              <w:divBdr>
                <w:top w:val="none" w:sz="0" w:space="0" w:color="auto"/>
                <w:left w:val="none" w:sz="0" w:space="0" w:color="auto"/>
                <w:bottom w:val="none" w:sz="0" w:space="0" w:color="auto"/>
                <w:right w:val="none" w:sz="0" w:space="0" w:color="auto"/>
              </w:divBdr>
            </w:div>
            <w:div w:id="1015838567">
              <w:marLeft w:val="0"/>
              <w:marRight w:val="0"/>
              <w:marTop w:val="0"/>
              <w:marBottom w:val="0"/>
              <w:divBdr>
                <w:top w:val="none" w:sz="0" w:space="0" w:color="auto"/>
                <w:left w:val="none" w:sz="0" w:space="0" w:color="auto"/>
                <w:bottom w:val="none" w:sz="0" w:space="0" w:color="auto"/>
                <w:right w:val="none" w:sz="0" w:space="0" w:color="auto"/>
              </w:divBdr>
            </w:div>
            <w:div w:id="1024668997">
              <w:marLeft w:val="0"/>
              <w:marRight w:val="0"/>
              <w:marTop w:val="0"/>
              <w:marBottom w:val="0"/>
              <w:divBdr>
                <w:top w:val="none" w:sz="0" w:space="0" w:color="auto"/>
                <w:left w:val="none" w:sz="0" w:space="0" w:color="auto"/>
                <w:bottom w:val="none" w:sz="0" w:space="0" w:color="auto"/>
                <w:right w:val="none" w:sz="0" w:space="0" w:color="auto"/>
              </w:divBdr>
            </w:div>
            <w:div w:id="1056204382">
              <w:marLeft w:val="0"/>
              <w:marRight w:val="0"/>
              <w:marTop w:val="0"/>
              <w:marBottom w:val="0"/>
              <w:divBdr>
                <w:top w:val="none" w:sz="0" w:space="0" w:color="auto"/>
                <w:left w:val="none" w:sz="0" w:space="0" w:color="auto"/>
                <w:bottom w:val="none" w:sz="0" w:space="0" w:color="auto"/>
                <w:right w:val="none" w:sz="0" w:space="0" w:color="auto"/>
              </w:divBdr>
            </w:div>
            <w:div w:id="1066103607">
              <w:marLeft w:val="0"/>
              <w:marRight w:val="0"/>
              <w:marTop w:val="0"/>
              <w:marBottom w:val="0"/>
              <w:divBdr>
                <w:top w:val="none" w:sz="0" w:space="0" w:color="auto"/>
                <w:left w:val="none" w:sz="0" w:space="0" w:color="auto"/>
                <w:bottom w:val="none" w:sz="0" w:space="0" w:color="auto"/>
                <w:right w:val="none" w:sz="0" w:space="0" w:color="auto"/>
              </w:divBdr>
            </w:div>
            <w:div w:id="1070422759">
              <w:marLeft w:val="0"/>
              <w:marRight w:val="0"/>
              <w:marTop w:val="0"/>
              <w:marBottom w:val="0"/>
              <w:divBdr>
                <w:top w:val="none" w:sz="0" w:space="0" w:color="auto"/>
                <w:left w:val="none" w:sz="0" w:space="0" w:color="auto"/>
                <w:bottom w:val="none" w:sz="0" w:space="0" w:color="auto"/>
                <w:right w:val="none" w:sz="0" w:space="0" w:color="auto"/>
              </w:divBdr>
            </w:div>
            <w:div w:id="1079519746">
              <w:marLeft w:val="0"/>
              <w:marRight w:val="0"/>
              <w:marTop w:val="0"/>
              <w:marBottom w:val="0"/>
              <w:divBdr>
                <w:top w:val="none" w:sz="0" w:space="0" w:color="auto"/>
                <w:left w:val="none" w:sz="0" w:space="0" w:color="auto"/>
                <w:bottom w:val="none" w:sz="0" w:space="0" w:color="auto"/>
                <w:right w:val="none" w:sz="0" w:space="0" w:color="auto"/>
              </w:divBdr>
            </w:div>
            <w:div w:id="1090194368">
              <w:marLeft w:val="0"/>
              <w:marRight w:val="0"/>
              <w:marTop w:val="0"/>
              <w:marBottom w:val="0"/>
              <w:divBdr>
                <w:top w:val="none" w:sz="0" w:space="0" w:color="auto"/>
                <w:left w:val="none" w:sz="0" w:space="0" w:color="auto"/>
                <w:bottom w:val="none" w:sz="0" w:space="0" w:color="auto"/>
                <w:right w:val="none" w:sz="0" w:space="0" w:color="auto"/>
              </w:divBdr>
            </w:div>
            <w:div w:id="1142121040">
              <w:marLeft w:val="0"/>
              <w:marRight w:val="0"/>
              <w:marTop w:val="0"/>
              <w:marBottom w:val="0"/>
              <w:divBdr>
                <w:top w:val="none" w:sz="0" w:space="0" w:color="auto"/>
                <w:left w:val="none" w:sz="0" w:space="0" w:color="auto"/>
                <w:bottom w:val="none" w:sz="0" w:space="0" w:color="auto"/>
                <w:right w:val="none" w:sz="0" w:space="0" w:color="auto"/>
              </w:divBdr>
            </w:div>
            <w:div w:id="1145045060">
              <w:marLeft w:val="0"/>
              <w:marRight w:val="0"/>
              <w:marTop w:val="0"/>
              <w:marBottom w:val="0"/>
              <w:divBdr>
                <w:top w:val="none" w:sz="0" w:space="0" w:color="auto"/>
                <w:left w:val="none" w:sz="0" w:space="0" w:color="auto"/>
                <w:bottom w:val="none" w:sz="0" w:space="0" w:color="auto"/>
                <w:right w:val="none" w:sz="0" w:space="0" w:color="auto"/>
              </w:divBdr>
            </w:div>
            <w:div w:id="1146703025">
              <w:marLeft w:val="0"/>
              <w:marRight w:val="0"/>
              <w:marTop w:val="0"/>
              <w:marBottom w:val="0"/>
              <w:divBdr>
                <w:top w:val="none" w:sz="0" w:space="0" w:color="auto"/>
                <w:left w:val="none" w:sz="0" w:space="0" w:color="auto"/>
                <w:bottom w:val="none" w:sz="0" w:space="0" w:color="auto"/>
                <w:right w:val="none" w:sz="0" w:space="0" w:color="auto"/>
              </w:divBdr>
            </w:div>
            <w:div w:id="1150907840">
              <w:marLeft w:val="0"/>
              <w:marRight w:val="0"/>
              <w:marTop w:val="0"/>
              <w:marBottom w:val="0"/>
              <w:divBdr>
                <w:top w:val="none" w:sz="0" w:space="0" w:color="auto"/>
                <w:left w:val="none" w:sz="0" w:space="0" w:color="auto"/>
                <w:bottom w:val="none" w:sz="0" w:space="0" w:color="auto"/>
                <w:right w:val="none" w:sz="0" w:space="0" w:color="auto"/>
              </w:divBdr>
            </w:div>
            <w:div w:id="1161965611">
              <w:marLeft w:val="0"/>
              <w:marRight w:val="0"/>
              <w:marTop w:val="0"/>
              <w:marBottom w:val="0"/>
              <w:divBdr>
                <w:top w:val="none" w:sz="0" w:space="0" w:color="auto"/>
                <w:left w:val="none" w:sz="0" w:space="0" w:color="auto"/>
                <w:bottom w:val="none" w:sz="0" w:space="0" w:color="auto"/>
                <w:right w:val="none" w:sz="0" w:space="0" w:color="auto"/>
              </w:divBdr>
            </w:div>
            <w:div w:id="1177161261">
              <w:marLeft w:val="0"/>
              <w:marRight w:val="0"/>
              <w:marTop w:val="0"/>
              <w:marBottom w:val="0"/>
              <w:divBdr>
                <w:top w:val="none" w:sz="0" w:space="0" w:color="auto"/>
                <w:left w:val="none" w:sz="0" w:space="0" w:color="auto"/>
                <w:bottom w:val="none" w:sz="0" w:space="0" w:color="auto"/>
                <w:right w:val="none" w:sz="0" w:space="0" w:color="auto"/>
              </w:divBdr>
            </w:div>
            <w:div w:id="1178537800">
              <w:marLeft w:val="0"/>
              <w:marRight w:val="0"/>
              <w:marTop w:val="0"/>
              <w:marBottom w:val="0"/>
              <w:divBdr>
                <w:top w:val="none" w:sz="0" w:space="0" w:color="auto"/>
                <w:left w:val="none" w:sz="0" w:space="0" w:color="auto"/>
                <w:bottom w:val="none" w:sz="0" w:space="0" w:color="auto"/>
                <w:right w:val="none" w:sz="0" w:space="0" w:color="auto"/>
              </w:divBdr>
            </w:div>
            <w:div w:id="1211189012">
              <w:marLeft w:val="0"/>
              <w:marRight w:val="0"/>
              <w:marTop w:val="0"/>
              <w:marBottom w:val="0"/>
              <w:divBdr>
                <w:top w:val="none" w:sz="0" w:space="0" w:color="auto"/>
                <w:left w:val="none" w:sz="0" w:space="0" w:color="auto"/>
                <w:bottom w:val="none" w:sz="0" w:space="0" w:color="auto"/>
                <w:right w:val="none" w:sz="0" w:space="0" w:color="auto"/>
              </w:divBdr>
            </w:div>
            <w:div w:id="1216966462">
              <w:marLeft w:val="0"/>
              <w:marRight w:val="0"/>
              <w:marTop w:val="0"/>
              <w:marBottom w:val="0"/>
              <w:divBdr>
                <w:top w:val="none" w:sz="0" w:space="0" w:color="auto"/>
                <w:left w:val="none" w:sz="0" w:space="0" w:color="auto"/>
                <w:bottom w:val="none" w:sz="0" w:space="0" w:color="auto"/>
                <w:right w:val="none" w:sz="0" w:space="0" w:color="auto"/>
              </w:divBdr>
            </w:div>
            <w:div w:id="1257208517">
              <w:marLeft w:val="0"/>
              <w:marRight w:val="0"/>
              <w:marTop w:val="0"/>
              <w:marBottom w:val="0"/>
              <w:divBdr>
                <w:top w:val="none" w:sz="0" w:space="0" w:color="auto"/>
                <w:left w:val="none" w:sz="0" w:space="0" w:color="auto"/>
                <w:bottom w:val="none" w:sz="0" w:space="0" w:color="auto"/>
                <w:right w:val="none" w:sz="0" w:space="0" w:color="auto"/>
              </w:divBdr>
            </w:div>
            <w:div w:id="1296109250">
              <w:marLeft w:val="0"/>
              <w:marRight w:val="0"/>
              <w:marTop w:val="0"/>
              <w:marBottom w:val="0"/>
              <w:divBdr>
                <w:top w:val="none" w:sz="0" w:space="0" w:color="auto"/>
                <w:left w:val="none" w:sz="0" w:space="0" w:color="auto"/>
                <w:bottom w:val="none" w:sz="0" w:space="0" w:color="auto"/>
                <w:right w:val="none" w:sz="0" w:space="0" w:color="auto"/>
              </w:divBdr>
            </w:div>
            <w:div w:id="1340549125">
              <w:marLeft w:val="0"/>
              <w:marRight w:val="0"/>
              <w:marTop w:val="0"/>
              <w:marBottom w:val="0"/>
              <w:divBdr>
                <w:top w:val="none" w:sz="0" w:space="0" w:color="auto"/>
                <w:left w:val="none" w:sz="0" w:space="0" w:color="auto"/>
                <w:bottom w:val="none" w:sz="0" w:space="0" w:color="auto"/>
                <w:right w:val="none" w:sz="0" w:space="0" w:color="auto"/>
              </w:divBdr>
            </w:div>
            <w:div w:id="1354916846">
              <w:marLeft w:val="0"/>
              <w:marRight w:val="0"/>
              <w:marTop w:val="0"/>
              <w:marBottom w:val="0"/>
              <w:divBdr>
                <w:top w:val="none" w:sz="0" w:space="0" w:color="auto"/>
                <w:left w:val="none" w:sz="0" w:space="0" w:color="auto"/>
                <w:bottom w:val="none" w:sz="0" w:space="0" w:color="auto"/>
                <w:right w:val="none" w:sz="0" w:space="0" w:color="auto"/>
              </w:divBdr>
            </w:div>
            <w:div w:id="1378508313">
              <w:marLeft w:val="0"/>
              <w:marRight w:val="0"/>
              <w:marTop w:val="0"/>
              <w:marBottom w:val="0"/>
              <w:divBdr>
                <w:top w:val="none" w:sz="0" w:space="0" w:color="auto"/>
                <w:left w:val="none" w:sz="0" w:space="0" w:color="auto"/>
                <w:bottom w:val="none" w:sz="0" w:space="0" w:color="auto"/>
                <w:right w:val="none" w:sz="0" w:space="0" w:color="auto"/>
              </w:divBdr>
            </w:div>
            <w:div w:id="1388145521">
              <w:marLeft w:val="0"/>
              <w:marRight w:val="0"/>
              <w:marTop w:val="0"/>
              <w:marBottom w:val="0"/>
              <w:divBdr>
                <w:top w:val="none" w:sz="0" w:space="0" w:color="auto"/>
                <w:left w:val="none" w:sz="0" w:space="0" w:color="auto"/>
                <w:bottom w:val="none" w:sz="0" w:space="0" w:color="auto"/>
                <w:right w:val="none" w:sz="0" w:space="0" w:color="auto"/>
              </w:divBdr>
            </w:div>
            <w:div w:id="1388534859">
              <w:marLeft w:val="0"/>
              <w:marRight w:val="0"/>
              <w:marTop w:val="0"/>
              <w:marBottom w:val="0"/>
              <w:divBdr>
                <w:top w:val="none" w:sz="0" w:space="0" w:color="auto"/>
                <w:left w:val="none" w:sz="0" w:space="0" w:color="auto"/>
                <w:bottom w:val="none" w:sz="0" w:space="0" w:color="auto"/>
                <w:right w:val="none" w:sz="0" w:space="0" w:color="auto"/>
              </w:divBdr>
            </w:div>
            <w:div w:id="1396660407">
              <w:marLeft w:val="0"/>
              <w:marRight w:val="0"/>
              <w:marTop w:val="0"/>
              <w:marBottom w:val="0"/>
              <w:divBdr>
                <w:top w:val="none" w:sz="0" w:space="0" w:color="auto"/>
                <w:left w:val="none" w:sz="0" w:space="0" w:color="auto"/>
                <w:bottom w:val="none" w:sz="0" w:space="0" w:color="auto"/>
                <w:right w:val="none" w:sz="0" w:space="0" w:color="auto"/>
              </w:divBdr>
            </w:div>
            <w:div w:id="1416784801">
              <w:marLeft w:val="0"/>
              <w:marRight w:val="0"/>
              <w:marTop w:val="0"/>
              <w:marBottom w:val="0"/>
              <w:divBdr>
                <w:top w:val="none" w:sz="0" w:space="0" w:color="auto"/>
                <w:left w:val="none" w:sz="0" w:space="0" w:color="auto"/>
                <w:bottom w:val="none" w:sz="0" w:space="0" w:color="auto"/>
                <w:right w:val="none" w:sz="0" w:space="0" w:color="auto"/>
              </w:divBdr>
            </w:div>
            <w:div w:id="1422948036">
              <w:marLeft w:val="0"/>
              <w:marRight w:val="0"/>
              <w:marTop w:val="0"/>
              <w:marBottom w:val="0"/>
              <w:divBdr>
                <w:top w:val="none" w:sz="0" w:space="0" w:color="auto"/>
                <w:left w:val="none" w:sz="0" w:space="0" w:color="auto"/>
                <w:bottom w:val="none" w:sz="0" w:space="0" w:color="auto"/>
                <w:right w:val="none" w:sz="0" w:space="0" w:color="auto"/>
              </w:divBdr>
            </w:div>
            <w:div w:id="1424640444">
              <w:marLeft w:val="0"/>
              <w:marRight w:val="0"/>
              <w:marTop w:val="0"/>
              <w:marBottom w:val="0"/>
              <w:divBdr>
                <w:top w:val="none" w:sz="0" w:space="0" w:color="auto"/>
                <w:left w:val="none" w:sz="0" w:space="0" w:color="auto"/>
                <w:bottom w:val="none" w:sz="0" w:space="0" w:color="auto"/>
                <w:right w:val="none" w:sz="0" w:space="0" w:color="auto"/>
              </w:divBdr>
            </w:div>
            <w:div w:id="1443187159">
              <w:marLeft w:val="0"/>
              <w:marRight w:val="0"/>
              <w:marTop w:val="0"/>
              <w:marBottom w:val="0"/>
              <w:divBdr>
                <w:top w:val="none" w:sz="0" w:space="0" w:color="auto"/>
                <w:left w:val="none" w:sz="0" w:space="0" w:color="auto"/>
                <w:bottom w:val="none" w:sz="0" w:space="0" w:color="auto"/>
                <w:right w:val="none" w:sz="0" w:space="0" w:color="auto"/>
              </w:divBdr>
            </w:div>
            <w:div w:id="1459369729">
              <w:marLeft w:val="0"/>
              <w:marRight w:val="0"/>
              <w:marTop w:val="0"/>
              <w:marBottom w:val="0"/>
              <w:divBdr>
                <w:top w:val="none" w:sz="0" w:space="0" w:color="auto"/>
                <w:left w:val="none" w:sz="0" w:space="0" w:color="auto"/>
                <w:bottom w:val="none" w:sz="0" w:space="0" w:color="auto"/>
                <w:right w:val="none" w:sz="0" w:space="0" w:color="auto"/>
              </w:divBdr>
            </w:div>
            <w:div w:id="1475292465">
              <w:marLeft w:val="0"/>
              <w:marRight w:val="0"/>
              <w:marTop w:val="0"/>
              <w:marBottom w:val="0"/>
              <w:divBdr>
                <w:top w:val="none" w:sz="0" w:space="0" w:color="auto"/>
                <w:left w:val="none" w:sz="0" w:space="0" w:color="auto"/>
                <w:bottom w:val="none" w:sz="0" w:space="0" w:color="auto"/>
                <w:right w:val="none" w:sz="0" w:space="0" w:color="auto"/>
              </w:divBdr>
            </w:div>
            <w:div w:id="1483232283">
              <w:marLeft w:val="0"/>
              <w:marRight w:val="0"/>
              <w:marTop w:val="0"/>
              <w:marBottom w:val="0"/>
              <w:divBdr>
                <w:top w:val="none" w:sz="0" w:space="0" w:color="auto"/>
                <w:left w:val="none" w:sz="0" w:space="0" w:color="auto"/>
                <w:bottom w:val="none" w:sz="0" w:space="0" w:color="auto"/>
                <w:right w:val="none" w:sz="0" w:space="0" w:color="auto"/>
              </w:divBdr>
            </w:div>
            <w:div w:id="1486048983">
              <w:marLeft w:val="0"/>
              <w:marRight w:val="0"/>
              <w:marTop w:val="0"/>
              <w:marBottom w:val="0"/>
              <w:divBdr>
                <w:top w:val="none" w:sz="0" w:space="0" w:color="auto"/>
                <w:left w:val="none" w:sz="0" w:space="0" w:color="auto"/>
                <w:bottom w:val="none" w:sz="0" w:space="0" w:color="auto"/>
                <w:right w:val="none" w:sz="0" w:space="0" w:color="auto"/>
              </w:divBdr>
            </w:div>
            <w:div w:id="1503157144">
              <w:marLeft w:val="0"/>
              <w:marRight w:val="0"/>
              <w:marTop w:val="0"/>
              <w:marBottom w:val="0"/>
              <w:divBdr>
                <w:top w:val="none" w:sz="0" w:space="0" w:color="auto"/>
                <w:left w:val="none" w:sz="0" w:space="0" w:color="auto"/>
                <w:bottom w:val="none" w:sz="0" w:space="0" w:color="auto"/>
                <w:right w:val="none" w:sz="0" w:space="0" w:color="auto"/>
              </w:divBdr>
            </w:div>
            <w:div w:id="1511144194">
              <w:marLeft w:val="0"/>
              <w:marRight w:val="0"/>
              <w:marTop w:val="0"/>
              <w:marBottom w:val="0"/>
              <w:divBdr>
                <w:top w:val="none" w:sz="0" w:space="0" w:color="auto"/>
                <w:left w:val="none" w:sz="0" w:space="0" w:color="auto"/>
                <w:bottom w:val="none" w:sz="0" w:space="0" w:color="auto"/>
                <w:right w:val="none" w:sz="0" w:space="0" w:color="auto"/>
              </w:divBdr>
            </w:div>
            <w:div w:id="1530873092">
              <w:marLeft w:val="0"/>
              <w:marRight w:val="0"/>
              <w:marTop w:val="0"/>
              <w:marBottom w:val="0"/>
              <w:divBdr>
                <w:top w:val="none" w:sz="0" w:space="0" w:color="auto"/>
                <w:left w:val="none" w:sz="0" w:space="0" w:color="auto"/>
                <w:bottom w:val="none" w:sz="0" w:space="0" w:color="auto"/>
                <w:right w:val="none" w:sz="0" w:space="0" w:color="auto"/>
              </w:divBdr>
            </w:div>
            <w:div w:id="1537155358">
              <w:marLeft w:val="0"/>
              <w:marRight w:val="0"/>
              <w:marTop w:val="0"/>
              <w:marBottom w:val="0"/>
              <w:divBdr>
                <w:top w:val="none" w:sz="0" w:space="0" w:color="auto"/>
                <w:left w:val="none" w:sz="0" w:space="0" w:color="auto"/>
                <w:bottom w:val="none" w:sz="0" w:space="0" w:color="auto"/>
                <w:right w:val="none" w:sz="0" w:space="0" w:color="auto"/>
              </w:divBdr>
            </w:div>
            <w:div w:id="1545287003">
              <w:marLeft w:val="0"/>
              <w:marRight w:val="0"/>
              <w:marTop w:val="0"/>
              <w:marBottom w:val="0"/>
              <w:divBdr>
                <w:top w:val="none" w:sz="0" w:space="0" w:color="auto"/>
                <w:left w:val="none" w:sz="0" w:space="0" w:color="auto"/>
                <w:bottom w:val="none" w:sz="0" w:space="0" w:color="auto"/>
                <w:right w:val="none" w:sz="0" w:space="0" w:color="auto"/>
              </w:divBdr>
            </w:div>
            <w:div w:id="1547717770">
              <w:marLeft w:val="0"/>
              <w:marRight w:val="0"/>
              <w:marTop w:val="0"/>
              <w:marBottom w:val="0"/>
              <w:divBdr>
                <w:top w:val="none" w:sz="0" w:space="0" w:color="auto"/>
                <w:left w:val="none" w:sz="0" w:space="0" w:color="auto"/>
                <w:bottom w:val="none" w:sz="0" w:space="0" w:color="auto"/>
                <w:right w:val="none" w:sz="0" w:space="0" w:color="auto"/>
              </w:divBdr>
            </w:div>
            <w:div w:id="1549486106">
              <w:marLeft w:val="0"/>
              <w:marRight w:val="0"/>
              <w:marTop w:val="0"/>
              <w:marBottom w:val="0"/>
              <w:divBdr>
                <w:top w:val="none" w:sz="0" w:space="0" w:color="auto"/>
                <w:left w:val="none" w:sz="0" w:space="0" w:color="auto"/>
                <w:bottom w:val="none" w:sz="0" w:space="0" w:color="auto"/>
                <w:right w:val="none" w:sz="0" w:space="0" w:color="auto"/>
              </w:divBdr>
            </w:div>
            <w:div w:id="1557010748">
              <w:marLeft w:val="0"/>
              <w:marRight w:val="0"/>
              <w:marTop w:val="0"/>
              <w:marBottom w:val="0"/>
              <w:divBdr>
                <w:top w:val="none" w:sz="0" w:space="0" w:color="auto"/>
                <w:left w:val="none" w:sz="0" w:space="0" w:color="auto"/>
                <w:bottom w:val="none" w:sz="0" w:space="0" w:color="auto"/>
                <w:right w:val="none" w:sz="0" w:space="0" w:color="auto"/>
              </w:divBdr>
            </w:div>
            <w:div w:id="1560746645">
              <w:marLeft w:val="0"/>
              <w:marRight w:val="0"/>
              <w:marTop w:val="0"/>
              <w:marBottom w:val="0"/>
              <w:divBdr>
                <w:top w:val="none" w:sz="0" w:space="0" w:color="auto"/>
                <w:left w:val="none" w:sz="0" w:space="0" w:color="auto"/>
                <w:bottom w:val="none" w:sz="0" w:space="0" w:color="auto"/>
                <w:right w:val="none" w:sz="0" w:space="0" w:color="auto"/>
              </w:divBdr>
            </w:div>
            <w:div w:id="1564754032">
              <w:marLeft w:val="0"/>
              <w:marRight w:val="0"/>
              <w:marTop w:val="0"/>
              <w:marBottom w:val="0"/>
              <w:divBdr>
                <w:top w:val="none" w:sz="0" w:space="0" w:color="auto"/>
                <w:left w:val="none" w:sz="0" w:space="0" w:color="auto"/>
                <w:bottom w:val="none" w:sz="0" w:space="0" w:color="auto"/>
                <w:right w:val="none" w:sz="0" w:space="0" w:color="auto"/>
              </w:divBdr>
            </w:div>
            <w:div w:id="1581602261">
              <w:marLeft w:val="0"/>
              <w:marRight w:val="0"/>
              <w:marTop w:val="0"/>
              <w:marBottom w:val="0"/>
              <w:divBdr>
                <w:top w:val="none" w:sz="0" w:space="0" w:color="auto"/>
                <w:left w:val="none" w:sz="0" w:space="0" w:color="auto"/>
                <w:bottom w:val="none" w:sz="0" w:space="0" w:color="auto"/>
                <w:right w:val="none" w:sz="0" w:space="0" w:color="auto"/>
              </w:divBdr>
            </w:div>
            <w:div w:id="1587954915">
              <w:marLeft w:val="0"/>
              <w:marRight w:val="0"/>
              <w:marTop w:val="0"/>
              <w:marBottom w:val="0"/>
              <w:divBdr>
                <w:top w:val="none" w:sz="0" w:space="0" w:color="auto"/>
                <w:left w:val="none" w:sz="0" w:space="0" w:color="auto"/>
                <w:bottom w:val="none" w:sz="0" w:space="0" w:color="auto"/>
                <w:right w:val="none" w:sz="0" w:space="0" w:color="auto"/>
              </w:divBdr>
            </w:div>
            <w:div w:id="1619919976">
              <w:marLeft w:val="0"/>
              <w:marRight w:val="0"/>
              <w:marTop w:val="0"/>
              <w:marBottom w:val="0"/>
              <w:divBdr>
                <w:top w:val="none" w:sz="0" w:space="0" w:color="auto"/>
                <w:left w:val="none" w:sz="0" w:space="0" w:color="auto"/>
                <w:bottom w:val="none" w:sz="0" w:space="0" w:color="auto"/>
                <w:right w:val="none" w:sz="0" w:space="0" w:color="auto"/>
              </w:divBdr>
            </w:div>
            <w:div w:id="1633051576">
              <w:marLeft w:val="0"/>
              <w:marRight w:val="0"/>
              <w:marTop w:val="0"/>
              <w:marBottom w:val="0"/>
              <w:divBdr>
                <w:top w:val="none" w:sz="0" w:space="0" w:color="auto"/>
                <w:left w:val="none" w:sz="0" w:space="0" w:color="auto"/>
                <w:bottom w:val="none" w:sz="0" w:space="0" w:color="auto"/>
                <w:right w:val="none" w:sz="0" w:space="0" w:color="auto"/>
              </w:divBdr>
            </w:div>
            <w:div w:id="1662735352">
              <w:marLeft w:val="0"/>
              <w:marRight w:val="0"/>
              <w:marTop w:val="0"/>
              <w:marBottom w:val="0"/>
              <w:divBdr>
                <w:top w:val="none" w:sz="0" w:space="0" w:color="auto"/>
                <w:left w:val="none" w:sz="0" w:space="0" w:color="auto"/>
                <w:bottom w:val="none" w:sz="0" w:space="0" w:color="auto"/>
                <w:right w:val="none" w:sz="0" w:space="0" w:color="auto"/>
              </w:divBdr>
            </w:div>
            <w:div w:id="1668510673">
              <w:marLeft w:val="0"/>
              <w:marRight w:val="0"/>
              <w:marTop w:val="0"/>
              <w:marBottom w:val="0"/>
              <w:divBdr>
                <w:top w:val="none" w:sz="0" w:space="0" w:color="auto"/>
                <w:left w:val="none" w:sz="0" w:space="0" w:color="auto"/>
                <w:bottom w:val="none" w:sz="0" w:space="0" w:color="auto"/>
                <w:right w:val="none" w:sz="0" w:space="0" w:color="auto"/>
              </w:divBdr>
            </w:div>
            <w:div w:id="1677150689">
              <w:marLeft w:val="0"/>
              <w:marRight w:val="0"/>
              <w:marTop w:val="0"/>
              <w:marBottom w:val="0"/>
              <w:divBdr>
                <w:top w:val="none" w:sz="0" w:space="0" w:color="auto"/>
                <w:left w:val="none" w:sz="0" w:space="0" w:color="auto"/>
                <w:bottom w:val="none" w:sz="0" w:space="0" w:color="auto"/>
                <w:right w:val="none" w:sz="0" w:space="0" w:color="auto"/>
              </w:divBdr>
            </w:div>
            <w:div w:id="1680542722">
              <w:marLeft w:val="0"/>
              <w:marRight w:val="0"/>
              <w:marTop w:val="0"/>
              <w:marBottom w:val="0"/>
              <w:divBdr>
                <w:top w:val="none" w:sz="0" w:space="0" w:color="auto"/>
                <w:left w:val="none" w:sz="0" w:space="0" w:color="auto"/>
                <w:bottom w:val="none" w:sz="0" w:space="0" w:color="auto"/>
                <w:right w:val="none" w:sz="0" w:space="0" w:color="auto"/>
              </w:divBdr>
            </w:div>
            <w:div w:id="1686053918">
              <w:marLeft w:val="0"/>
              <w:marRight w:val="0"/>
              <w:marTop w:val="0"/>
              <w:marBottom w:val="0"/>
              <w:divBdr>
                <w:top w:val="none" w:sz="0" w:space="0" w:color="auto"/>
                <w:left w:val="none" w:sz="0" w:space="0" w:color="auto"/>
                <w:bottom w:val="none" w:sz="0" w:space="0" w:color="auto"/>
                <w:right w:val="none" w:sz="0" w:space="0" w:color="auto"/>
              </w:divBdr>
            </w:div>
            <w:div w:id="1696468237">
              <w:marLeft w:val="0"/>
              <w:marRight w:val="0"/>
              <w:marTop w:val="0"/>
              <w:marBottom w:val="0"/>
              <w:divBdr>
                <w:top w:val="none" w:sz="0" w:space="0" w:color="auto"/>
                <w:left w:val="none" w:sz="0" w:space="0" w:color="auto"/>
                <w:bottom w:val="none" w:sz="0" w:space="0" w:color="auto"/>
                <w:right w:val="none" w:sz="0" w:space="0" w:color="auto"/>
              </w:divBdr>
            </w:div>
            <w:div w:id="1715812693">
              <w:marLeft w:val="0"/>
              <w:marRight w:val="0"/>
              <w:marTop w:val="0"/>
              <w:marBottom w:val="0"/>
              <w:divBdr>
                <w:top w:val="none" w:sz="0" w:space="0" w:color="auto"/>
                <w:left w:val="none" w:sz="0" w:space="0" w:color="auto"/>
                <w:bottom w:val="none" w:sz="0" w:space="0" w:color="auto"/>
                <w:right w:val="none" w:sz="0" w:space="0" w:color="auto"/>
              </w:divBdr>
            </w:div>
            <w:div w:id="1725255027">
              <w:marLeft w:val="0"/>
              <w:marRight w:val="0"/>
              <w:marTop w:val="0"/>
              <w:marBottom w:val="0"/>
              <w:divBdr>
                <w:top w:val="none" w:sz="0" w:space="0" w:color="auto"/>
                <w:left w:val="none" w:sz="0" w:space="0" w:color="auto"/>
                <w:bottom w:val="none" w:sz="0" w:space="0" w:color="auto"/>
                <w:right w:val="none" w:sz="0" w:space="0" w:color="auto"/>
              </w:divBdr>
            </w:div>
            <w:div w:id="1729062701">
              <w:marLeft w:val="0"/>
              <w:marRight w:val="0"/>
              <w:marTop w:val="0"/>
              <w:marBottom w:val="0"/>
              <w:divBdr>
                <w:top w:val="none" w:sz="0" w:space="0" w:color="auto"/>
                <w:left w:val="none" w:sz="0" w:space="0" w:color="auto"/>
                <w:bottom w:val="none" w:sz="0" w:space="0" w:color="auto"/>
                <w:right w:val="none" w:sz="0" w:space="0" w:color="auto"/>
              </w:divBdr>
            </w:div>
            <w:div w:id="1735350495">
              <w:marLeft w:val="0"/>
              <w:marRight w:val="0"/>
              <w:marTop w:val="0"/>
              <w:marBottom w:val="0"/>
              <w:divBdr>
                <w:top w:val="none" w:sz="0" w:space="0" w:color="auto"/>
                <w:left w:val="none" w:sz="0" w:space="0" w:color="auto"/>
                <w:bottom w:val="none" w:sz="0" w:space="0" w:color="auto"/>
                <w:right w:val="none" w:sz="0" w:space="0" w:color="auto"/>
              </w:divBdr>
            </w:div>
            <w:div w:id="1741059807">
              <w:marLeft w:val="0"/>
              <w:marRight w:val="0"/>
              <w:marTop w:val="0"/>
              <w:marBottom w:val="0"/>
              <w:divBdr>
                <w:top w:val="none" w:sz="0" w:space="0" w:color="auto"/>
                <w:left w:val="none" w:sz="0" w:space="0" w:color="auto"/>
                <w:bottom w:val="none" w:sz="0" w:space="0" w:color="auto"/>
                <w:right w:val="none" w:sz="0" w:space="0" w:color="auto"/>
              </w:divBdr>
            </w:div>
            <w:div w:id="1749158320">
              <w:marLeft w:val="0"/>
              <w:marRight w:val="0"/>
              <w:marTop w:val="0"/>
              <w:marBottom w:val="0"/>
              <w:divBdr>
                <w:top w:val="none" w:sz="0" w:space="0" w:color="auto"/>
                <w:left w:val="none" w:sz="0" w:space="0" w:color="auto"/>
                <w:bottom w:val="none" w:sz="0" w:space="0" w:color="auto"/>
                <w:right w:val="none" w:sz="0" w:space="0" w:color="auto"/>
              </w:divBdr>
            </w:div>
            <w:div w:id="1783718411">
              <w:marLeft w:val="0"/>
              <w:marRight w:val="0"/>
              <w:marTop w:val="0"/>
              <w:marBottom w:val="0"/>
              <w:divBdr>
                <w:top w:val="none" w:sz="0" w:space="0" w:color="auto"/>
                <w:left w:val="none" w:sz="0" w:space="0" w:color="auto"/>
                <w:bottom w:val="none" w:sz="0" w:space="0" w:color="auto"/>
                <w:right w:val="none" w:sz="0" w:space="0" w:color="auto"/>
              </w:divBdr>
            </w:div>
            <w:div w:id="1791316351">
              <w:marLeft w:val="0"/>
              <w:marRight w:val="0"/>
              <w:marTop w:val="0"/>
              <w:marBottom w:val="0"/>
              <w:divBdr>
                <w:top w:val="none" w:sz="0" w:space="0" w:color="auto"/>
                <w:left w:val="none" w:sz="0" w:space="0" w:color="auto"/>
                <w:bottom w:val="none" w:sz="0" w:space="0" w:color="auto"/>
                <w:right w:val="none" w:sz="0" w:space="0" w:color="auto"/>
              </w:divBdr>
            </w:div>
            <w:div w:id="1795325257">
              <w:marLeft w:val="0"/>
              <w:marRight w:val="0"/>
              <w:marTop w:val="0"/>
              <w:marBottom w:val="0"/>
              <w:divBdr>
                <w:top w:val="none" w:sz="0" w:space="0" w:color="auto"/>
                <w:left w:val="none" w:sz="0" w:space="0" w:color="auto"/>
                <w:bottom w:val="none" w:sz="0" w:space="0" w:color="auto"/>
                <w:right w:val="none" w:sz="0" w:space="0" w:color="auto"/>
              </w:divBdr>
            </w:div>
            <w:div w:id="1853956148">
              <w:marLeft w:val="0"/>
              <w:marRight w:val="0"/>
              <w:marTop w:val="0"/>
              <w:marBottom w:val="0"/>
              <w:divBdr>
                <w:top w:val="none" w:sz="0" w:space="0" w:color="auto"/>
                <w:left w:val="none" w:sz="0" w:space="0" w:color="auto"/>
                <w:bottom w:val="none" w:sz="0" w:space="0" w:color="auto"/>
                <w:right w:val="none" w:sz="0" w:space="0" w:color="auto"/>
              </w:divBdr>
            </w:div>
            <w:div w:id="1870995249">
              <w:marLeft w:val="0"/>
              <w:marRight w:val="0"/>
              <w:marTop w:val="0"/>
              <w:marBottom w:val="0"/>
              <w:divBdr>
                <w:top w:val="none" w:sz="0" w:space="0" w:color="auto"/>
                <w:left w:val="none" w:sz="0" w:space="0" w:color="auto"/>
                <w:bottom w:val="none" w:sz="0" w:space="0" w:color="auto"/>
                <w:right w:val="none" w:sz="0" w:space="0" w:color="auto"/>
              </w:divBdr>
            </w:div>
            <w:div w:id="1922635760">
              <w:marLeft w:val="0"/>
              <w:marRight w:val="0"/>
              <w:marTop w:val="0"/>
              <w:marBottom w:val="0"/>
              <w:divBdr>
                <w:top w:val="none" w:sz="0" w:space="0" w:color="auto"/>
                <w:left w:val="none" w:sz="0" w:space="0" w:color="auto"/>
                <w:bottom w:val="none" w:sz="0" w:space="0" w:color="auto"/>
                <w:right w:val="none" w:sz="0" w:space="0" w:color="auto"/>
              </w:divBdr>
            </w:div>
            <w:div w:id="1934317600">
              <w:marLeft w:val="0"/>
              <w:marRight w:val="0"/>
              <w:marTop w:val="0"/>
              <w:marBottom w:val="0"/>
              <w:divBdr>
                <w:top w:val="none" w:sz="0" w:space="0" w:color="auto"/>
                <w:left w:val="none" w:sz="0" w:space="0" w:color="auto"/>
                <w:bottom w:val="none" w:sz="0" w:space="0" w:color="auto"/>
                <w:right w:val="none" w:sz="0" w:space="0" w:color="auto"/>
              </w:divBdr>
            </w:div>
            <w:div w:id="1987272693">
              <w:marLeft w:val="0"/>
              <w:marRight w:val="0"/>
              <w:marTop w:val="0"/>
              <w:marBottom w:val="0"/>
              <w:divBdr>
                <w:top w:val="none" w:sz="0" w:space="0" w:color="auto"/>
                <w:left w:val="none" w:sz="0" w:space="0" w:color="auto"/>
                <w:bottom w:val="none" w:sz="0" w:space="0" w:color="auto"/>
                <w:right w:val="none" w:sz="0" w:space="0" w:color="auto"/>
              </w:divBdr>
            </w:div>
            <w:div w:id="1994216959">
              <w:marLeft w:val="0"/>
              <w:marRight w:val="0"/>
              <w:marTop w:val="0"/>
              <w:marBottom w:val="0"/>
              <w:divBdr>
                <w:top w:val="none" w:sz="0" w:space="0" w:color="auto"/>
                <w:left w:val="none" w:sz="0" w:space="0" w:color="auto"/>
                <w:bottom w:val="none" w:sz="0" w:space="0" w:color="auto"/>
                <w:right w:val="none" w:sz="0" w:space="0" w:color="auto"/>
              </w:divBdr>
            </w:div>
            <w:div w:id="1998875185">
              <w:marLeft w:val="0"/>
              <w:marRight w:val="0"/>
              <w:marTop w:val="0"/>
              <w:marBottom w:val="0"/>
              <w:divBdr>
                <w:top w:val="none" w:sz="0" w:space="0" w:color="auto"/>
                <w:left w:val="none" w:sz="0" w:space="0" w:color="auto"/>
                <w:bottom w:val="none" w:sz="0" w:space="0" w:color="auto"/>
                <w:right w:val="none" w:sz="0" w:space="0" w:color="auto"/>
              </w:divBdr>
            </w:div>
            <w:div w:id="2002155481">
              <w:marLeft w:val="0"/>
              <w:marRight w:val="0"/>
              <w:marTop w:val="0"/>
              <w:marBottom w:val="0"/>
              <w:divBdr>
                <w:top w:val="none" w:sz="0" w:space="0" w:color="auto"/>
                <w:left w:val="none" w:sz="0" w:space="0" w:color="auto"/>
                <w:bottom w:val="none" w:sz="0" w:space="0" w:color="auto"/>
                <w:right w:val="none" w:sz="0" w:space="0" w:color="auto"/>
              </w:divBdr>
            </w:div>
            <w:div w:id="2033340156">
              <w:marLeft w:val="0"/>
              <w:marRight w:val="0"/>
              <w:marTop w:val="0"/>
              <w:marBottom w:val="0"/>
              <w:divBdr>
                <w:top w:val="none" w:sz="0" w:space="0" w:color="auto"/>
                <w:left w:val="none" w:sz="0" w:space="0" w:color="auto"/>
                <w:bottom w:val="none" w:sz="0" w:space="0" w:color="auto"/>
                <w:right w:val="none" w:sz="0" w:space="0" w:color="auto"/>
              </w:divBdr>
            </w:div>
            <w:div w:id="2040351410">
              <w:marLeft w:val="0"/>
              <w:marRight w:val="0"/>
              <w:marTop w:val="0"/>
              <w:marBottom w:val="0"/>
              <w:divBdr>
                <w:top w:val="none" w:sz="0" w:space="0" w:color="auto"/>
                <w:left w:val="none" w:sz="0" w:space="0" w:color="auto"/>
                <w:bottom w:val="none" w:sz="0" w:space="0" w:color="auto"/>
                <w:right w:val="none" w:sz="0" w:space="0" w:color="auto"/>
              </w:divBdr>
            </w:div>
            <w:div w:id="2053731365">
              <w:marLeft w:val="0"/>
              <w:marRight w:val="0"/>
              <w:marTop w:val="0"/>
              <w:marBottom w:val="0"/>
              <w:divBdr>
                <w:top w:val="none" w:sz="0" w:space="0" w:color="auto"/>
                <w:left w:val="none" w:sz="0" w:space="0" w:color="auto"/>
                <w:bottom w:val="none" w:sz="0" w:space="0" w:color="auto"/>
                <w:right w:val="none" w:sz="0" w:space="0" w:color="auto"/>
              </w:divBdr>
            </w:div>
            <w:div w:id="2065830671">
              <w:marLeft w:val="0"/>
              <w:marRight w:val="0"/>
              <w:marTop w:val="0"/>
              <w:marBottom w:val="0"/>
              <w:divBdr>
                <w:top w:val="none" w:sz="0" w:space="0" w:color="auto"/>
                <w:left w:val="none" w:sz="0" w:space="0" w:color="auto"/>
                <w:bottom w:val="none" w:sz="0" w:space="0" w:color="auto"/>
                <w:right w:val="none" w:sz="0" w:space="0" w:color="auto"/>
              </w:divBdr>
            </w:div>
            <w:div w:id="2069575119">
              <w:marLeft w:val="0"/>
              <w:marRight w:val="0"/>
              <w:marTop w:val="0"/>
              <w:marBottom w:val="0"/>
              <w:divBdr>
                <w:top w:val="none" w:sz="0" w:space="0" w:color="auto"/>
                <w:left w:val="none" w:sz="0" w:space="0" w:color="auto"/>
                <w:bottom w:val="none" w:sz="0" w:space="0" w:color="auto"/>
                <w:right w:val="none" w:sz="0" w:space="0" w:color="auto"/>
              </w:divBdr>
            </w:div>
            <w:div w:id="2072538033">
              <w:marLeft w:val="0"/>
              <w:marRight w:val="0"/>
              <w:marTop w:val="0"/>
              <w:marBottom w:val="0"/>
              <w:divBdr>
                <w:top w:val="none" w:sz="0" w:space="0" w:color="auto"/>
                <w:left w:val="none" w:sz="0" w:space="0" w:color="auto"/>
                <w:bottom w:val="none" w:sz="0" w:space="0" w:color="auto"/>
                <w:right w:val="none" w:sz="0" w:space="0" w:color="auto"/>
              </w:divBdr>
            </w:div>
            <w:div w:id="2107799827">
              <w:marLeft w:val="0"/>
              <w:marRight w:val="0"/>
              <w:marTop w:val="0"/>
              <w:marBottom w:val="0"/>
              <w:divBdr>
                <w:top w:val="none" w:sz="0" w:space="0" w:color="auto"/>
                <w:left w:val="none" w:sz="0" w:space="0" w:color="auto"/>
                <w:bottom w:val="none" w:sz="0" w:space="0" w:color="auto"/>
                <w:right w:val="none" w:sz="0" w:space="0" w:color="auto"/>
              </w:divBdr>
            </w:div>
            <w:div w:id="21179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5155">
      <w:bodyDiv w:val="1"/>
      <w:marLeft w:val="0"/>
      <w:marRight w:val="0"/>
      <w:marTop w:val="0"/>
      <w:marBottom w:val="0"/>
      <w:divBdr>
        <w:top w:val="none" w:sz="0" w:space="0" w:color="auto"/>
        <w:left w:val="none" w:sz="0" w:space="0" w:color="auto"/>
        <w:bottom w:val="none" w:sz="0" w:space="0" w:color="auto"/>
        <w:right w:val="none" w:sz="0" w:space="0" w:color="auto"/>
      </w:divBdr>
    </w:div>
    <w:div w:id="891766621">
      <w:bodyDiv w:val="1"/>
      <w:marLeft w:val="0"/>
      <w:marRight w:val="0"/>
      <w:marTop w:val="0"/>
      <w:marBottom w:val="0"/>
      <w:divBdr>
        <w:top w:val="none" w:sz="0" w:space="0" w:color="auto"/>
        <w:left w:val="none" w:sz="0" w:space="0" w:color="auto"/>
        <w:bottom w:val="none" w:sz="0" w:space="0" w:color="auto"/>
        <w:right w:val="none" w:sz="0" w:space="0" w:color="auto"/>
      </w:divBdr>
    </w:div>
    <w:div w:id="1247153001">
      <w:bodyDiv w:val="1"/>
      <w:marLeft w:val="0"/>
      <w:marRight w:val="0"/>
      <w:marTop w:val="0"/>
      <w:marBottom w:val="0"/>
      <w:divBdr>
        <w:top w:val="none" w:sz="0" w:space="0" w:color="auto"/>
        <w:left w:val="none" w:sz="0" w:space="0" w:color="auto"/>
        <w:bottom w:val="none" w:sz="0" w:space="0" w:color="auto"/>
        <w:right w:val="none" w:sz="0" w:space="0" w:color="auto"/>
      </w:divBdr>
      <w:divsChild>
        <w:div w:id="2017534733">
          <w:marLeft w:val="0"/>
          <w:marRight w:val="0"/>
          <w:marTop w:val="0"/>
          <w:marBottom w:val="0"/>
          <w:divBdr>
            <w:top w:val="none" w:sz="0" w:space="0" w:color="auto"/>
            <w:left w:val="none" w:sz="0" w:space="0" w:color="auto"/>
            <w:bottom w:val="none" w:sz="0" w:space="0" w:color="auto"/>
            <w:right w:val="none" w:sz="0" w:space="0" w:color="auto"/>
          </w:divBdr>
          <w:divsChild>
            <w:div w:id="29693647">
              <w:marLeft w:val="0"/>
              <w:marRight w:val="0"/>
              <w:marTop w:val="0"/>
              <w:marBottom w:val="0"/>
              <w:divBdr>
                <w:top w:val="none" w:sz="0" w:space="0" w:color="auto"/>
                <w:left w:val="none" w:sz="0" w:space="0" w:color="auto"/>
                <w:bottom w:val="none" w:sz="0" w:space="0" w:color="auto"/>
                <w:right w:val="none" w:sz="0" w:space="0" w:color="auto"/>
              </w:divBdr>
            </w:div>
            <w:div w:id="86925546">
              <w:marLeft w:val="0"/>
              <w:marRight w:val="0"/>
              <w:marTop w:val="0"/>
              <w:marBottom w:val="0"/>
              <w:divBdr>
                <w:top w:val="none" w:sz="0" w:space="0" w:color="auto"/>
                <w:left w:val="none" w:sz="0" w:space="0" w:color="auto"/>
                <w:bottom w:val="none" w:sz="0" w:space="0" w:color="auto"/>
                <w:right w:val="none" w:sz="0" w:space="0" w:color="auto"/>
              </w:divBdr>
            </w:div>
            <w:div w:id="119110584">
              <w:marLeft w:val="0"/>
              <w:marRight w:val="0"/>
              <w:marTop w:val="0"/>
              <w:marBottom w:val="0"/>
              <w:divBdr>
                <w:top w:val="none" w:sz="0" w:space="0" w:color="auto"/>
                <w:left w:val="none" w:sz="0" w:space="0" w:color="auto"/>
                <w:bottom w:val="none" w:sz="0" w:space="0" w:color="auto"/>
                <w:right w:val="none" w:sz="0" w:space="0" w:color="auto"/>
              </w:divBdr>
            </w:div>
            <w:div w:id="128861475">
              <w:marLeft w:val="0"/>
              <w:marRight w:val="0"/>
              <w:marTop w:val="0"/>
              <w:marBottom w:val="0"/>
              <w:divBdr>
                <w:top w:val="none" w:sz="0" w:space="0" w:color="auto"/>
                <w:left w:val="none" w:sz="0" w:space="0" w:color="auto"/>
                <w:bottom w:val="none" w:sz="0" w:space="0" w:color="auto"/>
                <w:right w:val="none" w:sz="0" w:space="0" w:color="auto"/>
              </w:divBdr>
            </w:div>
            <w:div w:id="136529859">
              <w:marLeft w:val="0"/>
              <w:marRight w:val="0"/>
              <w:marTop w:val="0"/>
              <w:marBottom w:val="0"/>
              <w:divBdr>
                <w:top w:val="none" w:sz="0" w:space="0" w:color="auto"/>
                <w:left w:val="none" w:sz="0" w:space="0" w:color="auto"/>
                <w:bottom w:val="none" w:sz="0" w:space="0" w:color="auto"/>
                <w:right w:val="none" w:sz="0" w:space="0" w:color="auto"/>
              </w:divBdr>
            </w:div>
            <w:div w:id="159003933">
              <w:marLeft w:val="0"/>
              <w:marRight w:val="0"/>
              <w:marTop w:val="0"/>
              <w:marBottom w:val="0"/>
              <w:divBdr>
                <w:top w:val="none" w:sz="0" w:space="0" w:color="auto"/>
                <w:left w:val="none" w:sz="0" w:space="0" w:color="auto"/>
                <w:bottom w:val="none" w:sz="0" w:space="0" w:color="auto"/>
                <w:right w:val="none" w:sz="0" w:space="0" w:color="auto"/>
              </w:divBdr>
            </w:div>
            <w:div w:id="164444077">
              <w:marLeft w:val="0"/>
              <w:marRight w:val="0"/>
              <w:marTop w:val="0"/>
              <w:marBottom w:val="0"/>
              <w:divBdr>
                <w:top w:val="none" w:sz="0" w:space="0" w:color="auto"/>
                <w:left w:val="none" w:sz="0" w:space="0" w:color="auto"/>
                <w:bottom w:val="none" w:sz="0" w:space="0" w:color="auto"/>
                <w:right w:val="none" w:sz="0" w:space="0" w:color="auto"/>
              </w:divBdr>
            </w:div>
            <w:div w:id="181432335">
              <w:marLeft w:val="0"/>
              <w:marRight w:val="0"/>
              <w:marTop w:val="0"/>
              <w:marBottom w:val="0"/>
              <w:divBdr>
                <w:top w:val="none" w:sz="0" w:space="0" w:color="auto"/>
                <w:left w:val="none" w:sz="0" w:space="0" w:color="auto"/>
                <w:bottom w:val="none" w:sz="0" w:space="0" w:color="auto"/>
                <w:right w:val="none" w:sz="0" w:space="0" w:color="auto"/>
              </w:divBdr>
            </w:div>
            <w:div w:id="193928620">
              <w:marLeft w:val="0"/>
              <w:marRight w:val="0"/>
              <w:marTop w:val="0"/>
              <w:marBottom w:val="0"/>
              <w:divBdr>
                <w:top w:val="none" w:sz="0" w:space="0" w:color="auto"/>
                <w:left w:val="none" w:sz="0" w:space="0" w:color="auto"/>
                <w:bottom w:val="none" w:sz="0" w:space="0" w:color="auto"/>
                <w:right w:val="none" w:sz="0" w:space="0" w:color="auto"/>
              </w:divBdr>
            </w:div>
            <w:div w:id="214203836">
              <w:marLeft w:val="0"/>
              <w:marRight w:val="0"/>
              <w:marTop w:val="0"/>
              <w:marBottom w:val="0"/>
              <w:divBdr>
                <w:top w:val="none" w:sz="0" w:space="0" w:color="auto"/>
                <w:left w:val="none" w:sz="0" w:space="0" w:color="auto"/>
                <w:bottom w:val="none" w:sz="0" w:space="0" w:color="auto"/>
                <w:right w:val="none" w:sz="0" w:space="0" w:color="auto"/>
              </w:divBdr>
            </w:div>
            <w:div w:id="218900842">
              <w:marLeft w:val="0"/>
              <w:marRight w:val="0"/>
              <w:marTop w:val="0"/>
              <w:marBottom w:val="0"/>
              <w:divBdr>
                <w:top w:val="none" w:sz="0" w:space="0" w:color="auto"/>
                <w:left w:val="none" w:sz="0" w:space="0" w:color="auto"/>
                <w:bottom w:val="none" w:sz="0" w:space="0" w:color="auto"/>
                <w:right w:val="none" w:sz="0" w:space="0" w:color="auto"/>
              </w:divBdr>
            </w:div>
            <w:div w:id="239026512">
              <w:marLeft w:val="0"/>
              <w:marRight w:val="0"/>
              <w:marTop w:val="0"/>
              <w:marBottom w:val="0"/>
              <w:divBdr>
                <w:top w:val="none" w:sz="0" w:space="0" w:color="auto"/>
                <w:left w:val="none" w:sz="0" w:space="0" w:color="auto"/>
                <w:bottom w:val="none" w:sz="0" w:space="0" w:color="auto"/>
                <w:right w:val="none" w:sz="0" w:space="0" w:color="auto"/>
              </w:divBdr>
            </w:div>
            <w:div w:id="259220835">
              <w:marLeft w:val="0"/>
              <w:marRight w:val="0"/>
              <w:marTop w:val="0"/>
              <w:marBottom w:val="0"/>
              <w:divBdr>
                <w:top w:val="none" w:sz="0" w:space="0" w:color="auto"/>
                <w:left w:val="none" w:sz="0" w:space="0" w:color="auto"/>
                <w:bottom w:val="none" w:sz="0" w:space="0" w:color="auto"/>
                <w:right w:val="none" w:sz="0" w:space="0" w:color="auto"/>
              </w:divBdr>
            </w:div>
            <w:div w:id="266356111">
              <w:marLeft w:val="0"/>
              <w:marRight w:val="0"/>
              <w:marTop w:val="0"/>
              <w:marBottom w:val="0"/>
              <w:divBdr>
                <w:top w:val="none" w:sz="0" w:space="0" w:color="auto"/>
                <w:left w:val="none" w:sz="0" w:space="0" w:color="auto"/>
                <w:bottom w:val="none" w:sz="0" w:space="0" w:color="auto"/>
                <w:right w:val="none" w:sz="0" w:space="0" w:color="auto"/>
              </w:divBdr>
            </w:div>
            <w:div w:id="294870158">
              <w:marLeft w:val="0"/>
              <w:marRight w:val="0"/>
              <w:marTop w:val="0"/>
              <w:marBottom w:val="0"/>
              <w:divBdr>
                <w:top w:val="none" w:sz="0" w:space="0" w:color="auto"/>
                <w:left w:val="none" w:sz="0" w:space="0" w:color="auto"/>
                <w:bottom w:val="none" w:sz="0" w:space="0" w:color="auto"/>
                <w:right w:val="none" w:sz="0" w:space="0" w:color="auto"/>
              </w:divBdr>
            </w:div>
            <w:div w:id="295910239">
              <w:marLeft w:val="0"/>
              <w:marRight w:val="0"/>
              <w:marTop w:val="0"/>
              <w:marBottom w:val="0"/>
              <w:divBdr>
                <w:top w:val="none" w:sz="0" w:space="0" w:color="auto"/>
                <w:left w:val="none" w:sz="0" w:space="0" w:color="auto"/>
                <w:bottom w:val="none" w:sz="0" w:space="0" w:color="auto"/>
                <w:right w:val="none" w:sz="0" w:space="0" w:color="auto"/>
              </w:divBdr>
            </w:div>
            <w:div w:id="331103674">
              <w:marLeft w:val="0"/>
              <w:marRight w:val="0"/>
              <w:marTop w:val="0"/>
              <w:marBottom w:val="0"/>
              <w:divBdr>
                <w:top w:val="none" w:sz="0" w:space="0" w:color="auto"/>
                <w:left w:val="none" w:sz="0" w:space="0" w:color="auto"/>
                <w:bottom w:val="none" w:sz="0" w:space="0" w:color="auto"/>
                <w:right w:val="none" w:sz="0" w:space="0" w:color="auto"/>
              </w:divBdr>
            </w:div>
            <w:div w:id="340669947">
              <w:marLeft w:val="0"/>
              <w:marRight w:val="0"/>
              <w:marTop w:val="0"/>
              <w:marBottom w:val="0"/>
              <w:divBdr>
                <w:top w:val="none" w:sz="0" w:space="0" w:color="auto"/>
                <w:left w:val="none" w:sz="0" w:space="0" w:color="auto"/>
                <w:bottom w:val="none" w:sz="0" w:space="0" w:color="auto"/>
                <w:right w:val="none" w:sz="0" w:space="0" w:color="auto"/>
              </w:divBdr>
            </w:div>
            <w:div w:id="358355870">
              <w:marLeft w:val="0"/>
              <w:marRight w:val="0"/>
              <w:marTop w:val="0"/>
              <w:marBottom w:val="0"/>
              <w:divBdr>
                <w:top w:val="none" w:sz="0" w:space="0" w:color="auto"/>
                <w:left w:val="none" w:sz="0" w:space="0" w:color="auto"/>
                <w:bottom w:val="none" w:sz="0" w:space="0" w:color="auto"/>
                <w:right w:val="none" w:sz="0" w:space="0" w:color="auto"/>
              </w:divBdr>
            </w:div>
            <w:div w:id="358703727">
              <w:marLeft w:val="0"/>
              <w:marRight w:val="0"/>
              <w:marTop w:val="0"/>
              <w:marBottom w:val="0"/>
              <w:divBdr>
                <w:top w:val="none" w:sz="0" w:space="0" w:color="auto"/>
                <w:left w:val="none" w:sz="0" w:space="0" w:color="auto"/>
                <w:bottom w:val="none" w:sz="0" w:space="0" w:color="auto"/>
                <w:right w:val="none" w:sz="0" w:space="0" w:color="auto"/>
              </w:divBdr>
            </w:div>
            <w:div w:id="371811177">
              <w:marLeft w:val="0"/>
              <w:marRight w:val="0"/>
              <w:marTop w:val="0"/>
              <w:marBottom w:val="0"/>
              <w:divBdr>
                <w:top w:val="none" w:sz="0" w:space="0" w:color="auto"/>
                <w:left w:val="none" w:sz="0" w:space="0" w:color="auto"/>
                <w:bottom w:val="none" w:sz="0" w:space="0" w:color="auto"/>
                <w:right w:val="none" w:sz="0" w:space="0" w:color="auto"/>
              </w:divBdr>
            </w:div>
            <w:div w:id="385301363">
              <w:marLeft w:val="0"/>
              <w:marRight w:val="0"/>
              <w:marTop w:val="0"/>
              <w:marBottom w:val="0"/>
              <w:divBdr>
                <w:top w:val="none" w:sz="0" w:space="0" w:color="auto"/>
                <w:left w:val="none" w:sz="0" w:space="0" w:color="auto"/>
                <w:bottom w:val="none" w:sz="0" w:space="0" w:color="auto"/>
                <w:right w:val="none" w:sz="0" w:space="0" w:color="auto"/>
              </w:divBdr>
            </w:div>
            <w:div w:id="404912285">
              <w:marLeft w:val="0"/>
              <w:marRight w:val="0"/>
              <w:marTop w:val="0"/>
              <w:marBottom w:val="0"/>
              <w:divBdr>
                <w:top w:val="none" w:sz="0" w:space="0" w:color="auto"/>
                <w:left w:val="none" w:sz="0" w:space="0" w:color="auto"/>
                <w:bottom w:val="none" w:sz="0" w:space="0" w:color="auto"/>
                <w:right w:val="none" w:sz="0" w:space="0" w:color="auto"/>
              </w:divBdr>
            </w:div>
            <w:div w:id="408432044">
              <w:marLeft w:val="0"/>
              <w:marRight w:val="0"/>
              <w:marTop w:val="0"/>
              <w:marBottom w:val="0"/>
              <w:divBdr>
                <w:top w:val="none" w:sz="0" w:space="0" w:color="auto"/>
                <w:left w:val="none" w:sz="0" w:space="0" w:color="auto"/>
                <w:bottom w:val="none" w:sz="0" w:space="0" w:color="auto"/>
                <w:right w:val="none" w:sz="0" w:space="0" w:color="auto"/>
              </w:divBdr>
            </w:div>
            <w:div w:id="410856275">
              <w:marLeft w:val="0"/>
              <w:marRight w:val="0"/>
              <w:marTop w:val="0"/>
              <w:marBottom w:val="0"/>
              <w:divBdr>
                <w:top w:val="none" w:sz="0" w:space="0" w:color="auto"/>
                <w:left w:val="none" w:sz="0" w:space="0" w:color="auto"/>
                <w:bottom w:val="none" w:sz="0" w:space="0" w:color="auto"/>
                <w:right w:val="none" w:sz="0" w:space="0" w:color="auto"/>
              </w:divBdr>
            </w:div>
            <w:div w:id="423573546">
              <w:marLeft w:val="0"/>
              <w:marRight w:val="0"/>
              <w:marTop w:val="0"/>
              <w:marBottom w:val="0"/>
              <w:divBdr>
                <w:top w:val="none" w:sz="0" w:space="0" w:color="auto"/>
                <w:left w:val="none" w:sz="0" w:space="0" w:color="auto"/>
                <w:bottom w:val="none" w:sz="0" w:space="0" w:color="auto"/>
                <w:right w:val="none" w:sz="0" w:space="0" w:color="auto"/>
              </w:divBdr>
            </w:div>
            <w:div w:id="426853947">
              <w:marLeft w:val="0"/>
              <w:marRight w:val="0"/>
              <w:marTop w:val="0"/>
              <w:marBottom w:val="0"/>
              <w:divBdr>
                <w:top w:val="none" w:sz="0" w:space="0" w:color="auto"/>
                <w:left w:val="none" w:sz="0" w:space="0" w:color="auto"/>
                <w:bottom w:val="none" w:sz="0" w:space="0" w:color="auto"/>
                <w:right w:val="none" w:sz="0" w:space="0" w:color="auto"/>
              </w:divBdr>
            </w:div>
            <w:div w:id="458497222">
              <w:marLeft w:val="0"/>
              <w:marRight w:val="0"/>
              <w:marTop w:val="0"/>
              <w:marBottom w:val="0"/>
              <w:divBdr>
                <w:top w:val="none" w:sz="0" w:space="0" w:color="auto"/>
                <w:left w:val="none" w:sz="0" w:space="0" w:color="auto"/>
                <w:bottom w:val="none" w:sz="0" w:space="0" w:color="auto"/>
                <w:right w:val="none" w:sz="0" w:space="0" w:color="auto"/>
              </w:divBdr>
            </w:div>
            <w:div w:id="460269740">
              <w:marLeft w:val="0"/>
              <w:marRight w:val="0"/>
              <w:marTop w:val="0"/>
              <w:marBottom w:val="0"/>
              <w:divBdr>
                <w:top w:val="none" w:sz="0" w:space="0" w:color="auto"/>
                <w:left w:val="none" w:sz="0" w:space="0" w:color="auto"/>
                <w:bottom w:val="none" w:sz="0" w:space="0" w:color="auto"/>
                <w:right w:val="none" w:sz="0" w:space="0" w:color="auto"/>
              </w:divBdr>
            </w:div>
            <w:div w:id="465049458">
              <w:marLeft w:val="0"/>
              <w:marRight w:val="0"/>
              <w:marTop w:val="0"/>
              <w:marBottom w:val="0"/>
              <w:divBdr>
                <w:top w:val="none" w:sz="0" w:space="0" w:color="auto"/>
                <w:left w:val="none" w:sz="0" w:space="0" w:color="auto"/>
                <w:bottom w:val="none" w:sz="0" w:space="0" w:color="auto"/>
                <w:right w:val="none" w:sz="0" w:space="0" w:color="auto"/>
              </w:divBdr>
            </w:div>
            <w:div w:id="479153022">
              <w:marLeft w:val="0"/>
              <w:marRight w:val="0"/>
              <w:marTop w:val="0"/>
              <w:marBottom w:val="0"/>
              <w:divBdr>
                <w:top w:val="none" w:sz="0" w:space="0" w:color="auto"/>
                <w:left w:val="none" w:sz="0" w:space="0" w:color="auto"/>
                <w:bottom w:val="none" w:sz="0" w:space="0" w:color="auto"/>
                <w:right w:val="none" w:sz="0" w:space="0" w:color="auto"/>
              </w:divBdr>
            </w:div>
            <w:div w:id="502093330">
              <w:marLeft w:val="0"/>
              <w:marRight w:val="0"/>
              <w:marTop w:val="0"/>
              <w:marBottom w:val="0"/>
              <w:divBdr>
                <w:top w:val="none" w:sz="0" w:space="0" w:color="auto"/>
                <w:left w:val="none" w:sz="0" w:space="0" w:color="auto"/>
                <w:bottom w:val="none" w:sz="0" w:space="0" w:color="auto"/>
                <w:right w:val="none" w:sz="0" w:space="0" w:color="auto"/>
              </w:divBdr>
            </w:div>
            <w:div w:id="530924475">
              <w:marLeft w:val="0"/>
              <w:marRight w:val="0"/>
              <w:marTop w:val="0"/>
              <w:marBottom w:val="0"/>
              <w:divBdr>
                <w:top w:val="none" w:sz="0" w:space="0" w:color="auto"/>
                <w:left w:val="none" w:sz="0" w:space="0" w:color="auto"/>
                <w:bottom w:val="none" w:sz="0" w:space="0" w:color="auto"/>
                <w:right w:val="none" w:sz="0" w:space="0" w:color="auto"/>
              </w:divBdr>
            </w:div>
            <w:div w:id="540288148">
              <w:marLeft w:val="0"/>
              <w:marRight w:val="0"/>
              <w:marTop w:val="0"/>
              <w:marBottom w:val="0"/>
              <w:divBdr>
                <w:top w:val="none" w:sz="0" w:space="0" w:color="auto"/>
                <w:left w:val="none" w:sz="0" w:space="0" w:color="auto"/>
                <w:bottom w:val="none" w:sz="0" w:space="0" w:color="auto"/>
                <w:right w:val="none" w:sz="0" w:space="0" w:color="auto"/>
              </w:divBdr>
            </w:div>
            <w:div w:id="542794170">
              <w:marLeft w:val="0"/>
              <w:marRight w:val="0"/>
              <w:marTop w:val="0"/>
              <w:marBottom w:val="0"/>
              <w:divBdr>
                <w:top w:val="none" w:sz="0" w:space="0" w:color="auto"/>
                <w:left w:val="none" w:sz="0" w:space="0" w:color="auto"/>
                <w:bottom w:val="none" w:sz="0" w:space="0" w:color="auto"/>
                <w:right w:val="none" w:sz="0" w:space="0" w:color="auto"/>
              </w:divBdr>
            </w:div>
            <w:div w:id="549001246">
              <w:marLeft w:val="0"/>
              <w:marRight w:val="0"/>
              <w:marTop w:val="0"/>
              <w:marBottom w:val="0"/>
              <w:divBdr>
                <w:top w:val="none" w:sz="0" w:space="0" w:color="auto"/>
                <w:left w:val="none" w:sz="0" w:space="0" w:color="auto"/>
                <w:bottom w:val="none" w:sz="0" w:space="0" w:color="auto"/>
                <w:right w:val="none" w:sz="0" w:space="0" w:color="auto"/>
              </w:divBdr>
            </w:div>
            <w:div w:id="562260251">
              <w:marLeft w:val="0"/>
              <w:marRight w:val="0"/>
              <w:marTop w:val="0"/>
              <w:marBottom w:val="0"/>
              <w:divBdr>
                <w:top w:val="none" w:sz="0" w:space="0" w:color="auto"/>
                <w:left w:val="none" w:sz="0" w:space="0" w:color="auto"/>
                <w:bottom w:val="none" w:sz="0" w:space="0" w:color="auto"/>
                <w:right w:val="none" w:sz="0" w:space="0" w:color="auto"/>
              </w:divBdr>
            </w:div>
            <w:div w:id="602569775">
              <w:marLeft w:val="0"/>
              <w:marRight w:val="0"/>
              <w:marTop w:val="0"/>
              <w:marBottom w:val="0"/>
              <w:divBdr>
                <w:top w:val="none" w:sz="0" w:space="0" w:color="auto"/>
                <w:left w:val="none" w:sz="0" w:space="0" w:color="auto"/>
                <w:bottom w:val="none" w:sz="0" w:space="0" w:color="auto"/>
                <w:right w:val="none" w:sz="0" w:space="0" w:color="auto"/>
              </w:divBdr>
            </w:div>
            <w:div w:id="612323697">
              <w:marLeft w:val="0"/>
              <w:marRight w:val="0"/>
              <w:marTop w:val="0"/>
              <w:marBottom w:val="0"/>
              <w:divBdr>
                <w:top w:val="none" w:sz="0" w:space="0" w:color="auto"/>
                <w:left w:val="none" w:sz="0" w:space="0" w:color="auto"/>
                <w:bottom w:val="none" w:sz="0" w:space="0" w:color="auto"/>
                <w:right w:val="none" w:sz="0" w:space="0" w:color="auto"/>
              </w:divBdr>
            </w:div>
            <w:div w:id="618226073">
              <w:marLeft w:val="0"/>
              <w:marRight w:val="0"/>
              <w:marTop w:val="0"/>
              <w:marBottom w:val="0"/>
              <w:divBdr>
                <w:top w:val="none" w:sz="0" w:space="0" w:color="auto"/>
                <w:left w:val="none" w:sz="0" w:space="0" w:color="auto"/>
                <w:bottom w:val="none" w:sz="0" w:space="0" w:color="auto"/>
                <w:right w:val="none" w:sz="0" w:space="0" w:color="auto"/>
              </w:divBdr>
            </w:div>
            <w:div w:id="623729460">
              <w:marLeft w:val="0"/>
              <w:marRight w:val="0"/>
              <w:marTop w:val="0"/>
              <w:marBottom w:val="0"/>
              <w:divBdr>
                <w:top w:val="none" w:sz="0" w:space="0" w:color="auto"/>
                <w:left w:val="none" w:sz="0" w:space="0" w:color="auto"/>
                <w:bottom w:val="none" w:sz="0" w:space="0" w:color="auto"/>
                <w:right w:val="none" w:sz="0" w:space="0" w:color="auto"/>
              </w:divBdr>
            </w:div>
            <w:div w:id="625701934">
              <w:marLeft w:val="0"/>
              <w:marRight w:val="0"/>
              <w:marTop w:val="0"/>
              <w:marBottom w:val="0"/>
              <w:divBdr>
                <w:top w:val="none" w:sz="0" w:space="0" w:color="auto"/>
                <w:left w:val="none" w:sz="0" w:space="0" w:color="auto"/>
                <w:bottom w:val="none" w:sz="0" w:space="0" w:color="auto"/>
                <w:right w:val="none" w:sz="0" w:space="0" w:color="auto"/>
              </w:divBdr>
            </w:div>
            <w:div w:id="626349939">
              <w:marLeft w:val="0"/>
              <w:marRight w:val="0"/>
              <w:marTop w:val="0"/>
              <w:marBottom w:val="0"/>
              <w:divBdr>
                <w:top w:val="none" w:sz="0" w:space="0" w:color="auto"/>
                <w:left w:val="none" w:sz="0" w:space="0" w:color="auto"/>
                <w:bottom w:val="none" w:sz="0" w:space="0" w:color="auto"/>
                <w:right w:val="none" w:sz="0" w:space="0" w:color="auto"/>
              </w:divBdr>
            </w:div>
            <w:div w:id="633103317">
              <w:marLeft w:val="0"/>
              <w:marRight w:val="0"/>
              <w:marTop w:val="0"/>
              <w:marBottom w:val="0"/>
              <w:divBdr>
                <w:top w:val="none" w:sz="0" w:space="0" w:color="auto"/>
                <w:left w:val="none" w:sz="0" w:space="0" w:color="auto"/>
                <w:bottom w:val="none" w:sz="0" w:space="0" w:color="auto"/>
                <w:right w:val="none" w:sz="0" w:space="0" w:color="auto"/>
              </w:divBdr>
            </w:div>
            <w:div w:id="678656214">
              <w:marLeft w:val="0"/>
              <w:marRight w:val="0"/>
              <w:marTop w:val="0"/>
              <w:marBottom w:val="0"/>
              <w:divBdr>
                <w:top w:val="none" w:sz="0" w:space="0" w:color="auto"/>
                <w:left w:val="none" w:sz="0" w:space="0" w:color="auto"/>
                <w:bottom w:val="none" w:sz="0" w:space="0" w:color="auto"/>
                <w:right w:val="none" w:sz="0" w:space="0" w:color="auto"/>
              </w:divBdr>
            </w:div>
            <w:div w:id="682171685">
              <w:marLeft w:val="0"/>
              <w:marRight w:val="0"/>
              <w:marTop w:val="0"/>
              <w:marBottom w:val="0"/>
              <w:divBdr>
                <w:top w:val="none" w:sz="0" w:space="0" w:color="auto"/>
                <w:left w:val="none" w:sz="0" w:space="0" w:color="auto"/>
                <w:bottom w:val="none" w:sz="0" w:space="0" w:color="auto"/>
                <w:right w:val="none" w:sz="0" w:space="0" w:color="auto"/>
              </w:divBdr>
            </w:div>
            <w:div w:id="696270558">
              <w:marLeft w:val="0"/>
              <w:marRight w:val="0"/>
              <w:marTop w:val="0"/>
              <w:marBottom w:val="0"/>
              <w:divBdr>
                <w:top w:val="none" w:sz="0" w:space="0" w:color="auto"/>
                <w:left w:val="none" w:sz="0" w:space="0" w:color="auto"/>
                <w:bottom w:val="none" w:sz="0" w:space="0" w:color="auto"/>
                <w:right w:val="none" w:sz="0" w:space="0" w:color="auto"/>
              </w:divBdr>
            </w:div>
            <w:div w:id="782072818">
              <w:marLeft w:val="0"/>
              <w:marRight w:val="0"/>
              <w:marTop w:val="0"/>
              <w:marBottom w:val="0"/>
              <w:divBdr>
                <w:top w:val="none" w:sz="0" w:space="0" w:color="auto"/>
                <w:left w:val="none" w:sz="0" w:space="0" w:color="auto"/>
                <w:bottom w:val="none" w:sz="0" w:space="0" w:color="auto"/>
                <w:right w:val="none" w:sz="0" w:space="0" w:color="auto"/>
              </w:divBdr>
            </w:div>
            <w:div w:id="810899488">
              <w:marLeft w:val="0"/>
              <w:marRight w:val="0"/>
              <w:marTop w:val="0"/>
              <w:marBottom w:val="0"/>
              <w:divBdr>
                <w:top w:val="none" w:sz="0" w:space="0" w:color="auto"/>
                <w:left w:val="none" w:sz="0" w:space="0" w:color="auto"/>
                <w:bottom w:val="none" w:sz="0" w:space="0" w:color="auto"/>
                <w:right w:val="none" w:sz="0" w:space="0" w:color="auto"/>
              </w:divBdr>
            </w:div>
            <w:div w:id="819078654">
              <w:marLeft w:val="0"/>
              <w:marRight w:val="0"/>
              <w:marTop w:val="0"/>
              <w:marBottom w:val="0"/>
              <w:divBdr>
                <w:top w:val="none" w:sz="0" w:space="0" w:color="auto"/>
                <w:left w:val="none" w:sz="0" w:space="0" w:color="auto"/>
                <w:bottom w:val="none" w:sz="0" w:space="0" w:color="auto"/>
                <w:right w:val="none" w:sz="0" w:space="0" w:color="auto"/>
              </w:divBdr>
            </w:div>
            <w:div w:id="829952545">
              <w:marLeft w:val="0"/>
              <w:marRight w:val="0"/>
              <w:marTop w:val="0"/>
              <w:marBottom w:val="0"/>
              <w:divBdr>
                <w:top w:val="none" w:sz="0" w:space="0" w:color="auto"/>
                <w:left w:val="none" w:sz="0" w:space="0" w:color="auto"/>
                <w:bottom w:val="none" w:sz="0" w:space="0" w:color="auto"/>
                <w:right w:val="none" w:sz="0" w:space="0" w:color="auto"/>
              </w:divBdr>
            </w:div>
            <w:div w:id="842476707">
              <w:marLeft w:val="0"/>
              <w:marRight w:val="0"/>
              <w:marTop w:val="0"/>
              <w:marBottom w:val="0"/>
              <w:divBdr>
                <w:top w:val="none" w:sz="0" w:space="0" w:color="auto"/>
                <w:left w:val="none" w:sz="0" w:space="0" w:color="auto"/>
                <w:bottom w:val="none" w:sz="0" w:space="0" w:color="auto"/>
                <w:right w:val="none" w:sz="0" w:space="0" w:color="auto"/>
              </w:divBdr>
            </w:div>
            <w:div w:id="851335264">
              <w:marLeft w:val="0"/>
              <w:marRight w:val="0"/>
              <w:marTop w:val="0"/>
              <w:marBottom w:val="0"/>
              <w:divBdr>
                <w:top w:val="none" w:sz="0" w:space="0" w:color="auto"/>
                <w:left w:val="none" w:sz="0" w:space="0" w:color="auto"/>
                <w:bottom w:val="none" w:sz="0" w:space="0" w:color="auto"/>
                <w:right w:val="none" w:sz="0" w:space="0" w:color="auto"/>
              </w:divBdr>
            </w:div>
            <w:div w:id="874192215">
              <w:marLeft w:val="0"/>
              <w:marRight w:val="0"/>
              <w:marTop w:val="0"/>
              <w:marBottom w:val="0"/>
              <w:divBdr>
                <w:top w:val="none" w:sz="0" w:space="0" w:color="auto"/>
                <w:left w:val="none" w:sz="0" w:space="0" w:color="auto"/>
                <w:bottom w:val="none" w:sz="0" w:space="0" w:color="auto"/>
                <w:right w:val="none" w:sz="0" w:space="0" w:color="auto"/>
              </w:divBdr>
            </w:div>
            <w:div w:id="891112734">
              <w:marLeft w:val="0"/>
              <w:marRight w:val="0"/>
              <w:marTop w:val="0"/>
              <w:marBottom w:val="0"/>
              <w:divBdr>
                <w:top w:val="none" w:sz="0" w:space="0" w:color="auto"/>
                <w:left w:val="none" w:sz="0" w:space="0" w:color="auto"/>
                <w:bottom w:val="none" w:sz="0" w:space="0" w:color="auto"/>
                <w:right w:val="none" w:sz="0" w:space="0" w:color="auto"/>
              </w:divBdr>
            </w:div>
            <w:div w:id="896553707">
              <w:marLeft w:val="0"/>
              <w:marRight w:val="0"/>
              <w:marTop w:val="0"/>
              <w:marBottom w:val="0"/>
              <w:divBdr>
                <w:top w:val="none" w:sz="0" w:space="0" w:color="auto"/>
                <w:left w:val="none" w:sz="0" w:space="0" w:color="auto"/>
                <w:bottom w:val="none" w:sz="0" w:space="0" w:color="auto"/>
                <w:right w:val="none" w:sz="0" w:space="0" w:color="auto"/>
              </w:divBdr>
            </w:div>
            <w:div w:id="901066276">
              <w:marLeft w:val="0"/>
              <w:marRight w:val="0"/>
              <w:marTop w:val="0"/>
              <w:marBottom w:val="0"/>
              <w:divBdr>
                <w:top w:val="none" w:sz="0" w:space="0" w:color="auto"/>
                <w:left w:val="none" w:sz="0" w:space="0" w:color="auto"/>
                <w:bottom w:val="none" w:sz="0" w:space="0" w:color="auto"/>
                <w:right w:val="none" w:sz="0" w:space="0" w:color="auto"/>
              </w:divBdr>
            </w:div>
            <w:div w:id="905452369">
              <w:marLeft w:val="0"/>
              <w:marRight w:val="0"/>
              <w:marTop w:val="0"/>
              <w:marBottom w:val="0"/>
              <w:divBdr>
                <w:top w:val="none" w:sz="0" w:space="0" w:color="auto"/>
                <w:left w:val="none" w:sz="0" w:space="0" w:color="auto"/>
                <w:bottom w:val="none" w:sz="0" w:space="0" w:color="auto"/>
                <w:right w:val="none" w:sz="0" w:space="0" w:color="auto"/>
              </w:divBdr>
            </w:div>
            <w:div w:id="935793905">
              <w:marLeft w:val="0"/>
              <w:marRight w:val="0"/>
              <w:marTop w:val="0"/>
              <w:marBottom w:val="0"/>
              <w:divBdr>
                <w:top w:val="none" w:sz="0" w:space="0" w:color="auto"/>
                <w:left w:val="none" w:sz="0" w:space="0" w:color="auto"/>
                <w:bottom w:val="none" w:sz="0" w:space="0" w:color="auto"/>
                <w:right w:val="none" w:sz="0" w:space="0" w:color="auto"/>
              </w:divBdr>
            </w:div>
            <w:div w:id="945619002">
              <w:marLeft w:val="0"/>
              <w:marRight w:val="0"/>
              <w:marTop w:val="0"/>
              <w:marBottom w:val="0"/>
              <w:divBdr>
                <w:top w:val="none" w:sz="0" w:space="0" w:color="auto"/>
                <w:left w:val="none" w:sz="0" w:space="0" w:color="auto"/>
                <w:bottom w:val="none" w:sz="0" w:space="0" w:color="auto"/>
                <w:right w:val="none" w:sz="0" w:space="0" w:color="auto"/>
              </w:divBdr>
            </w:div>
            <w:div w:id="967902202">
              <w:marLeft w:val="0"/>
              <w:marRight w:val="0"/>
              <w:marTop w:val="0"/>
              <w:marBottom w:val="0"/>
              <w:divBdr>
                <w:top w:val="none" w:sz="0" w:space="0" w:color="auto"/>
                <w:left w:val="none" w:sz="0" w:space="0" w:color="auto"/>
                <w:bottom w:val="none" w:sz="0" w:space="0" w:color="auto"/>
                <w:right w:val="none" w:sz="0" w:space="0" w:color="auto"/>
              </w:divBdr>
            </w:div>
            <w:div w:id="980960169">
              <w:marLeft w:val="0"/>
              <w:marRight w:val="0"/>
              <w:marTop w:val="0"/>
              <w:marBottom w:val="0"/>
              <w:divBdr>
                <w:top w:val="none" w:sz="0" w:space="0" w:color="auto"/>
                <w:left w:val="none" w:sz="0" w:space="0" w:color="auto"/>
                <w:bottom w:val="none" w:sz="0" w:space="0" w:color="auto"/>
                <w:right w:val="none" w:sz="0" w:space="0" w:color="auto"/>
              </w:divBdr>
            </w:div>
            <w:div w:id="994450339">
              <w:marLeft w:val="0"/>
              <w:marRight w:val="0"/>
              <w:marTop w:val="0"/>
              <w:marBottom w:val="0"/>
              <w:divBdr>
                <w:top w:val="none" w:sz="0" w:space="0" w:color="auto"/>
                <w:left w:val="none" w:sz="0" w:space="0" w:color="auto"/>
                <w:bottom w:val="none" w:sz="0" w:space="0" w:color="auto"/>
                <w:right w:val="none" w:sz="0" w:space="0" w:color="auto"/>
              </w:divBdr>
            </w:div>
            <w:div w:id="998459572">
              <w:marLeft w:val="0"/>
              <w:marRight w:val="0"/>
              <w:marTop w:val="0"/>
              <w:marBottom w:val="0"/>
              <w:divBdr>
                <w:top w:val="none" w:sz="0" w:space="0" w:color="auto"/>
                <w:left w:val="none" w:sz="0" w:space="0" w:color="auto"/>
                <w:bottom w:val="none" w:sz="0" w:space="0" w:color="auto"/>
                <w:right w:val="none" w:sz="0" w:space="0" w:color="auto"/>
              </w:divBdr>
            </w:div>
            <w:div w:id="1003509127">
              <w:marLeft w:val="0"/>
              <w:marRight w:val="0"/>
              <w:marTop w:val="0"/>
              <w:marBottom w:val="0"/>
              <w:divBdr>
                <w:top w:val="none" w:sz="0" w:space="0" w:color="auto"/>
                <w:left w:val="none" w:sz="0" w:space="0" w:color="auto"/>
                <w:bottom w:val="none" w:sz="0" w:space="0" w:color="auto"/>
                <w:right w:val="none" w:sz="0" w:space="0" w:color="auto"/>
              </w:divBdr>
            </w:div>
            <w:div w:id="1006395590">
              <w:marLeft w:val="0"/>
              <w:marRight w:val="0"/>
              <w:marTop w:val="0"/>
              <w:marBottom w:val="0"/>
              <w:divBdr>
                <w:top w:val="none" w:sz="0" w:space="0" w:color="auto"/>
                <w:left w:val="none" w:sz="0" w:space="0" w:color="auto"/>
                <w:bottom w:val="none" w:sz="0" w:space="0" w:color="auto"/>
                <w:right w:val="none" w:sz="0" w:space="0" w:color="auto"/>
              </w:divBdr>
            </w:div>
            <w:div w:id="1011688408">
              <w:marLeft w:val="0"/>
              <w:marRight w:val="0"/>
              <w:marTop w:val="0"/>
              <w:marBottom w:val="0"/>
              <w:divBdr>
                <w:top w:val="none" w:sz="0" w:space="0" w:color="auto"/>
                <w:left w:val="none" w:sz="0" w:space="0" w:color="auto"/>
                <w:bottom w:val="none" w:sz="0" w:space="0" w:color="auto"/>
                <w:right w:val="none" w:sz="0" w:space="0" w:color="auto"/>
              </w:divBdr>
            </w:div>
            <w:div w:id="1012948146">
              <w:marLeft w:val="0"/>
              <w:marRight w:val="0"/>
              <w:marTop w:val="0"/>
              <w:marBottom w:val="0"/>
              <w:divBdr>
                <w:top w:val="none" w:sz="0" w:space="0" w:color="auto"/>
                <w:left w:val="none" w:sz="0" w:space="0" w:color="auto"/>
                <w:bottom w:val="none" w:sz="0" w:space="0" w:color="auto"/>
                <w:right w:val="none" w:sz="0" w:space="0" w:color="auto"/>
              </w:divBdr>
            </w:div>
            <w:div w:id="1092628903">
              <w:marLeft w:val="0"/>
              <w:marRight w:val="0"/>
              <w:marTop w:val="0"/>
              <w:marBottom w:val="0"/>
              <w:divBdr>
                <w:top w:val="none" w:sz="0" w:space="0" w:color="auto"/>
                <w:left w:val="none" w:sz="0" w:space="0" w:color="auto"/>
                <w:bottom w:val="none" w:sz="0" w:space="0" w:color="auto"/>
                <w:right w:val="none" w:sz="0" w:space="0" w:color="auto"/>
              </w:divBdr>
            </w:div>
            <w:div w:id="1103109399">
              <w:marLeft w:val="0"/>
              <w:marRight w:val="0"/>
              <w:marTop w:val="0"/>
              <w:marBottom w:val="0"/>
              <w:divBdr>
                <w:top w:val="none" w:sz="0" w:space="0" w:color="auto"/>
                <w:left w:val="none" w:sz="0" w:space="0" w:color="auto"/>
                <w:bottom w:val="none" w:sz="0" w:space="0" w:color="auto"/>
                <w:right w:val="none" w:sz="0" w:space="0" w:color="auto"/>
              </w:divBdr>
            </w:div>
            <w:div w:id="1118379641">
              <w:marLeft w:val="0"/>
              <w:marRight w:val="0"/>
              <w:marTop w:val="0"/>
              <w:marBottom w:val="0"/>
              <w:divBdr>
                <w:top w:val="none" w:sz="0" w:space="0" w:color="auto"/>
                <w:left w:val="none" w:sz="0" w:space="0" w:color="auto"/>
                <w:bottom w:val="none" w:sz="0" w:space="0" w:color="auto"/>
                <w:right w:val="none" w:sz="0" w:space="0" w:color="auto"/>
              </w:divBdr>
            </w:div>
            <w:div w:id="1148401707">
              <w:marLeft w:val="0"/>
              <w:marRight w:val="0"/>
              <w:marTop w:val="0"/>
              <w:marBottom w:val="0"/>
              <w:divBdr>
                <w:top w:val="none" w:sz="0" w:space="0" w:color="auto"/>
                <w:left w:val="none" w:sz="0" w:space="0" w:color="auto"/>
                <w:bottom w:val="none" w:sz="0" w:space="0" w:color="auto"/>
                <w:right w:val="none" w:sz="0" w:space="0" w:color="auto"/>
              </w:divBdr>
            </w:div>
            <w:div w:id="1152284595">
              <w:marLeft w:val="0"/>
              <w:marRight w:val="0"/>
              <w:marTop w:val="0"/>
              <w:marBottom w:val="0"/>
              <w:divBdr>
                <w:top w:val="none" w:sz="0" w:space="0" w:color="auto"/>
                <w:left w:val="none" w:sz="0" w:space="0" w:color="auto"/>
                <w:bottom w:val="none" w:sz="0" w:space="0" w:color="auto"/>
                <w:right w:val="none" w:sz="0" w:space="0" w:color="auto"/>
              </w:divBdr>
            </w:div>
            <w:div w:id="1157962138">
              <w:marLeft w:val="0"/>
              <w:marRight w:val="0"/>
              <w:marTop w:val="0"/>
              <w:marBottom w:val="0"/>
              <w:divBdr>
                <w:top w:val="none" w:sz="0" w:space="0" w:color="auto"/>
                <w:left w:val="none" w:sz="0" w:space="0" w:color="auto"/>
                <w:bottom w:val="none" w:sz="0" w:space="0" w:color="auto"/>
                <w:right w:val="none" w:sz="0" w:space="0" w:color="auto"/>
              </w:divBdr>
            </w:div>
            <w:div w:id="1178425371">
              <w:marLeft w:val="0"/>
              <w:marRight w:val="0"/>
              <w:marTop w:val="0"/>
              <w:marBottom w:val="0"/>
              <w:divBdr>
                <w:top w:val="none" w:sz="0" w:space="0" w:color="auto"/>
                <w:left w:val="none" w:sz="0" w:space="0" w:color="auto"/>
                <w:bottom w:val="none" w:sz="0" w:space="0" w:color="auto"/>
                <w:right w:val="none" w:sz="0" w:space="0" w:color="auto"/>
              </w:divBdr>
            </w:div>
            <w:div w:id="1206216806">
              <w:marLeft w:val="0"/>
              <w:marRight w:val="0"/>
              <w:marTop w:val="0"/>
              <w:marBottom w:val="0"/>
              <w:divBdr>
                <w:top w:val="none" w:sz="0" w:space="0" w:color="auto"/>
                <w:left w:val="none" w:sz="0" w:space="0" w:color="auto"/>
                <w:bottom w:val="none" w:sz="0" w:space="0" w:color="auto"/>
                <w:right w:val="none" w:sz="0" w:space="0" w:color="auto"/>
              </w:divBdr>
            </w:div>
            <w:div w:id="1223248083">
              <w:marLeft w:val="0"/>
              <w:marRight w:val="0"/>
              <w:marTop w:val="0"/>
              <w:marBottom w:val="0"/>
              <w:divBdr>
                <w:top w:val="none" w:sz="0" w:space="0" w:color="auto"/>
                <w:left w:val="none" w:sz="0" w:space="0" w:color="auto"/>
                <w:bottom w:val="none" w:sz="0" w:space="0" w:color="auto"/>
                <w:right w:val="none" w:sz="0" w:space="0" w:color="auto"/>
              </w:divBdr>
            </w:div>
            <w:div w:id="1224095588">
              <w:marLeft w:val="0"/>
              <w:marRight w:val="0"/>
              <w:marTop w:val="0"/>
              <w:marBottom w:val="0"/>
              <w:divBdr>
                <w:top w:val="none" w:sz="0" w:space="0" w:color="auto"/>
                <w:left w:val="none" w:sz="0" w:space="0" w:color="auto"/>
                <w:bottom w:val="none" w:sz="0" w:space="0" w:color="auto"/>
                <w:right w:val="none" w:sz="0" w:space="0" w:color="auto"/>
              </w:divBdr>
            </w:div>
            <w:div w:id="1233156508">
              <w:marLeft w:val="0"/>
              <w:marRight w:val="0"/>
              <w:marTop w:val="0"/>
              <w:marBottom w:val="0"/>
              <w:divBdr>
                <w:top w:val="none" w:sz="0" w:space="0" w:color="auto"/>
                <w:left w:val="none" w:sz="0" w:space="0" w:color="auto"/>
                <w:bottom w:val="none" w:sz="0" w:space="0" w:color="auto"/>
                <w:right w:val="none" w:sz="0" w:space="0" w:color="auto"/>
              </w:divBdr>
            </w:div>
            <w:div w:id="1250578888">
              <w:marLeft w:val="0"/>
              <w:marRight w:val="0"/>
              <w:marTop w:val="0"/>
              <w:marBottom w:val="0"/>
              <w:divBdr>
                <w:top w:val="none" w:sz="0" w:space="0" w:color="auto"/>
                <w:left w:val="none" w:sz="0" w:space="0" w:color="auto"/>
                <w:bottom w:val="none" w:sz="0" w:space="0" w:color="auto"/>
                <w:right w:val="none" w:sz="0" w:space="0" w:color="auto"/>
              </w:divBdr>
            </w:div>
            <w:div w:id="1251934248">
              <w:marLeft w:val="0"/>
              <w:marRight w:val="0"/>
              <w:marTop w:val="0"/>
              <w:marBottom w:val="0"/>
              <w:divBdr>
                <w:top w:val="none" w:sz="0" w:space="0" w:color="auto"/>
                <w:left w:val="none" w:sz="0" w:space="0" w:color="auto"/>
                <w:bottom w:val="none" w:sz="0" w:space="0" w:color="auto"/>
                <w:right w:val="none" w:sz="0" w:space="0" w:color="auto"/>
              </w:divBdr>
            </w:div>
            <w:div w:id="1252468303">
              <w:marLeft w:val="0"/>
              <w:marRight w:val="0"/>
              <w:marTop w:val="0"/>
              <w:marBottom w:val="0"/>
              <w:divBdr>
                <w:top w:val="none" w:sz="0" w:space="0" w:color="auto"/>
                <w:left w:val="none" w:sz="0" w:space="0" w:color="auto"/>
                <w:bottom w:val="none" w:sz="0" w:space="0" w:color="auto"/>
                <w:right w:val="none" w:sz="0" w:space="0" w:color="auto"/>
              </w:divBdr>
            </w:div>
            <w:div w:id="1283196560">
              <w:marLeft w:val="0"/>
              <w:marRight w:val="0"/>
              <w:marTop w:val="0"/>
              <w:marBottom w:val="0"/>
              <w:divBdr>
                <w:top w:val="none" w:sz="0" w:space="0" w:color="auto"/>
                <w:left w:val="none" w:sz="0" w:space="0" w:color="auto"/>
                <w:bottom w:val="none" w:sz="0" w:space="0" w:color="auto"/>
                <w:right w:val="none" w:sz="0" w:space="0" w:color="auto"/>
              </w:divBdr>
            </w:div>
            <w:div w:id="1288583374">
              <w:marLeft w:val="0"/>
              <w:marRight w:val="0"/>
              <w:marTop w:val="0"/>
              <w:marBottom w:val="0"/>
              <w:divBdr>
                <w:top w:val="none" w:sz="0" w:space="0" w:color="auto"/>
                <w:left w:val="none" w:sz="0" w:space="0" w:color="auto"/>
                <w:bottom w:val="none" w:sz="0" w:space="0" w:color="auto"/>
                <w:right w:val="none" w:sz="0" w:space="0" w:color="auto"/>
              </w:divBdr>
            </w:div>
            <w:div w:id="1289512833">
              <w:marLeft w:val="0"/>
              <w:marRight w:val="0"/>
              <w:marTop w:val="0"/>
              <w:marBottom w:val="0"/>
              <w:divBdr>
                <w:top w:val="none" w:sz="0" w:space="0" w:color="auto"/>
                <w:left w:val="none" w:sz="0" w:space="0" w:color="auto"/>
                <w:bottom w:val="none" w:sz="0" w:space="0" w:color="auto"/>
                <w:right w:val="none" w:sz="0" w:space="0" w:color="auto"/>
              </w:divBdr>
            </w:div>
            <w:div w:id="1314410800">
              <w:marLeft w:val="0"/>
              <w:marRight w:val="0"/>
              <w:marTop w:val="0"/>
              <w:marBottom w:val="0"/>
              <w:divBdr>
                <w:top w:val="none" w:sz="0" w:space="0" w:color="auto"/>
                <w:left w:val="none" w:sz="0" w:space="0" w:color="auto"/>
                <w:bottom w:val="none" w:sz="0" w:space="0" w:color="auto"/>
                <w:right w:val="none" w:sz="0" w:space="0" w:color="auto"/>
              </w:divBdr>
            </w:div>
            <w:div w:id="1326662906">
              <w:marLeft w:val="0"/>
              <w:marRight w:val="0"/>
              <w:marTop w:val="0"/>
              <w:marBottom w:val="0"/>
              <w:divBdr>
                <w:top w:val="none" w:sz="0" w:space="0" w:color="auto"/>
                <w:left w:val="none" w:sz="0" w:space="0" w:color="auto"/>
                <w:bottom w:val="none" w:sz="0" w:space="0" w:color="auto"/>
                <w:right w:val="none" w:sz="0" w:space="0" w:color="auto"/>
              </w:divBdr>
            </w:div>
            <w:div w:id="1350719430">
              <w:marLeft w:val="0"/>
              <w:marRight w:val="0"/>
              <w:marTop w:val="0"/>
              <w:marBottom w:val="0"/>
              <w:divBdr>
                <w:top w:val="none" w:sz="0" w:space="0" w:color="auto"/>
                <w:left w:val="none" w:sz="0" w:space="0" w:color="auto"/>
                <w:bottom w:val="none" w:sz="0" w:space="0" w:color="auto"/>
                <w:right w:val="none" w:sz="0" w:space="0" w:color="auto"/>
              </w:divBdr>
            </w:div>
            <w:div w:id="1368137445">
              <w:marLeft w:val="0"/>
              <w:marRight w:val="0"/>
              <w:marTop w:val="0"/>
              <w:marBottom w:val="0"/>
              <w:divBdr>
                <w:top w:val="none" w:sz="0" w:space="0" w:color="auto"/>
                <w:left w:val="none" w:sz="0" w:space="0" w:color="auto"/>
                <w:bottom w:val="none" w:sz="0" w:space="0" w:color="auto"/>
                <w:right w:val="none" w:sz="0" w:space="0" w:color="auto"/>
              </w:divBdr>
            </w:div>
            <w:div w:id="1393848100">
              <w:marLeft w:val="0"/>
              <w:marRight w:val="0"/>
              <w:marTop w:val="0"/>
              <w:marBottom w:val="0"/>
              <w:divBdr>
                <w:top w:val="none" w:sz="0" w:space="0" w:color="auto"/>
                <w:left w:val="none" w:sz="0" w:space="0" w:color="auto"/>
                <w:bottom w:val="none" w:sz="0" w:space="0" w:color="auto"/>
                <w:right w:val="none" w:sz="0" w:space="0" w:color="auto"/>
              </w:divBdr>
            </w:div>
            <w:div w:id="1398432286">
              <w:marLeft w:val="0"/>
              <w:marRight w:val="0"/>
              <w:marTop w:val="0"/>
              <w:marBottom w:val="0"/>
              <w:divBdr>
                <w:top w:val="none" w:sz="0" w:space="0" w:color="auto"/>
                <w:left w:val="none" w:sz="0" w:space="0" w:color="auto"/>
                <w:bottom w:val="none" w:sz="0" w:space="0" w:color="auto"/>
                <w:right w:val="none" w:sz="0" w:space="0" w:color="auto"/>
              </w:divBdr>
            </w:div>
            <w:div w:id="1431974413">
              <w:marLeft w:val="0"/>
              <w:marRight w:val="0"/>
              <w:marTop w:val="0"/>
              <w:marBottom w:val="0"/>
              <w:divBdr>
                <w:top w:val="none" w:sz="0" w:space="0" w:color="auto"/>
                <w:left w:val="none" w:sz="0" w:space="0" w:color="auto"/>
                <w:bottom w:val="none" w:sz="0" w:space="0" w:color="auto"/>
                <w:right w:val="none" w:sz="0" w:space="0" w:color="auto"/>
              </w:divBdr>
            </w:div>
            <w:div w:id="1452437794">
              <w:marLeft w:val="0"/>
              <w:marRight w:val="0"/>
              <w:marTop w:val="0"/>
              <w:marBottom w:val="0"/>
              <w:divBdr>
                <w:top w:val="none" w:sz="0" w:space="0" w:color="auto"/>
                <w:left w:val="none" w:sz="0" w:space="0" w:color="auto"/>
                <w:bottom w:val="none" w:sz="0" w:space="0" w:color="auto"/>
                <w:right w:val="none" w:sz="0" w:space="0" w:color="auto"/>
              </w:divBdr>
            </w:div>
            <w:div w:id="1481341131">
              <w:marLeft w:val="0"/>
              <w:marRight w:val="0"/>
              <w:marTop w:val="0"/>
              <w:marBottom w:val="0"/>
              <w:divBdr>
                <w:top w:val="none" w:sz="0" w:space="0" w:color="auto"/>
                <w:left w:val="none" w:sz="0" w:space="0" w:color="auto"/>
                <w:bottom w:val="none" w:sz="0" w:space="0" w:color="auto"/>
                <w:right w:val="none" w:sz="0" w:space="0" w:color="auto"/>
              </w:divBdr>
            </w:div>
            <w:div w:id="1494834908">
              <w:marLeft w:val="0"/>
              <w:marRight w:val="0"/>
              <w:marTop w:val="0"/>
              <w:marBottom w:val="0"/>
              <w:divBdr>
                <w:top w:val="none" w:sz="0" w:space="0" w:color="auto"/>
                <w:left w:val="none" w:sz="0" w:space="0" w:color="auto"/>
                <w:bottom w:val="none" w:sz="0" w:space="0" w:color="auto"/>
                <w:right w:val="none" w:sz="0" w:space="0" w:color="auto"/>
              </w:divBdr>
            </w:div>
            <w:div w:id="1512528028">
              <w:marLeft w:val="0"/>
              <w:marRight w:val="0"/>
              <w:marTop w:val="0"/>
              <w:marBottom w:val="0"/>
              <w:divBdr>
                <w:top w:val="none" w:sz="0" w:space="0" w:color="auto"/>
                <w:left w:val="none" w:sz="0" w:space="0" w:color="auto"/>
                <w:bottom w:val="none" w:sz="0" w:space="0" w:color="auto"/>
                <w:right w:val="none" w:sz="0" w:space="0" w:color="auto"/>
              </w:divBdr>
            </w:div>
            <w:div w:id="1545941836">
              <w:marLeft w:val="0"/>
              <w:marRight w:val="0"/>
              <w:marTop w:val="0"/>
              <w:marBottom w:val="0"/>
              <w:divBdr>
                <w:top w:val="none" w:sz="0" w:space="0" w:color="auto"/>
                <w:left w:val="none" w:sz="0" w:space="0" w:color="auto"/>
                <w:bottom w:val="none" w:sz="0" w:space="0" w:color="auto"/>
                <w:right w:val="none" w:sz="0" w:space="0" w:color="auto"/>
              </w:divBdr>
            </w:div>
            <w:div w:id="1566648846">
              <w:marLeft w:val="0"/>
              <w:marRight w:val="0"/>
              <w:marTop w:val="0"/>
              <w:marBottom w:val="0"/>
              <w:divBdr>
                <w:top w:val="none" w:sz="0" w:space="0" w:color="auto"/>
                <w:left w:val="none" w:sz="0" w:space="0" w:color="auto"/>
                <w:bottom w:val="none" w:sz="0" w:space="0" w:color="auto"/>
                <w:right w:val="none" w:sz="0" w:space="0" w:color="auto"/>
              </w:divBdr>
            </w:div>
            <w:div w:id="1569267874">
              <w:marLeft w:val="0"/>
              <w:marRight w:val="0"/>
              <w:marTop w:val="0"/>
              <w:marBottom w:val="0"/>
              <w:divBdr>
                <w:top w:val="none" w:sz="0" w:space="0" w:color="auto"/>
                <w:left w:val="none" w:sz="0" w:space="0" w:color="auto"/>
                <w:bottom w:val="none" w:sz="0" w:space="0" w:color="auto"/>
                <w:right w:val="none" w:sz="0" w:space="0" w:color="auto"/>
              </w:divBdr>
            </w:div>
            <w:div w:id="1576159092">
              <w:marLeft w:val="0"/>
              <w:marRight w:val="0"/>
              <w:marTop w:val="0"/>
              <w:marBottom w:val="0"/>
              <w:divBdr>
                <w:top w:val="none" w:sz="0" w:space="0" w:color="auto"/>
                <w:left w:val="none" w:sz="0" w:space="0" w:color="auto"/>
                <w:bottom w:val="none" w:sz="0" w:space="0" w:color="auto"/>
                <w:right w:val="none" w:sz="0" w:space="0" w:color="auto"/>
              </w:divBdr>
            </w:div>
            <w:div w:id="1580753945">
              <w:marLeft w:val="0"/>
              <w:marRight w:val="0"/>
              <w:marTop w:val="0"/>
              <w:marBottom w:val="0"/>
              <w:divBdr>
                <w:top w:val="none" w:sz="0" w:space="0" w:color="auto"/>
                <w:left w:val="none" w:sz="0" w:space="0" w:color="auto"/>
                <w:bottom w:val="none" w:sz="0" w:space="0" w:color="auto"/>
                <w:right w:val="none" w:sz="0" w:space="0" w:color="auto"/>
              </w:divBdr>
            </w:div>
            <w:div w:id="1583875952">
              <w:marLeft w:val="0"/>
              <w:marRight w:val="0"/>
              <w:marTop w:val="0"/>
              <w:marBottom w:val="0"/>
              <w:divBdr>
                <w:top w:val="none" w:sz="0" w:space="0" w:color="auto"/>
                <w:left w:val="none" w:sz="0" w:space="0" w:color="auto"/>
                <w:bottom w:val="none" w:sz="0" w:space="0" w:color="auto"/>
                <w:right w:val="none" w:sz="0" w:space="0" w:color="auto"/>
              </w:divBdr>
            </w:div>
            <w:div w:id="1610621990">
              <w:marLeft w:val="0"/>
              <w:marRight w:val="0"/>
              <w:marTop w:val="0"/>
              <w:marBottom w:val="0"/>
              <w:divBdr>
                <w:top w:val="none" w:sz="0" w:space="0" w:color="auto"/>
                <w:left w:val="none" w:sz="0" w:space="0" w:color="auto"/>
                <w:bottom w:val="none" w:sz="0" w:space="0" w:color="auto"/>
                <w:right w:val="none" w:sz="0" w:space="0" w:color="auto"/>
              </w:divBdr>
            </w:div>
            <w:div w:id="1615288842">
              <w:marLeft w:val="0"/>
              <w:marRight w:val="0"/>
              <w:marTop w:val="0"/>
              <w:marBottom w:val="0"/>
              <w:divBdr>
                <w:top w:val="none" w:sz="0" w:space="0" w:color="auto"/>
                <w:left w:val="none" w:sz="0" w:space="0" w:color="auto"/>
                <w:bottom w:val="none" w:sz="0" w:space="0" w:color="auto"/>
                <w:right w:val="none" w:sz="0" w:space="0" w:color="auto"/>
              </w:divBdr>
            </w:div>
            <w:div w:id="1636523859">
              <w:marLeft w:val="0"/>
              <w:marRight w:val="0"/>
              <w:marTop w:val="0"/>
              <w:marBottom w:val="0"/>
              <w:divBdr>
                <w:top w:val="none" w:sz="0" w:space="0" w:color="auto"/>
                <w:left w:val="none" w:sz="0" w:space="0" w:color="auto"/>
                <w:bottom w:val="none" w:sz="0" w:space="0" w:color="auto"/>
                <w:right w:val="none" w:sz="0" w:space="0" w:color="auto"/>
              </w:divBdr>
            </w:div>
            <w:div w:id="1645308898">
              <w:marLeft w:val="0"/>
              <w:marRight w:val="0"/>
              <w:marTop w:val="0"/>
              <w:marBottom w:val="0"/>
              <w:divBdr>
                <w:top w:val="none" w:sz="0" w:space="0" w:color="auto"/>
                <w:left w:val="none" w:sz="0" w:space="0" w:color="auto"/>
                <w:bottom w:val="none" w:sz="0" w:space="0" w:color="auto"/>
                <w:right w:val="none" w:sz="0" w:space="0" w:color="auto"/>
              </w:divBdr>
            </w:div>
            <w:div w:id="1649744048">
              <w:marLeft w:val="0"/>
              <w:marRight w:val="0"/>
              <w:marTop w:val="0"/>
              <w:marBottom w:val="0"/>
              <w:divBdr>
                <w:top w:val="none" w:sz="0" w:space="0" w:color="auto"/>
                <w:left w:val="none" w:sz="0" w:space="0" w:color="auto"/>
                <w:bottom w:val="none" w:sz="0" w:space="0" w:color="auto"/>
                <w:right w:val="none" w:sz="0" w:space="0" w:color="auto"/>
              </w:divBdr>
            </w:div>
            <w:div w:id="1679698143">
              <w:marLeft w:val="0"/>
              <w:marRight w:val="0"/>
              <w:marTop w:val="0"/>
              <w:marBottom w:val="0"/>
              <w:divBdr>
                <w:top w:val="none" w:sz="0" w:space="0" w:color="auto"/>
                <w:left w:val="none" w:sz="0" w:space="0" w:color="auto"/>
                <w:bottom w:val="none" w:sz="0" w:space="0" w:color="auto"/>
                <w:right w:val="none" w:sz="0" w:space="0" w:color="auto"/>
              </w:divBdr>
            </w:div>
            <w:div w:id="1705210164">
              <w:marLeft w:val="0"/>
              <w:marRight w:val="0"/>
              <w:marTop w:val="0"/>
              <w:marBottom w:val="0"/>
              <w:divBdr>
                <w:top w:val="none" w:sz="0" w:space="0" w:color="auto"/>
                <w:left w:val="none" w:sz="0" w:space="0" w:color="auto"/>
                <w:bottom w:val="none" w:sz="0" w:space="0" w:color="auto"/>
                <w:right w:val="none" w:sz="0" w:space="0" w:color="auto"/>
              </w:divBdr>
            </w:div>
            <w:div w:id="1709837664">
              <w:marLeft w:val="0"/>
              <w:marRight w:val="0"/>
              <w:marTop w:val="0"/>
              <w:marBottom w:val="0"/>
              <w:divBdr>
                <w:top w:val="none" w:sz="0" w:space="0" w:color="auto"/>
                <w:left w:val="none" w:sz="0" w:space="0" w:color="auto"/>
                <w:bottom w:val="none" w:sz="0" w:space="0" w:color="auto"/>
                <w:right w:val="none" w:sz="0" w:space="0" w:color="auto"/>
              </w:divBdr>
            </w:div>
            <w:div w:id="1758600261">
              <w:marLeft w:val="0"/>
              <w:marRight w:val="0"/>
              <w:marTop w:val="0"/>
              <w:marBottom w:val="0"/>
              <w:divBdr>
                <w:top w:val="none" w:sz="0" w:space="0" w:color="auto"/>
                <w:left w:val="none" w:sz="0" w:space="0" w:color="auto"/>
                <w:bottom w:val="none" w:sz="0" w:space="0" w:color="auto"/>
                <w:right w:val="none" w:sz="0" w:space="0" w:color="auto"/>
              </w:divBdr>
            </w:div>
            <w:div w:id="1771849054">
              <w:marLeft w:val="0"/>
              <w:marRight w:val="0"/>
              <w:marTop w:val="0"/>
              <w:marBottom w:val="0"/>
              <w:divBdr>
                <w:top w:val="none" w:sz="0" w:space="0" w:color="auto"/>
                <w:left w:val="none" w:sz="0" w:space="0" w:color="auto"/>
                <w:bottom w:val="none" w:sz="0" w:space="0" w:color="auto"/>
                <w:right w:val="none" w:sz="0" w:space="0" w:color="auto"/>
              </w:divBdr>
            </w:div>
            <w:div w:id="1774134063">
              <w:marLeft w:val="0"/>
              <w:marRight w:val="0"/>
              <w:marTop w:val="0"/>
              <w:marBottom w:val="0"/>
              <w:divBdr>
                <w:top w:val="none" w:sz="0" w:space="0" w:color="auto"/>
                <w:left w:val="none" w:sz="0" w:space="0" w:color="auto"/>
                <w:bottom w:val="none" w:sz="0" w:space="0" w:color="auto"/>
                <w:right w:val="none" w:sz="0" w:space="0" w:color="auto"/>
              </w:divBdr>
            </w:div>
            <w:div w:id="1784500933">
              <w:marLeft w:val="0"/>
              <w:marRight w:val="0"/>
              <w:marTop w:val="0"/>
              <w:marBottom w:val="0"/>
              <w:divBdr>
                <w:top w:val="none" w:sz="0" w:space="0" w:color="auto"/>
                <w:left w:val="none" w:sz="0" w:space="0" w:color="auto"/>
                <w:bottom w:val="none" w:sz="0" w:space="0" w:color="auto"/>
                <w:right w:val="none" w:sz="0" w:space="0" w:color="auto"/>
              </w:divBdr>
            </w:div>
            <w:div w:id="1786727459">
              <w:marLeft w:val="0"/>
              <w:marRight w:val="0"/>
              <w:marTop w:val="0"/>
              <w:marBottom w:val="0"/>
              <w:divBdr>
                <w:top w:val="none" w:sz="0" w:space="0" w:color="auto"/>
                <w:left w:val="none" w:sz="0" w:space="0" w:color="auto"/>
                <w:bottom w:val="none" w:sz="0" w:space="0" w:color="auto"/>
                <w:right w:val="none" w:sz="0" w:space="0" w:color="auto"/>
              </w:divBdr>
            </w:div>
            <w:div w:id="1792549546">
              <w:marLeft w:val="0"/>
              <w:marRight w:val="0"/>
              <w:marTop w:val="0"/>
              <w:marBottom w:val="0"/>
              <w:divBdr>
                <w:top w:val="none" w:sz="0" w:space="0" w:color="auto"/>
                <w:left w:val="none" w:sz="0" w:space="0" w:color="auto"/>
                <w:bottom w:val="none" w:sz="0" w:space="0" w:color="auto"/>
                <w:right w:val="none" w:sz="0" w:space="0" w:color="auto"/>
              </w:divBdr>
            </w:div>
            <w:div w:id="1812555899">
              <w:marLeft w:val="0"/>
              <w:marRight w:val="0"/>
              <w:marTop w:val="0"/>
              <w:marBottom w:val="0"/>
              <w:divBdr>
                <w:top w:val="none" w:sz="0" w:space="0" w:color="auto"/>
                <w:left w:val="none" w:sz="0" w:space="0" w:color="auto"/>
                <w:bottom w:val="none" w:sz="0" w:space="0" w:color="auto"/>
                <w:right w:val="none" w:sz="0" w:space="0" w:color="auto"/>
              </w:divBdr>
            </w:div>
            <w:div w:id="1816797501">
              <w:marLeft w:val="0"/>
              <w:marRight w:val="0"/>
              <w:marTop w:val="0"/>
              <w:marBottom w:val="0"/>
              <w:divBdr>
                <w:top w:val="none" w:sz="0" w:space="0" w:color="auto"/>
                <w:left w:val="none" w:sz="0" w:space="0" w:color="auto"/>
                <w:bottom w:val="none" w:sz="0" w:space="0" w:color="auto"/>
                <w:right w:val="none" w:sz="0" w:space="0" w:color="auto"/>
              </w:divBdr>
            </w:div>
            <w:div w:id="1838108355">
              <w:marLeft w:val="0"/>
              <w:marRight w:val="0"/>
              <w:marTop w:val="0"/>
              <w:marBottom w:val="0"/>
              <w:divBdr>
                <w:top w:val="none" w:sz="0" w:space="0" w:color="auto"/>
                <w:left w:val="none" w:sz="0" w:space="0" w:color="auto"/>
                <w:bottom w:val="none" w:sz="0" w:space="0" w:color="auto"/>
                <w:right w:val="none" w:sz="0" w:space="0" w:color="auto"/>
              </w:divBdr>
            </w:div>
            <w:div w:id="1849907553">
              <w:marLeft w:val="0"/>
              <w:marRight w:val="0"/>
              <w:marTop w:val="0"/>
              <w:marBottom w:val="0"/>
              <w:divBdr>
                <w:top w:val="none" w:sz="0" w:space="0" w:color="auto"/>
                <w:left w:val="none" w:sz="0" w:space="0" w:color="auto"/>
                <w:bottom w:val="none" w:sz="0" w:space="0" w:color="auto"/>
                <w:right w:val="none" w:sz="0" w:space="0" w:color="auto"/>
              </w:divBdr>
            </w:div>
            <w:div w:id="1854345327">
              <w:marLeft w:val="0"/>
              <w:marRight w:val="0"/>
              <w:marTop w:val="0"/>
              <w:marBottom w:val="0"/>
              <w:divBdr>
                <w:top w:val="none" w:sz="0" w:space="0" w:color="auto"/>
                <w:left w:val="none" w:sz="0" w:space="0" w:color="auto"/>
                <w:bottom w:val="none" w:sz="0" w:space="0" w:color="auto"/>
                <w:right w:val="none" w:sz="0" w:space="0" w:color="auto"/>
              </w:divBdr>
            </w:div>
            <w:div w:id="1874004115">
              <w:marLeft w:val="0"/>
              <w:marRight w:val="0"/>
              <w:marTop w:val="0"/>
              <w:marBottom w:val="0"/>
              <w:divBdr>
                <w:top w:val="none" w:sz="0" w:space="0" w:color="auto"/>
                <w:left w:val="none" w:sz="0" w:space="0" w:color="auto"/>
                <w:bottom w:val="none" w:sz="0" w:space="0" w:color="auto"/>
                <w:right w:val="none" w:sz="0" w:space="0" w:color="auto"/>
              </w:divBdr>
            </w:div>
            <w:div w:id="1881933290">
              <w:marLeft w:val="0"/>
              <w:marRight w:val="0"/>
              <w:marTop w:val="0"/>
              <w:marBottom w:val="0"/>
              <w:divBdr>
                <w:top w:val="none" w:sz="0" w:space="0" w:color="auto"/>
                <w:left w:val="none" w:sz="0" w:space="0" w:color="auto"/>
                <w:bottom w:val="none" w:sz="0" w:space="0" w:color="auto"/>
                <w:right w:val="none" w:sz="0" w:space="0" w:color="auto"/>
              </w:divBdr>
            </w:div>
            <w:div w:id="1887062015">
              <w:marLeft w:val="0"/>
              <w:marRight w:val="0"/>
              <w:marTop w:val="0"/>
              <w:marBottom w:val="0"/>
              <w:divBdr>
                <w:top w:val="none" w:sz="0" w:space="0" w:color="auto"/>
                <w:left w:val="none" w:sz="0" w:space="0" w:color="auto"/>
                <w:bottom w:val="none" w:sz="0" w:space="0" w:color="auto"/>
                <w:right w:val="none" w:sz="0" w:space="0" w:color="auto"/>
              </w:divBdr>
            </w:div>
            <w:div w:id="1908346660">
              <w:marLeft w:val="0"/>
              <w:marRight w:val="0"/>
              <w:marTop w:val="0"/>
              <w:marBottom w:val="0"/>
              <w:divBdr>
                <w:top w:val="none" w:sz="0" w:space="0" w:color="auto"/>
                <w:left w:val="none" w:sz="0" w:space="0" w:color="auto"/>
                <w:bottom w:val="none" w:sz="0" w:space="0" w:color="auto"/>
                <w:right w:val="none" w:sz="0" w:space="0" w:color="auto"/>
              </w:divBdr>
            </w:div>
            <w:div w:id="1918593833">
              <w:marLeft w:val="0"/>
              <w:marRight w:val="0"/>
              <w:marTop w:val="0"/>
              <w:marBottom w:val="0"/>
              <w:divBdr>
                <w:top w:val="none" w:sz="0" w:space="0" w:color="auto"/>
                <w:left w:val="none" w:sz="0" w:space="0" w:color="auto"/>
                <w:bottom w:val="none" w:sz="0" w:space="0" w:color="auto"/>
                <w:right w:val="none" w:sz="0" w:space="0" w:color="auto"/>
              </w:divBdr>
            </w:div>
            <w:div w:id="1937640092">
              <w:marLeft w:val="0"/>
              <w:marRight w:val="0"/>
              <w:marTop w:val="0"/>
              <w:marBottom w:val="0"/>
              <w:divBdr>
                <w:top w:val="none" w:sz="0" w:space="0" w:color="auto"/>
                <w:left w:val="none" w:sz="0" w:space="0" w:color="auto"/>
                <w:bottom w:val="none" w:sz="0" w:space="0" w:color="auto"/>
                <w:right w:val="none" w:sz="0" w:space="0" w:color="auto"/>
              </w:divBdr>
            </w:div>
            <w:div w:id="1959486679">
              <w:marLeft w:val="0"/>
              <w:marRight w:val="0"/>
              <w:marTop w:val="0"/>
              <w:marBottom w:val="0"/>
              <w:divBdr>
                <w:top w:val="none" w:sz="0" w:space="0" w:color="auto"/>
                <w:left w:val="none" w:sz="0" w:space="0" w:color="auto"/>
                <w:bottom w:val="none" w:sz="0" w:space="0" w:color="auto"/>
                <w:right w:val="none" w:sz="0" w:space="0" w:color="auto"/>
              </w:divBdr>
            </w:div>
            <w:div w:id="1961257090">
              <w:marLeft w:val="0"/>
              <w:marRight w:val="0"/>
              <w:marTop w:val="0"/>
              <w:marBottom w:val="0"/>
              <w:divBdr>
                <w:top w:val="none" w:sz="0" w:space="0" w:color="auto"/>
                <w:left w:val="none" w:sz="0" w:space="0" w:color="auto"/>
                <w:bottom w:val="none" w:sz="0" w:space="0" w:color="auto"/>
                <w:right w:val="none" w:sz="0" w:space="0" w:color="auto"/>
              </w:divBdr>
            </w:div>
            <w:div w:id="1997219590">
              <w:marLeft w:val="0"/>
              <w:marRight w:val="0"/>
              <w:marTop w:val="0"/>
              <w:marBottom w:val="0"/>
              <w:divBdr>
                <w:top w:val="none" w:sz="0" w:space="0" w:color="auto"/>
                <w:left w:val="none" w:sz="0" w:space="0" w:color="auto"/>
                <w:bottom w:val="none" w:sz="0" w:space="0" w:color="auto"/>
                <w:right w:val="none" w:sz="0" w:space="0" w:color="auto"/>
              </w:divBdr>
            </w:div>
            <w:div w:id="2024046115">
              <w:marLeft w:val="0"/>
              <w:marRight w:val="0"/>
              <w:marTop w:val="0"/>
              <w:marBottom w:val="0"/>
              <w:divBdr>
                <w:top w:val="none" w:sz="0" w:space="0" w:color="auto"/>
                <w:left w:val="none" w:sz="0" w:space="0" w:color="auto"/>
                <w:bottom w:val="none" w:sz="0" w:space="0" w:color="auto"/>
                <w:right w:val="none" w:sz="0" w:space="0" w:color="auto"/>
              </w:divBdr>
            </w:div>
            <w:div w:id="2051105441">
              <w:marLeft w:val="0"/>
              <w:marRight w:val="0"/>
              <w:marTop w:val="0"/>
              <w:marBottom w:val="0"/>
              <w:divBdr>
                <w:top w:val="none" w:sz="0" w:space="0" w:color="auto"/>
                <w:left w:val="none" w:sz="0" w:space="0" w:color="auto"/>
                <w:bottom w:val="none" w:sz="0" w:space="0" w:color="auto"/>
                <w:right w:val="none" w:sz="0" w:space="0" w:color="auto"/>
              </w:divBdr>
            </w:div>
            <w:div w:id="2060661015">
              <w:marLeft w:val="0"/>
              <w:marRight w:val="0"/>
              <w:marTop w:val="0"/>
              <w:marBottom w:val="0"/>
              <w:divBdr>
                <w:top w:val="none" w:sz="0" w:space="0" w:color="auto"/>
                <w:left w:val="none" w:sz="0" w:space="0" w:color="auto"/>
                <w:bottom w:val="none" w:sz="0" w:space="0" w:color="auto"/>
                <w:right w:val="none" w:sz="0" w:space="0" w:color="auto"/>
              </w:divBdr>
            </w:div>
            <w:div w:id="2062945657">
              <w:marLeft w:val="0"/>
              <w:marRight w:val="0"/>
              <w:marTop w:val="0"/>
              <w:marBottom w:val="0"/>
              <w:divBdr>
                <w:top w:val="none" w:sz="0" w:space="0" w:color="auto"/>
                <w:left w:val="none" w:sz="0" w:space="0" w:color="auto"/>
                <w:bottom w:val="none" w:sz="0" w:space="0" w:color="auto"/>
                <w:right w:val="none" w:sz="0" w:space="0" w:color="auto"/>
              </w:divBdr>
            </w:div>
            <w:div w:id="2073961740">
              <w:marLeft w:val="0"/>
              <w:marRight w:val="0"/>
              <w:marTop w:val="0"/>
              <w:marBottom w:val="0"/>
              <w:divBdr>
                <w:top w:val="none" w:sz="0" w:space="0" w:color="auto"/>
                <w:left w:val="none" w:sz="0" w:space="0" w:color="auto"/>
                <w:bottom w:val="none" w:sz="0" w:space="0" w:color="auto"/>
                <w:right w:val="none" w:sz="0" w:space="0" w:color="auto"/>
              </w:divBdr>
            </w:div>
            <w:div w:id="20880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8372">
      <w:bodyDiv w:val="1"/>
      <w:marLeft w:val="0"/>
      <w:marRight w:val="0"/>
      <w:marTop w:val="0"/>
      <w:marBottom w:val="0"/>
      <w:divBdr>
        <w:top w:val="none" w:sz="0" w:space="0" w:color="auto"/>
        <w:left w:val="none" w:sz="0" w:space="0" w:color="auto"/>
        <w:bottom w:val="none" w:sz="0" w:space="0" w:color="auto"/>
        <w:right w:val="none" w:sz="0" w:space="0" w:color="auto"/>
      </w:divBdr>
    </w:div>
    <w:div w:id="1648901649">
      <w:bodyDiv w:val="1"/>
      <w:marLeft w:val="0"/>
      <w:marRight w:val="0"/>
      <w:marTop w:val="0"/>
      <w:marBottom w:val="0"/>
      <w:divBdr>
        <w:top w:val="none" w:sz="0" w:space="0" w:color="auto"/>
        <w:left w:val="none" w:sz="0" w:space="0" w:color="auto"/>
        <w:bottom w:val="none" w:sz="0" w:space="0" w:color="auto"/>
        <w:right w:val="none" w:sz="0" w:space="0" w:color="auto"/>
      </w:divBdr>
    </w:div>
    <w:div w:id="1704942190">
      <w:bodyDiv w:val="1"/>
      <w:marLeft w:val="0"/>
      <w:marRight w:val="0"/>
      <w:marTop w:val="0"/>
      <w:marBottom w:val="0"/>
      <w:divBdr>
        <w:top w:val="none" w:sz="0" w:space="0" w:color="auto"/>
        <w:left w:val="none" w:sz="0" w:space="0" w:color="auto"/>
        <w:bottom w:val="none" w:sz="0" w:space="0" w:color="auto"/>
        <w:right w:val="none" w:sz="0" w:space="0" w:color="auto"/>
      </w:divBdr>
    </w:div>
    <w:div w:id="1913659008">
      <w:bodyDiv w:val="1"/>
      <w:marLeft w:val="0"/>
      <w:marRight w:val="0"/>
      <w:marTop w:val="0"/>
      <w:marBottom w:val="0"/>
      <w:divBdr>
        <w:top w:val="none" w:sz="0" w:space="0" w:color="auto"/>
        <w:left w:val="none" w:sz="0" w:space="0" w:color="auto"/>
        <w:bottom w:val="none" w:sz="0" w:space="0" w:color="auto"/>
        <w:right w:val="none" w:sz="0" w:space="0" w:color="auto"/>
      </w:divBdr>
    </w:div>
    <w:div w:id="1965496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puc.ca.gov/PPH/" TargetMode="External"/><Relationship Id="rId18" Type="http://schemas.openxmlformats.org/officeDocument/2006/relationships/hyperlink" Target="https://www.publicadvocates.cpuc.ca.go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puc.ca.gov/industries-and-topics/natural-gas" TargetMode="External"/><Relationship Id="rId7" Type="http://schemas.openxmlformats.org/officeDocument/2006/relationships/settings" Target="settings.xml"/><Relationship Id="rId12" Type="http://schemas.openxmlformats.org/officeDocument/2006/relationships/hyperlink" Target="https://www.cpuc.ca.gov/pao/" TargetMode="External"/><Relationship Id="rId17" Type="http://schemas.openxmlformats.org/officeDocument/2006/relationships/hyperlink" Target="http://subscribecpuc.cpuc.ca.gov/fpss/Default.asp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gera.azurewebsites.net/Regulation/search" TargetMode="External"/><Relationship Id="rId20" Type="http://schemas.openxmlformats.org/officeDocument/2006/relationships/hyperlink" Target="https://www.cpuc.ca.gov/industries-and-topics/electrical-energy/electric-rates/general-rate-ca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puc.ca.gov/industries-and-topics/pge/pge-regionalization" TargetMode="External"/><Relationship Id="rId5" Type="http://schemas.openxmlformats.org/officeDocument/2006/relationships/numbering" Target="numbering.xml"/><Relationship Id="rId15" Type="http://schemas.openxmlformats.org/officeDocument/2006/relationships/hyperlink" Target="https://apps.cpuc.ca.gov/apex/f?p=401:56:0::NO:RP,57,RIR:P5_PROCEEDING_SELECT:A2106021" TargetMode="External"/><Relationship Id="rId23" Type="http://schemas.openxmlformats.org/officeDocument/2006/relationships/hyperlink" Target="https://www.cpuc.ca.gov/-/media/cpuc-website/divisions/news-and-outreach/reports/annual-reports/annual_report_2021_web.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puc.ca.gov/industries-and-topics/p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cpuc.ca.gov/c/A2106021" TargetMode="External"/><Relationship Id="rId22" Type="http://schemas.openxmlformats.org/officeDocument/2006/relationships/hyperlink" Target="https://www.cpuc.ca.gov/news-and-updates/all-news/cpuc-issues-affordability-report-highlighting-trends-in-affordability"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ocs.cpuc.ca.gov/PublishedDocs/Efile/G000/M498/K526/498526018.PDF" TargetMode="External"/><Relationship Id="rId1" Type="http://schemas.openxmlformats.org/officeDocument/2006/relationships/hyperlink" Target="https://www.cpuc.ca.gov/-/media/cpuc-website/divisions/energy-division/documents/rate-change-advisories/20220101rate-alertpge-update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A5C0D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EEFB63B0FE1948AA8F75F2A16C95F7" ma:contentTypeVersion="11" ma:contentTypeDescription="Create a new document." ma:contentTypeScope="" ma:versionID="a4f4069ddbbd69eb6cc5a35aebd8e8db">
  <xsd:schema xmlns:xsd="http://www.w3.org/2001/XMLSchema" xmlns:xs="http://www.w3.org/2001/XMLSchema" xmlns:p="http://schemas.microsoft.com/office/2006/metadata/properties" xmlns:ns2="17edcc13-f328-4fea-94a7-96427e8c8035" xmlns:ns3="ea6e749e-de25-4072-8ab7-f283757d2883" targetNamespace="http://schemas.microsoft.com/office/2006/metadata/properties" ma:root="true" ma:fieldsID="a0f4d1d7753946636f28af7daedf9130" ns2:_="" ns3:_="">
    <xsd:import namespace="17edcc13-f328-4fea-94a7-96427e8c8035"/>
    <xsd:import namespace="ea6e749e-de25-4072-8ab7-f283757d288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Folder_x0023_"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dcc13-f328-4fea-94a7-96427e8c8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Folder_x0023_" ma:index="17" nillable="true" ma:displayName="Folder #" ma:decimals="0" ma:format="Dropdown" ma:internalName="Folder_x0023_" ma:percentage="FALSE">
      <xsd:simpleType>
        <xsd:restriction base="dms:Number"/>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e749e-de25-4072-8ab7-f283757d288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older_x0023_ xmlns="17edcc13-f328-4fea-94a7-96427e8c8035" xsi:nil="true"/>
  </documentManagement>
</p:properties>
</file>

<file path=customXml/itemProps1.xml><?xml version="1.0" encoding="utf-8"?>
<ds:datastoreItem xmlns:ds="http://schemas.openxmlformats.org/officeDocument/2006/customXml" ds:itemID="{AEE5F934-CB58-4504-B419-58E3D525B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dcc13-f328-4fea-94a7-96427e8c8035"/>
    <ds:schemaRef ds:uri="ea6e749e-de25-4072-8ab7-f283757d2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2B723A-BC63-4FE7-86C1-61DDD3010BEF}">
  <ds:schemaRefs>
    <ds:schemaRef ds:uri="http://schemas.microsoft.com/sharepoint/v3/contenttype/forms"/>
  </ds:schemaRefs>
</ds:datastoreItem>
</file>

<file path=customXml/itemProps3.xml><?xml version="1.0" encoding="utf-8"?>
<ds:datastoreItem xmlns:ds="http://schemas.openxmlformats.org/officeDocument/2006/customXml" ds:itemID="{F68EBF11-9FCA-4DA7-9608-48C920D02C22}">
  <ds:schemaRefs>
    <ds:schemaRef ds:uri="http://schemas.openxmlformats.org/officeDocument/2006/bibliography"/>
  </ds:schemaRefs>
</ds:datastoreItem>
</file>

<file path=customXml/itemProps4.xml><?xml version="1.0" encoding="utf-8"?>
<ds:datastoreItem xmlns:ds="http://schemas.openxmlformats.org/officeDocument/2006/customXml" ds:itemID="{9D21E221-8A4D-4D9F-A0F1-95251B2A2364}">
  <ds:schemaRefs>
    <ds:schemaRef ds:uri="http://schemas.microsoft.com/office/2006/metadata/properties"/>
    <ds:schemaRef ds:uri="http://schemas.microsoft.com/office/infopath/2007/PartnerControls"/>
    <ds:schemaRef ds:uri="17edcc13-f328-4fea-94a7-96427e8c8035"/>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4</Pages>
  <Words>1738</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New Safety and Reliability Regulations for Natural Gas Transmission and Distribution Pipelines</vt:lpstr>
    </vt:vector>
  </TitlesOfParts>
  <Company>cpuc</Company>
  <LinksUpToDate>false</LinksUpToDate>
  <CharactersWithSpaces>11624</CharactersWithSpaces>
  <SharedDoc>false</SharedDoc>
  <HLinks>
    <vt:vector size="90" baseType="variant">
      <vt:variant>
        <vt:i4>196608</vt:i4>
      </vt:variant>
      <vt:variant>
        <vt:i4>36</vt:i4>
      </vt:variant>
      <vt:variant>
        <vt:i4>0</vt:i4>
      </vt:variant>
      <vt:variant>
        <vt:i4>5</vt:i4>
      </vt:variant>
      <vt:variant>
        <vt:lpwstr>https://www.cpuc.ca.gov/industries-and-topics/pge/pge-regionalization</vt:lpwstr>
      </vt:variant>
      <vt:variant>
        <vt:lpwstr/>
      </vt:variant>
      <vt:variant>
        <vt:i4>2031656</vt:i4>
      </vt:variant>
      <vt:variant>
        <vt:i4>33</vt:i4>
      </vt:variant>
      <vt:variant>
        <vt:i4>0</vt:i4>
      </vt:variant>
      <vt:variant>
        <vt:i4>5</vt:i4>
      </vt:variant>
      <vt:variant>
        <vt:lpwstr>https://www.cpuc.ca.gov/-/media/cpuc-website/divisions/news-and-outreach/reports/annual-reports/annual_report_2021_web.pdf</vt:lpwstr>
      </vt:variant>
      <vt:variant>
        <vt:lpwstr/>
      </vt:variant>
      <vt:variant>
        <vt:i4>6422561</vt:i4>
      </vt:variant>
      <vt:variant>
        <vt:i4>30</vt:i4>
      </vt:variant>
      <vt:variant>
        <vt:i4>0</vt:i4>
      </vt:variant>
      <vt:variant>
        <vt:i4>5</vt:i4>
      </vt:variant>
      <vt:variant>
        <vt:lpwstr>https://www.cpuc.ca.gov/news-and-updates/all-news/cpuc-issues-affordability-report-highlighting-trends-in-affordability</vt:lpwstr>
      </vt:variant>
      <vt:variant>
        <vt:lpwstr/>
      </vt:variant>
      <vt:variant>
        <vt:i4>5701657</vt:i4>
      </vt:variant>
      <vt:variant>
        <vt:i4>27</vt:i4>
      </vt:variant>
      <vt:variant>
        <vt:i4>0</vt:i4>
      </vt:variant>
      <vt:variant>
        <vt:i4>5</vt:i4>
      </vt:variant>
      <vt:variant>
        <vt:lpwstr>https://www.cpuc.ca.gov/industries-and-topics/natural-gas</vt:lpwstr>
      </vt:variant>
      <vt:variant>
        <vt:lpwstr/>
      </vt:variant>
      <vt:variant>
        <vt:i4>458765</vt:i4>
      </vt:variant>
      <vt:variant>
        <vt:i4>24</vt:i4>
      </vt:variant>
      <vt:variant>
        <vt:i4>0</vt:i4>
      </vt:variant>
      <vt:variant>
        <vt:i4>5</vt:i4>
      </vt:variant>
      <vt:variant>
        <vt:lpwstr>https://www.cpuc.ca.gov/industries-and-topics/electrical-energy/electric-rates/general-rate-case</vt:lpwstr>
      </vt:variant>
      <vt:variant>
        <vt:lpwstr/>
      </vt:variant>
      <vt:variant>
        <vt:i4>589834</vt:i4>
      </vt:variant>
      <vt:variant>
        <vt:i4>21</vt:i4>
      </vt:variant>
      <vt:variant>
        <vt:i4>0</vt:i4>
      </vt:variant>
      <vt:variant>
        <vt:i4>5</vt:i4>
      </vt:variant>
      <vt:variant>
        <vt:lpwstr>https://www.cpuc.ca.gov/industries-and-topics/pge</vt:lpwstr>
      </vt:variant>
      <vt:variant>
        <vt:lpwstr/>
      </vt:variant>
      <vt:variant>
        <vt:i4>851968</vt:i4>
      </vt:variant>
      <vt:variant>
        <vt:i4>18</vt:i4>
      </vt:variant>
      <vt:variant>
        <vt:i4>0</vt:i4>
      </vt:variant>
      <vt:variant>
        <vt:i4>5</vt:i4>
      </vt:variant>
      <vt:variant>
        <vt:lpwstr>https://www.publicadvocates.cpuc.ca.gov/</vt:lpwstr>
      </vt:variant>
      <vt:variant>
        <vt:lpwstr/>
      </vt:variant>
      <vt:variant>
        <vt:i4>7929896</vt:i4>
      </vt:variant>
      <vt:variant>
        <vt:i4>15</vt:i4>
      </vt:variant>
      <vt:variant>
        <vt:i4>0</vt:i4>
      </vt:variant>
      <vt:variant>
        <vt:i4>5</vt:i4>
      </vt:variant>
      <vt:variant>
        <vt:lpwstr>http://subscribecpuc.cpuc.ca.gov/fpss/Default.aspx</vt:lpwstr>
      </vt:variant>
      <vt:variant>
        <vt:lpwstr/>
      </vt:variant>
      <vt:variant>
        <vt:i4>5767188</vt:i4>
      </vt:variant>
      <vt:variant>
        <vt:i4>12</vt:i4>
      </vt:variant>
      <vt:variant>
        <vt:i4>0</vt:i4>
      </vt:variant>
      <vt:variant>
        <vt:i4>5</vt:i4>
      </vt:variant>
      <vt:variant>
        <vt:lpwstr>https://pgera.azurewebsites.net/Regulation/search</vt:lpwstr>
      </vt:variant>
      <vt:variant>
        <vt:lpwstr/>
      </vt:variant>
      <vt:variant>
        <vt:i4>5439515</vt:i4>
      </vt:variant>
      <vt:variant>
        <vt:i4>9</vt:i4>
      </vt:variant>
      <vt:variant>
        <vt:i4>0</vt:i4>
      </vt:variant>
      <vt:variant>
        <vt:i4>5</vt:i4>
      </vt:variant>
      <vt:variant>
        <vt:lpwstr>https://apps.cpuc.ca.gov/apex/f?p=401:56:0::NO:RP,57,RIR:P5_PROCEEDING_SELECT:A2106021</vt:lpwstr>
      </vt:variant>
      <vt:variant>
        <vt:lpwstr/>
      </vt:variant>
      <vt:variant>
        <vt:i4>7143548</vt:i4>
      </vt:variant>
      <vt:variant>
        <vt:i4>6</vt:i4>
      </vt:variant>
      <vt:variant>
        <vt:i4>0</vt:i4>
      </vt:variant>
      <vt:variant>
        <vt:i4>5</vt:i4>
      </vt:variant>
      <vt:variant>
        <vt:lpwstr>https://apps.cpuc.ca.gov/c/A2106021</vt:lpwstr>
      </vt:variant>
      <vt:variant>
        <vt:lpwstr/>
      </vt:variant>
      <vt:variant>
        <vt:i4>8126506</vt:i4>
      </vt:variant>
      <vt:variant>
        <vt:i4>3</vt:i4>
      </vt:variant>
      <vt:variant>
        <vt:i4>0</vt:i4>
      </vt:variant>
      <vt:variant>
        <vt:i4>5</vt:i4>
      </vt:variant>
      <vt:variant>
        <vt:lpwstr>https://www.cpuc.ca.gov/PPH/</vt:lpwstr>
      </vt:variant>
      <vt:variant>
        <vt:lpwstr>:~:text=CPUC%20Public%20Participation%20Hearings%20The%20CPUC%20often%20holds,other%20events%2C%20please%20contact%20the%20CPUC%27s%20Public%20Advisor.</vt:lpwstr>
      </vt:variant>
      <vt:variant>
        <vt:i4>1572887</vt:i4>
      </vt:variant>
      <vt:variant>
        <vt:i4>0</vt:i4>
      </vt:variant>
      <vt:variant>
        <vt:i4>0</vt:i4>
      </vt:variant>
      <vt:variant>
        <vt:i4>5</vt:i4>
      </vt:variant>
      <vt:variant>
        <vt:lpwstr>https://www.cpuc.ca.gov/pao/</vt:lpwstr>
      </vt:variant>
      <vt:variant>
        <vt:lpwstr/>
      </vt:variant>
      <vt:variant>
        <vt:i4>262219</vt:i4>
      </vt:variant>
      <vt:variant>
        <vt:i4>3</vt:i4>
      </vt:variant>
      <vt:variant>
        <vt:i4>0</vt:i4>
      </vt:variant>
      <vt:variant>
        <vt:i4>5</vt:i4>
      </vt:variant>
      <vt:variant>
        <vt:lpwstr>https://docs.cpuc.ca.gov/PublishedDocs/Efile/G000/M498/K526/498526018.PDF</vt:lpwstr>
      </vt:variant>
      <vt:variant>
        <vt:lpwstr/>
      </vt:variant>
      <vt:variant>
        <vt:i4>65558</vt:i4>
      </vt:variant>
      <vt:variant>
        <vt:i4>0</vt:i4>
      </vt:variant>
      <vt:variant>
        <vt:i4>0</vt:i4>
      </vt:variant>
      <vt:variant>
        <vt:i4>5</vt:i4>
      </vt:variant>
      <vt:variant>
        <vt:lpwstr>https://www.cpuc.ca.gov/-/media/cpuc-website/divisions/energy-division/documents/rate-change-advisories/20220101rate-alertpge-updated.pdf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Safety and Reliability Regulations for Natural Gas Transmission and Distribution Pipelines</dc:title>
  <dc:subject/>
  <dc:creator>VSJ</dc:creator>
  <cp:keywords/>
  <cp:lastModifiedBy>DeAngelis, Regina</cp:lastModifiedBy>
  <cp:revision>5</cp:revision>
  <cp:lastPrinted>2020-03-10T18:40:00Z</cp:lastPrinted>
  <dcterms:created xsi:type="dcterms:W3CDTF">2022-12-09T19:54:00Z</dcterms:created>
  <dcterms:modified xsi:type="dcterms:W3CDTF">2022-12-15T01:07:00Z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0x010100A9EEFB63B0FE1948AA8F75F2A16C95F7</vt:lpwstr>
  </property>
</Properties>
</file>