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9F8E" w14:textId="56B3B117" w:rsidR="0078294C" w:rsidRPr="00960036" w:rsidRDefault="000C2172" w:rsidP="0078294C">
      <w:pPr>
        <w:ind w:firstLine="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  <w:color w:val="7030A0"/>
        </w:rPr>
        <w:t>PacifiCorp</w:t>
      </w:r>
      <w:r w:rsidR="00B9638F" w:rsidRPr="00960036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00960036">
        <w:rPr>
          <w:rFonts w:ascii="Century Gothic" w:hAnsi="Century Gothic" w:cs="Calibri"/>
          <w:b/>
          <w:bCs/>
          <w:color w:val="7030A0"/>
        </w:rPr>
        <w:t xml:space="preserve">Advice Letter – </w:t>
      </w:r>
      <w:r>
        <w:rPr>
          <w:rFonts w:ascii="Century Gothic" w:hAnsi="Century Gothic" w:cs="Calibri"/>
        </w:rPr>
        <w:t xml:space="preserve">In accordance </w:t>
      </w:r>
      <w:r w:rsidR="0078294C" w:rsidRPr="0078294C">
        <w:rPr>
          <w:rFonts w:ascii="Century Gothic" w:hAnsi="Century Gothic" w:cs="Calibri"/>
        </w:rPr>
        <w:t xml:space="preserve">with </w:t>
      </w:r>
      <w:r w:rsidR="00C47A69">
        <w:rPr>
          <w:rFonts w:ascii="Century Gothic" w:hAnsi="Century Gothic" w:cs="Calibri"/>
        </w:rPr>
        <w:t>the</w:t>
      </w:r>
      <w:r w:rsidR="00751015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2</w:t>
      </w:r>
      <w:r w:rsidR="00751015">
        <w:rPr>
          <w:rFonts w:ascii="Century Gothic" w:hAnsi="Century Gothic" w:cs="Calibri"/>
        </w:rPr>
        <w:t>019</w:t>
      </w:r>
      <w:r>
        <w:rPr>
          <w:rFonts w:ascii="Century Gothic" w:hAnsi="Century Gothic" w:cs="Calibri"/>
        </w:rPr>
        <w:t xml:space="preserve"> General Rate Case</w:t>
      </w:r>
      <w:r w:rsidRPr="00960036">
        <w:rPr>
          <w:rFonts w:ascii="Century Gothic" w:hAnsi="Century Gothic" w:cs="Calibri"/>
        </w:rPr>
        <w:t xml:space="preserve"> (</w:t>
      </w:r>
      <w:r>
        <w:rPr>
          <w:rFonts w:ascii="Century Gothic" w:hAnsi="Century Gothic" w:cs="Calibri"/>
        </w:rPr>
        <w:t>GRC</w:t>
      </w:r>
      <w:r w:rsidRPr="00960036">
        <w:rPr>
          <w:rFonts w:ascii="Century Gothic" w:hAnsi="Century Gothic" w:cs="Calibri"/>
        </w:rPr>
        <w:t>) decision (D.</w:t>
      </w:r>
      <w:r>
        <w:rPr>
          <w:rFonts w:ascii="Century Gothic" w:hAnsi="Century Gothic" w:cs="Calibri"/>
        </w:rPr>
        <w:t>)</w:t>
      </w:r>
      <w:r w:rsidR="0078294C" w:rsidRPr="0078294C">
        <w:rPr>
          <w:rFonts w:ascii="Century Gothic" w:hAnsi="Century Gothic" w:cs="Calibri"/>
        </w:rPr>
        <w:t>20-02-025</w:t>
      </w:r>
      <w:r>
        <w:rPr>
          <w:rFonts w:ascii="Century Gothic" w:hAnsi="Century Gothic" w:cs="Calibri"/>
        </w:rPr>
        <w:t>,</w:t>
      </w:r>
      <w:r w:rsidR="0078294C" w:rsidRPr="0078294C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wh</w:t>
      </w:r>
      <w:r w:rsidR="0078294C" w:rsidRPr="0078294C">
        <w:rPr>
          <w:rFonts w:ascii="Century Gothic" w:hAnsi="Century Gothic" w:cs="Calibri"/>
        </w:rPr>
        <w:t xml:space="preserve">ich authorizes </w:t>
      </w:r>
      <w:bookmarkStart w:id="0" w:name="_Hlk56517244"/>
      <w:r w:rsidR="0078294C" w:rsidRPr="0078294C">
        <w:rPr>
          <w:rFonts w:ascii="Century Gothic" w:hAnsi="Century Gothic" w:cs="Calibri"/>
        </w:rPr>
        <w:t>PacifiCorp</w:t>
      </w:r>
      <w:bookmarkEnd w:id="0"/>
      <w:r w:rsidR="0078294C" w:rsidRPr="0078294C">
        <w:rPr>
          <w:rFonts w:ascii="Century Gothic" w:hAnsi="Century Gothic" w:cs="Calibri"/>
        </w:rPr>
        <w:t xml:space="preserve"> to file </w:t>
      </w:r>
      <w:r w:rsidR="004C5737">
        <w:rPr>
          <w:rFonts w:ascii="Century Gothic" w:hAnsi="Century Gothic" w:cs="Calibri"/>
        </w:rPr>
        <w:t xml:space="preserve">a </w:t>
      </w:r>
      <w:r w:rsidR="00C47A69">
        <w:rPr>
          <w:rFonts w:ascii="Century Gothic" w:hAnsi="Century Gothic" w:cs="Calibri"/>
        </w:rPr>
        <w:t xml:space="preserve">rate adjustment (better known as a </w:t>
      </w:r>
      <w:r w:rsidR="0078294C" w:rsidRPr="0078294C">
        <w:rPr>
          <w:rFonts w:ascii="Century Gothic" w:hAnsi="Century Gothic" w:cs="Calibri"/>
        </w:rPr>
        <w:t>Post-Test</w:t>
      </w:r>
      <w:r>
        <w:rPr>
          <w:rFonts w:ascii="Century Gothic" w:hAnsi="Century Gothic" w:cs="Calibri"/>
        </w:rPr>
        <w:t xml:space="preserve"> </w:t>
      </w:r>
      <w:r w:rsidR="0078294C" w:rsidRPr="0078294C">
        <w:rPr>
          <w:rFonts w:ascii="Century Gothic" w:hAnsi="Century Gothic" w:cs="Calibri"/>
        </w:rPr>
        <w:t>Year Adjustment Mechanism</w:t>
      </w:r>
      <w:r w:rsidR="00C47A69">
        <w:rPr>
          <w:rFonts w:ascii="Century Gothic" w:hAnsi="Century Gothic" w:cs="Calibri"/>
        </w:rPr>
        <w:t xml:space="preserve"> or </w:t>
      </w:r>
      <w:r>
        <w:rPr>
          <w:rFonts w:ascii="Century Gothic" w:hAnsi="Century Gothic" w:cs="Calibri"/>
        </w:rPr>
        <w:t xml:space="preserve">PTAM) </w:t>
      </w:r>
      <w:r w:rsidR="0078294C" w:rsidRPr="0078294C">
        <w:rPr>
          <w:rFonts w:ascii="Century Gothic" w:hAnsi="Century Gothic" w:cs="Calibri"/>
        </w:rPr>
        <w:t>for major capital additions</w:t>
      </w:r>
      <w:r w:rsidR="00751015">
        <w:rPr>
          <w:rFonts w:ascii="Century Gothic" w:hAnsi="Century Gothic" w:cs="Calibri"/>
        </w:rPr>
        <w:t>,</w:t>
      </w:r>
      <w:r w:rsidR="0078294C" w:rsidRPr="0078294C">
        <w:rPr>
          <w:rFonts w:ascii="Century Gothic" w:hAnsi="Century Gothic" w:cs="Calibri"/>
        </w:rPr>
        <w:t xml:space="preserve"> </w:t>
      </w:r>
      <w:r w:rsidRPr="0078294C">
        <w:rPr>
          <w:rFonts w:ascii="Century Gothic" w:hAnsi="Century Gothic" w:cs="Calibri"/>
        </w:rPr>
        <w:t xml:space="preserve">PacifiCorp </w:t>
      </w:r>
      <w:r>
        <w:rPr>
          <w:rFonts w:ascii="Century Gothic" w:hAnsi="Century Gothic" w:cs="Calibri"/>
        </w:rPr>
        <w:t xml:space="preserve">filed </w:t>
      </w:r>
      <w:r w:rsidR="00751015">
        <w:rPr>
          <w:rFonts w:ascii="Century Gothic" w:hAnsi="Century Gothic" w:cs="Calibri"/>
        </w:rPr>
        <w:t>A</w:t>
      </w:r>
      <w:r w:rsidRPr="00960036">
        <w:rPr>
          <w:rFonts w:ascii="Century Gothic" w:hAnsi="Century Gothic" w:cs="Calibri"/>
        </w:rPr>
        <w:t xml:space="preserve">dvice </w:t>
      </w:r>
      <w:r w:rsidR="00751015">
        <w:rPr>
          <w:rFonts w:ascii="Century Gothic" w:hAnsi="Century Gothic" w:cs="Calibri"/>
        </w:rPr>
        <w:t>L</w:t>
      </w:r>
      <w:r w:rsidRPr="00960036">
        <w:rPr>
          <w:rFonts w:ascii="Century Gothic" w:hAnsi="Century Gothic" w:cs="Calibri"/>
        </w:rPr>
        <w:t xml:space="preserve">etter </w:t>
      </w:r>
      <w:r>
        <w:rPr>
          <w:rFonts w:ascii="Century Gothic" w:hAnsi="Century Gothic" w:cs="Calibri"/>
        </w:rPr>
        <w:t>6</w:t>
      </w:r>
      <w:r w:rsidR="00220C86">
        <w:rPr>
          <w:rFonts w:ascii="Century Gothic" w:hAnsi="Century Gothic" w:cs="Calibri"/>
        </w:rPr>
        <w:t>33</w:t>
      </w:r>
      <w:r>
        <w:rPr>
          <w:rFonts w:ascii="Century Gothic" w:hAnsi="Century Gothic" w:cs="Calibri"/>
        </w:rPr>
        <w:t>-E on November 4, 2020</w:t>
      </w:r>
      <w:r w:rsidR="00751015"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 xml:space="preserve"> </w:t>
      </w:r>
      <w:r w:rsidR="00751015">
        <w:rPr>
          <w:rFonts w:ascii="Century Gothic" w:hAnsi="Century Gothic" w:cs="Calibri"/>
        </w:rPr>
        <w:t xml:space="preserve">PacifiCorp </w:t>
      </w:r>
      <w:r w:rsidRPr="0078294C">
        <w:rPr>
          <w:rFonts w:ascii="Century Gothic" w:hAnsi="Century Gothic" w:cs="Calibri"/>
        </w:rPr>
        <w:t>request</w:t>
      </w:r>
      <w:r w:rsidR="004C5737">
        <w:rPr>
          <w:rFonts w:ascii="Century Gothic" w:hAnsi="Century Gothic" w:cs="Calibri"/>
        </w:rPr>
        <w:t>ed</w:t>
      </w:r>
      <w:r w:rsidRPr="0078294C">
        <w:rPr>
          <w:rFonts w:ascii="Century Gothic" w:hAnsi="Century Gothic" w:cs="Calibri"/>
        </w:rPr>
        <w:t xml:space="preserve"> authority to increase rates </w:t>
      </w:r>
      <w:r w:rsidR="004C5737">
        <w:rPr>
          <w:rFonts w:ascii="Century Gothic" w:hAnsi="Century Gothic" w:cs="Calibri"/>
        </w:rPr>
        <w:t xml:space="preserve">consistent with D.20-02-025, </w:t>
      </w:r>
      <w:r w:rsidR="0078294C" w:rsidRPr="0078294C">
        <w:rPr>
          <w:rFonts w:ascii="Century Gothic" w:hAnsi="Century Gothic" w:cs="Calibri"/>
        </w:rPr>
        <w:t>effective within 30 days of filing</w:t>
      </w:r>
      <w:r w:rsidR="00A33DC8">
        <w:rPr>
          <w:rFonts w:ascii="Century Gothic" w:hAnsi="Century Gothic" w:cs="Calibri"/>
        </w:rPr>
        <w:t>, for the</w:t>
      </w:r>
      <w:r>
        <w:rPr>
          <w:rFonts w:ascii="Century Gothic" w:hAnsi="Century Gothic" w:cs="Calibri"/>
        </w:rPr>
        <w:t xml:space="preserve"> </w:t>
      </w:r>
      <w:r w:rsidR="0078294C" w:rsidRPr="0078294C">
        <w:rPr>
          <w:rFonts w:ascii="Century Gothic" w:hAnsi="Century Gothic" w:cs="Calibri"/>
        </w:rPr>
        <w:t xml:space="preserve">repowering upgrades of </w:t>
      </w:r>
      <w:r w:rsidR="00A33DC8">
        <w:rPr>
          <w:rFonts w:ascii="Century Gothic" w:hAnsi="Century Gothic" w:cs="Calibri"/>
        </w:rPr>
        <w:t xml:space="preserve">the </w:t>
      </w:r>
      <w:r w:rsidR="0078294C" w:rsidRPr="0078294C">
        <w:rPr>
          <w:rFonts w:ascii="Century Gothic" w:hAnsi="Century Gothic" w:cs="Calibri"/>
        </w:rPr>
        <w:t>Dunlap I wind facility and the Aeolus to Bridger/Anticline 500kV</w:t>
      </w:r>
      <w:r>
        <w:rPr>
          <w:rFonts w:ascii="Century Gothic" w:hAnsi="Century Gothic" w:cs="Calibri"/>
        </w:rPr>
        <w:t xml:space="preserve"> </w:t>
      </w:r>
      <w:r w:rsidR="0078294C" w:rsidRPr="0078294C">
        <w:rPr>
          <w:rFonts w:ascii="Century Gothic" w:hAnsi="Century Gothic" w:cs="Calibri"/>
        </w:rPr>
        <w:t xml:space="preserve">Transmission Project. </w:t>
      </w:r>
      <w:r w:rsidR="00A33DC8">
        <w:rPr>
          <w:rFonts w:ascii="Century Gothic" w:hAnsi="Century Gothic" w:cs="Calibri"/>
        </w:rPr>
        <w:t>The Commission previously authorized these expenditures i</w:t>
      </w:r>
      <w:r w:rsidR="0078294C" w:rsidRPr="0078294C">
        <w:rPr>
          <w:rFonts w:ascii="Century Gothic" w:hAnsi="Century Gothic" w:cs="Calibri"/>
        </w:rPr>
        <w:t xml:space="preserve">n </w:t>
      </w:r>
      <w:r w:rsidR="00B8063D">
        <w:rPr>
          <w:rFonts w:ascii="Century Gothic" w:hAnsi="Century Gothic" w:cs="Calibri"/>
        </w:rPr>
        <w:t>D.20-02-025</w:t>
      </w:r>
      <w:r w:rsidR="0078294C" w:rsidRPr="0078294C">
        <w:rPr>
          <w:rFonts w:ascii="Century Gothic" w:hAnsi="Century Gothic" w:cs="Calibri"/>
        </w:rPr>
        <w:t>.</w:t>
      </w:r>
    </w:p>
    <w:p w14:paraId="435F5421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B2B4E54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0768CC47" w14:textId="003DBDA4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Rate Changes Effective </w:t>
      </w:r>
      <w:r w:rsidR="00B637B2">
        <w:rPr>
          <w:rFonts w:ascii="Century Gothic" w:hAnsi="Century Gothic" w:cs="Calibri"/>
          <w:b/>
          <w:bCs/>
          <w:u w:val="single"/>
        </w:rPr>
        <w:t>December</w:t>
      </w:r>
      <w:r w:rsidR="00B9638F" w:rsidRPr="00960036">
        <w:rPr>
          <w:rFonts w:ascii="Century Gothic" w:hAnsi="Century Gothic" w:cs="Calibri"/>
          <w:b/>
          <w:bCs/>
          <w:u w:val="single"/>
        </w:rPr>
        <w:t xml:space="preserve"> </w:t>
      </w:r>
      <w:r w:rsidR="00B637B2">
        <w:rPr>
          <w:rFonts w:ascii="Century Gothic" w:hAnsi="Century Gothic" w:cs="Calibri"/>
          <w:b/>
          <w:bCs/>
          <w:u w:val="single"/>
        </w:rPr>
        <w:t>4</w:t>
      </w:r>
      <w:r w:rsidR="002164F7" w:rsidRPr="00960036">
        <w:rPr>
          <w:rFonts w:ascii="Century Gothic" w:hAnsi="Century Gothic" w:cs="Calibri"/>
          <w:b/>
          <w:bCs/>
          <w:u w:val="single"/>
        </w:rPr>
        <w:t>, 2020:</w:t>
      </w:r>
    </w:p>
    <w:p w14:paraId="5A717883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jc w:val="center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612F5224" w14:textId="77777777" w:rsidTr="0048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E2926AF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1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1BBDF366" w14:textId="2F74E70F" w:rsidR="002164F7" w:rsidRPr="00960036" w:rsidRDefault="00D93845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PacifiCorp</w:t>
            </w:r>
            <w:r w:rsidR="002164F7" w:rsidRPr="00960036">
              <w:rPr>
                <w:rFonts w:ascii="Century Gothic" w:hAnsi="Century Gothic" w:cs="Calibri"/>
              </w:rPr>
              <w:t xml:space="preserve"> – </w:t>
            </w:r>
            <w:r>
              <w:rPr>
                <w:rFonts w:ascii="Century Gothic" w:hAnsi="Century Gothic" w:cs="Calibri"/>
              </w:rPr>
              <w:t>December 4</w:t>
            </w:r>
            <w:r w:rsidR="00181170" w:rsidRPr="00960036">
              <w:rPr>
                <w:rFonts w:ascii="Century Gothic" w:hAnsi="Century Gothic" w:cs="Calibri"/>
              </w:rPr>
              <w:t>,</w:t>
            </w:r>
            <w:r w:rsidR="002164F7" w:rsidRPr="00960036">
              <w:rPr>
                <w:rFonts w:ascii="Century Gothic" w:hAnsi="Century Gothic" w:cs="Calibri"/>
              </w:rPr>
              <w:t xml:space="preserve"> 2020</w:t>
            </w:r>
          </w:p>
        </w:tc>
      </w:tr>
      <w:tr w:rsidR="002164F7" w:rsidRPr="00960036" w14:paraId="3514E4CC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6F6F10DB" w14:textId="77777777" w:rsidR="002164F7" w:rsidRPr="00960036" w:rsidRDefault="00154274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00B0F0"/>
          </w:tcPr>
          <w:p w14:paraId="12E6A356" w14:textId="40FE0875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129.13</w:t>
            </w:r>
          </w:p>
        </w:tc>
      </w:tr>
      <w:tr w:rsidR="00863057" w:rsidRPr="00960036" w14:paraId="46C57EB9" w14:textId="77777777" w:rsidTr="004876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D9A35AE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Non-CARE electric bill increase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</w:tcPr>
          <w:p w14:paraId="200A50AB" w14:textId="134DEF10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2.06</w:t>
            </w:r>
            <w:r>
              <w:rPr>
                <w:rFonts w:ascii="Century Gothic" w:hAnsi="Century Gothic" w:cs="Calibri"/>
              </w:rPr>
              <w:t xml:space="preserve"> (</w:t>
            </w:r>
            <w:r w:rsidR="00B637B2">
              <w:rPr>
                <w:rFonts w:ascii="Century Gothic" w:hAnsi="Century Gothic" w:cs="Calibri"/>
              </w:rPr>
              <w:t>1.6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5ADC1EFD" w14:textId="77777777" w:rsidTr="0048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219B4771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</w:t>
            </w:r>
          </w:p>
        </w:tc>
        <w:tc>
          <w:tcPr>
            <w:tcW w:w="3944" w:type="dxa"/>
            <w:shd w:val="clear" w:color="auto" w:fill="00B0F0"/>
          </w:tcPr>
          <w:p w14:paraId="5D10716C" w14:textId="4511BAAD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99.32</w:t>
            </w:r>
          </w:p>
        </w:tc>
      </w:tr>
      <w:tr w:rsidR="00863057" w:rsidRPr="00960036" w14:paraId="2BDACA1A" w14:textId="77777777" w:rsidTr="002164F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99DB92F" w14:textId="77777777" w:rsidR="00863057" w:rsidRPr="00960036" w:rsidRDefault="00863057" w:rsidP="0086305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Residential CARE electric bill increase</w:t>
            </w:r>
          </w:p>
        </w:tc>
        <w:tc>
          <w:tcPr>
            <w:tcW w:w="3944" w:type="dxa"/>
          </w:tcPr>
          <w:p w14:paraId="42D621C8" w14:textId="32EA252D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B637B2">
              <w:rPr>
                <w:rFonts w:ascii="Century Gothic" w:hAnsi="Century Gothic" w:cs="Calibri"/>
              </w:rPr>
              <w:t>1.64</w:t>
            </w:r>
            <w:r>
              <w:rPr>
                <w:rFonts w:ascii="Century Gothic" w:hAnsi="Century Gothic" w:cs="Calibri"/>
              </w:rPr>
              <w:t xml:space="preserve"> (</w:t>
            </w:r>
            <w:r w:rsidR="00B637B2">
              <w:rPr>
                <w:rFonts w:ascii="Century Gothic" w:hAnsi="Century Gothic" w:cs="Calibri"/>
              </w:rPr>
              <w:t>1.7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03881620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16C57277" w14:textId="77777777" w:rsidR="00CB4F96" w:rsidRPr="00960036" w:rsidRDefault="00CB4F96" w:rsidP="00CB4F96">
      <w:pPr>
        <w:ind w:firstLine="0"/>
        <w:rPr>
          <w:rFonts w:ascii="Century Gothic" w:hAnsi="Century Gothic" w:cs="Calibri"/>
        </w:rPr>
      </w:pPr>
      <w:r w:rsidRPr="00960036">
        <w:rPr>
          <w:rFonts w:ascii="Century Gothic" w:hAnsi="Century Gothic" w:cs="Calibri"/>
        </w:rPr>
        <w:t>Below are the electric rate change highlights:</w:t>
      </w:r>
    </w:p>
    <w:p w14:paraId="2FC4F27C" w14:textId="77777777" w:rsidR="002164F7" w:rsidRPr="00960036" w:rsidRDefault="002164F7" w:rsidP="002164F7">
      <w:pPr>
        <w:ind w:firstLine="0"/>
        <w:rPr>
          <w:rFonts w:ascii="Century Gothic" w:hAnsi="Century Gothic" w:cs="Calibri"/>
          <w:u w:val="single"/>
        </w:rPr>
      </w:pPr>
    </w:p>
    <w:p w14:paraId="31973BD1" w14:textId="30A32FD3" w:rsidR="00421E5E" w:rsidRPr="00960036" w:rsidRDefault="0099734E" w:rsidP="00B77B78">
      <w:pPr>
        <w:pStyle w:val="ListParagraph"/>
        <w:numPr>
          <w:ilvl w:val="0"/>
          <w:numId w:val="11"/>
        </w:numPr>
        <w:rPr>
          <w:rFonts w:ascii="Century Gothic" w:hAnsi="Century Gothic" w:cs="Calibri"/>
          <w:b/>
          <w:bCs/>
        </w:rPr>
      </w:pPr>
      <w:r w:rsidRPr="00960036">
        <w:rPr>
          <w:rFonts w:ascii="Century Gothic" w:hAnsi="Century Gothic" w:cs="Calibri"/>
          <w:b/>
          <w:bCs/>
        </w:rPr>
        <w:t>20</w:t>
      </w:r>
      <w:r w:rsidR="00532841">
        <w:rPr>
          <w:rFonts w:ascii="Century Gothic" w:hAnsi="Century Gothic" w:cs="Calibri"/>
          <w:b/>
          <w:bCs/>
        </w:rPr>
        <w:t>19</w:t>
      </w:r>
      <w:r w:rsidRPr="00960036">
        <w:rPr>
          <w:rFonts w:ascii="Century Gothic" w:hAnsi="Century Gothic" w:cs="Calibri"/>
          <w:b/>
          <w:bCs/>
        </w:rPr>
        <w:t xml:space="preserve"> </w:t>
      </w:r>
      <w:r w:rsidR="00532841">
        <w:rPr>
          <w:rFonts w:ascii="Century Gothic" w:hAnsi="Century Gothic" w:cs="Calibri"/>
          <w:b/>
          <w:bCs/>
        </w:rPr>
        <w:t>PacifiCorp</w:t>
      </w:r>
      <w:r w:rsidRPr="00960036">
        <w:rPr>
          <w:rFonts w:ascii="Century Gothic" w:hAnsi="Century Gothic" w:cs="Calibri"/>
          <w:b/>
          <w:bCs/>
        </w:rPr>
        <w:t xml:space="preserve"> </w:t>
      </w:r>
      <w:r w:rsidR="00863057">
        <w:rPr>
          <w:rFonts w:ascii="Century Gothic" w:hAnsi="Century Gothic" w:cs="Calibri"/>
          <w:b/>
          <w:bCs/>
        </w:rPr>
        <w:t>GRC</w:t>
      </w:r>
      <w:r w:rsidRPr="00960036">
        <w:rPr>
          <w:rFonts w:ascii="Century Gothic" w:hAnsi="Century Gothic" w:cs="Calibri"/>
          <w:b/>
          <w:bCs/>
        </w:rPr>
        <w:t xml:space="preserve"> i</w:t>
      </w:r>
      <w:r w:rsidR="004E0384" w:rsidRPr="00960036">
        <w:rPr>
          <w:rFonts w:ascii="Century Gothic" w:hAnsi="Century Gothic" w:cs="Calibri"/>
          <w:b/>
          <w:bCs/>
        </w:rPr>
        <w:t xml:space="preserve">mplementation </w:t>
      </w:r>
      <w:r w:rsidR="00421E5E" w:rsidRPr="00960036">
        <w:rPr>
          <w:rFonts w:ascii="Century Gothic" w:hAnsi="Century Gothic" w:cs="Calibri"/>
          <w:b/>
          <w:bCs/>
        </w:rPr>
        <w:t>(Advice Letter</w:t>
      </w:r>
      <w:r w:rsidRPr="00960036">
        <w:rPr>
          <w:rFonts w:ascii="Century Gothic" w:hAnsi="Century Gothic" w:cs="Calibri"/>
          <w:b/>
          <w:bCs/>
        </w:rPr>
        <w:t>)</w:t>
      </w:r>
      <w:r w:rsidR="00421E5E" w:rsidRPr="00960036">
        <w:rPr>
          <w:rFonts w:ascii="Century Gothic" w:hAnsi="Century Gothic" w:cs="Calibri"/>
          <w:b/>
          <w:bCs/>
        </w:rPr>
        <w:t xml:space="preserve"> Highlights:</w:t>
      </w:r>
    </w:p>
    <w:p w14:paraId="11DE8051" w14:textId="77777777" w:rsidR="00664C8E" w:rsidRPr="00960036" w:rsidRDefault="00664C8E" w:rsidP="00664C8E">
      <w:pPr>
        <w:pStyle w:val="ListParagraph"/>
        <w:spacing w:before="120"/>
        <w:ind w:left="1080" w:firstLine="0"/>
        <w:rPr>
          <w:rFonts w:ascii="Century Gothic" w:hAnsi="Century Gothic" w:cs="Calibri"/>
          <w:sz w:val="14"/>
          <w:szCs w:val="14"/>
        </w:rPr>
      </w:pPr>
    </w:p>
    <w:p w14:paraId="1FED7087" w14:textId="395728B3" w:rsidR="00664C8E" w:rsidRPr="00960036" w:rsidRDefault="00EB545D" w:rsidP="00664C8E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On </w:t>
      </w:r>
      <w:r w:rsidR="00B637B2">
        <w:rPr>
          <w:rFonts w:ascii="Century Gothic" w:hAnsi="Century Gothic" w:cs="Calibri"/>
        </w:rPr>
        <w:t>December</w:t>
      </w:r>
      <w:r>
        <w:rPr>
          <w:rFonts w:ascii="Century Gothic" w:hAnsi="Century Gothic" w:cs="Calibri"/>
        </w:rPr>
        <w:t xml:space="preserve"> </w:t>
      </w:r>
      <w:r w:rsidR="00B637B2">
        <w:rPr>
          <w:rFonts w:ascii="Century Gothic" w:hAnsi="Century Gothic" w:cs="Calibri"/>
        </w:rPr>
        <w:t>4</w:t>
      </w:r>
      <w:r>
        <w:rPr>
          <w:rFonts w:ascii="Century Gothic" w:hAnsi="Century Gothic" w:cs="Calibri"/>
        </w:rPr>
        <w:t xml:space="preserve">, 2020, the rate change reflecting </w:t>
      </w:r>
      <w:r w:rsidR="00664C8E" w:rsidRPr="00960036">
        <w:rPr>
          <w:rFonts w:ascii="Century Gothic" w:hAnsi="Century Gothic" w:cs="Calibri"/>
        </w:rPr>
        <w:t xml:space="preserve">the </w:t>
      </w:r>
      <w:r w:rsidRPr="00960036">
        <w:rPr>
          <w:rFonts w:ascii="Century Gothic" w:hAnsi="Century Gothic" w:cs="Calibri"/>
        </w:rPr>
        <w:t>$</w:t>
      </w:r>
      <w:r w:rsidR="00596E1D">
        <w:rPr>
          <w:rFonts w:ascii="Century Gothic" w:hAnsi="Century Gothic" w:cs="Calibri"/>
        </w:rPr>
        <w:t>1,653,526</w:t>
      </w:r>
      <w:r w:rsidRPr="00960036">
        <w:rPr>
          <w:rFonts w:ascii="Century Gothic" w:hAnsi="Century Gothic" w:cs="Calibri"/>
        </w:rPr>
        <w:t xml:space="preserve"> </w:t>
      </w:r>
      <w:r w:rsidR="00664C8E" w:rsidRPr="00960036">
        <w:rPr>
          <w:rFonts w:ascii="Century Gothic" w:hAnsi="Century Gothic" w:cs="Calibri"/>
          <w:u w:val="single"/>
        </w:rPr>
        <w:t>increase</w:t>
      </w:r>
      <w:r w:rsidR="00664C8E" w:rsidRPr="00960036">
        <w:rPr>
          <w:rFonts w:ascii="Century Gothic" w:hAnsi="Century Gothic" w:cs="Calibri"/>
        </w:rPr>
        <w:t xml:space="preserve"> from </w:t>
      </w:r>
      <w:r w:rsidR="000D0C25">
        <w:rPr>
          <w:rFonts w:ascii="Century Gothic" w:hAnsi="Century Gothic" w:cs="Calibri"/>
        </w:rPr>
        <w:t xml:space="preserve">the </w:t>
      </w:r>
      <w:r w:rsidR="001F7C6B">
        <w:rPr>
          <w:rFonts w:ascii="Century Gothic" w:hAnsi="Century Gothic" w:cs="Calibri"/>
        </w:rPr>
        <w:t xml:space="preserve">current </w:t>
      </w:r>
      <w:r w:rsidR="00242EE0">
        <w:rPr>
          <w:rFonts w:ascii="Century Gothic" w:hAnsi="Century Gothic" w:cs="Calibri"/>
        </w:rPr>
        <w:t xml:space="preserve">authorized </w:t>
      </w:r>
      <w:r w:rsidR="001F7C6B">
        <w:rPr>
          <w:rFonts w:ascii="Century Gothic" w:hAnsi="Century Gothic" w:cs="Calibri"/>
        </w:rPr>
        <w:t>revenue</w:t>
      </w:r>
      <w:r w:rsidR="00242EE0">
        <w:rPr>
          <w:rFonts w:ascii="Century Gothic" w:hAnsi="Century Gothic" w:cs="Calibri"/>
        </w:rPr>
        <w:t>s</w:t>
      </w:r>
      <w:r w:rsidR="001F7C6B">
        <w:rPr>
          <w:rFonts w:ascii="Century Gothic" w:hAnsi="Century Gothic" w:cs="Calibri"/>
        </w:rPr>
        <w:t xml:space="preserve"> </w:t>
      </w:r>
      <w:r w:rsidR="00B8063D">
        <w:rPr>
          <w:rFonts w:ascii="Century Gothic" w:hAnsi="Century Gothic" w:cs="Calibri"/>
        </w:rPr>
        <w:t>of $99,7</w:t>
      </w:r>
      <w:r w:rsidR="00532841">
        <w:rPr>
          <w:rFonts w:ascii="Century Gothic" w:hAnsi="Century Gothic" w:cs="Calibri"/>
        </w:rPr>
        <w:t>40</w:t>
      </w:r>
      <w:r w:rsidR="00B8063D">
        <w:rPr>
          <w:rFonts w:ascii="Century Gothic" w:hAnsi="Century Gothic" w:cs="Calibri"/>
        </w:rPr>
        <w:t>,</w:t>
      </w:r>
      <w:r w:rsidR="00532841">
        <w:rPr>
          <w:rFonts w:ascii="Century Gothic" w:hAnsi="Century Gothic" w:cs="Calibri"/>
        </w:rPr>
        <w:t>000</w:t>
      </w:r>
      <w:r w:rsidR="00B8063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will take place.</w:t>
      </w:r>
    </w:p>
    <w:p w14:paraId="7302C15C" w14:textId="6EDE954B" w:rsidR="00664C8E" w:rsidRPr="00863057" w:rsidRDefault="00242EE0" w:rsidP="00DF563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sz w:val="14"/>
          <w:szCs w:val="14"/>
        </w:rPr>
      </w:pPr>
      <w:r>
        <w:rPr>
          <w:rFonts w:ascii="Century Gothic" w:hAnsi="Century Gothic" w:cs="Calibri"/>
        </w:rPr>
        <w:t>The r</w:t>
      </w:r>
      <w:r w:rsidR="006720B2" w:rsidRPr="00863057">
        <w:rPr>
          <w:rFonts w:ascii="Century Gothic" w:hAnsi="Century Gothic" w:cs="Calibri"/>
        </w:rPr>
        <w:t>evenue</w:t>
      </w:r>
      <w:r w:rsidR="00552B0C" w:rsidRPr="00863057">
        <w:rPr>
          <w:rFonts w:ascii="Century Gothic" w:hAnsi="Century Gothic" w:cs="Calibri"/>
        </w:rPr>
        <w:t xml:space="preserve"> and </w:t>
      </w:r>
      <w:r w:rsidR="006720B2" w:rsidRPr="00863057">
        <w:rPr>
          <w:rFonts w:ascii="Century Gothic" w:hAnsi="Century Gothic" w:cs="Calibri"/>
        </w:rPr>
        <w:t>rate increase</w:t>
      </w:r>
      <w:r w:rsidR="0035260C" w:rsidRPr="00863057">
        <w:rPr>
          <w:rFonts w:ascii="Century Gothic" w:hAnsi="Century Gothic" w:cs="Calibri"/>
        </w:rPr>
        <w:t>s</w:t>
      </w:r>
      <w:r w:rsidR="006720B2" w:rsidRPr="00863057">
        <w:rPr>
          <w:rFonts w:ascii="Century Gothic" w:hAnsi="Century Gothic" w:cs="Calibri"/>
        </w:rPr>
        <w:t xml:space="preserve"> are due to</w:t>
      </w:r>
      <w:r w:rsidR="000D0C25">
        <w:rPr>
          <w:rFonts w:ascii="Century Gothic" w:hAnsi="Century Gothic" w:cs="Calibri"/>
        </w:rPr>
        <w:t xml:space="preserve"> </w:t>
      </w:r>
      <w:r w:rsidR="00774A18">
        <w:rPr>
          <w:rFonts w:ascii="Century Gothic" w:hAnsi="Century Gothic" w:cs="Calibri"/>
        </w:rPr>
        <w:t xml:space="preserve">approved </w:t>
      </w:r>
      <w:r w:rsidR="000D0C25">
        <w:rPr>
          <w:rFonts w:ascii="Century Gothic" w:hAnsi="Century Gothic" w:cs="Calibri"/>
        </w:rPr>
        <w:t xml:space="preserve">capital </w:t>
      </w:r>
      <w:r w:rsidR="00B637B2">
        <w:rPr>
          <w:rFonts w:ascii="Century Gothic" w:hAnsi="Century Gothic" w:cs="Calibri"/>
        </w:rPr>
        <w:t>additions</w:t>
      </w:r>
      <w:r w:rsidR="00D72C83">
        <w:rPr>
          <w:rFonts w:ascii="Century Gothic" w:hAnsi="Century Gothic" w:cs="Calibri"/>
        </w:rPr>
        <w:t xml:space="preserve">: (1) Dunlap 1 wind facility and (2) </w:t>
      </w:r>
      <w:r w:rsidR="00D72C83" w:rsidRPr="0078294C">
        <w:rPr>
          <w:rFonts w:ascii="Century Gothic" w:hAnsi="Century Gothic" w:cs="Calibri"/>
        </w:rPr>
        <w:t>Aeolus to Bridger/Anticline 500kV</w:t>
      </w:r>
      <w:r w:rsidR="00D72C83">
        <w:rPr>
          <w:rFonts w:ascii="Century Gothic" w:hAnsi="Century Gothic" w:cs="Calibri"/>
        </w:rPr>
        <w:t xml:space="preserve"> </w:t>
      </w:r>
      <w:r w:rsidR="00D72C83" w:rsidRPr="0078294C">
        <w:rPr>
          <w:rFonts w:ascii="Century Gothic" w:hAnsi="Century Gothic" w:cs="Calibri"/>
        </w:rPr>
        <w:t>Transmission Project</w:t>
      </w:r>
      <w:r w:rsidR="00B637B2">
        <w:rPr>
          <w:rFonts w:ascii="Century Gothic" w:hAnsi="Century Gothic" w:cs="Calibri"/>
        </w:rPr>
        <w:t>.</w:t>
      </w:r>
    </w:p>
    <w:p w14:paraId="4BC0C9DA" w14:textId="79F55108" w:rsidR="00421E5E" w:rsidRDefault="00577971" w:rsidP="00863057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 w:rsidRPr="00577971">
        <w:rPr>
          <w:rFonts w:ascii="Century Gothic" w:hAnsi="Century Gothic" w:cs="Calibri"/>
        </w:rPr>
        <w:t xml:space="preserve">The proposed increase will result in the following changes by customer segment: </w:t>
      </w:r>
    </w:p>
    <w:p w14:paraId="4BA439D5" w14:textId="77777777" w:rsidR="00421E5E" w:rsidRPr="00960036" w:rsidRDefault="00421E5E" w:rsidP="00512B1B">
      <w:pPr>
        <w:ind w:firstLine="0"/>
        <w:rPr>
          <w:rFonts w:ascii="Century Gothic" w:hAnsi="Century Gothic" w:cs="Calibri"/>
          <w:sz w:val="14"/>
          <w:szCs w:val="14"/>
        </w:rPr>
      </w:pPr>
    </w:p>
    <w:p w14:paraId="764B896D" w14:textId="77777777" w:rsidR="00DB48E8" w:rsidRPr="00960036" w:rsidRDefault="00DB48E8" w:rsidP="00512B1B">
      <w:pPr>
        <w:ind w:firstLine="0"/>
        <w:rPr>
          <w:rFonts w:ascii="Century Gothic" w:hAnsi="Century Gothic" w:cs="Calibri"/>
          <w:sz w:val="14"/>
          <w:szCs w:val="14"/>
        </w:rPr>
      </w:pPr>
    </w:p>
    <w:tbl>
      <w:tblPr>
        <w:tblStyle w:val="TableGrid"/>
        <w:tblW w:w="0" w:type="auto"/>
        <w:tblInd w:w="2110" w:type="dxa"/>
        <w:tblLook w:val="04A0" w:firstRow="1" w:lastRow="0" w:firstColumn="1" w:lastColumn="0" w:noHBand="0" w:noVBand="1"/>
      </w:tblPr>
      <w:tblGrid>
        <w:gridCol w:w="3596"/>
        <w:gridCol w:w="1799"/>
        <w:gridCol w:w="1170"/>
      </w:tblGrid>
      <w:tr w:rsidR="00577971" w14:paraId="189F0A4E" w14:textId="77777777" w:rsidTr="00577971">
        <w:tc>
          <w:tcPr>
            <w:tcW w:w="3596" w:type="dxa"/>
          </w:tcPr>
          <w:p w14:paraId="3345287C" w14:textId="1691C295" w:rsidR="00577971" w:rsidRDefault="00577971" w:rsidP="0077538E">
            <w:pPr>
              <w:pStyle w:val="ListParagraph"/>
              <w:ind w:left="0" w:firstLine="0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Residential</w:t>
            </w:r>
          </w:p>
        </w:tc>
        <w:tc>
          <w:tcPr>
            <w:tcW w:w="1799" w:type="dxa"/>
          </w:tcPr>
          <w:p w14:paraId="7F2EDCCF" w14:textId="63634D72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  <w:sz w:val="26"/>
                <w:szCs w:val="26"/>
              </w:rPr>
              <w:t>$888,000</w:t>
            </w:r>
          </w:p>
        </w:tc>
        <w:tc>
          <w:tcPr>
            <w:tcW w:w="1170" w:type="dxa"/>
          </w:tcPr>
          <w:p w14:paraId="43D9E124" w14:textId="308F738B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1.7%</w:t>
            </w:r>
          </w:p>
        </w:tc>
      </w:tr>
      <w:tr w:rsidR="00577971" w14:paraId="24FD0D67" w14:textId="77777777" w:rsidTr="00577971">
        <w:tc>
          <w:tcPr>
            <w:tcW w:w="3596" w:type="dxa"/>
          </w:tcPr>
          <w:p w14:paraId="285B1F37" w14:textId="7C7BB9B9" w:rsidR="00577971" w:rsidRDefault="00577971" w:rsidP="0077538E">
            <w:pPr>
              <w:pStyle w:val="ListParagraph"/>
              <w:ind w:left="0" w:firstLine="0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  <w:sz w:val="26"/>
                <w:szCs w:val="26"/>
              </w:rPr>
              <w:t>Commercial and Industrial</w:t>
            </w:r>
          </w:p>
        </w:tc>
        <w:tc>
          <w:tcPr>
            <w:tcW w:w="1799" w:type="dxa"/>
          </w:tcPr>
          <w:p w14:paraId="4AC94264" w14:textId="0880D204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$554,000</w:t>
            </w:r>
          </w:p>
        </w:tc>
        <w:tc>
          <w:tcPr>
            <w:tcW w:w="1170" w:type="dxa"/>
          </w:tcPr>
          <w:p w14:paraId="2604E61F" w14:textId="182194F6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  <w:sz w:val="26"/>
                <w:szCs w:val="26"/>
              </w:rPr>
              <w:t>1.6%</w:t>
            </w:r>
          </w:p>
        </w:tc>
      </w:tr>
      <w:tr w:rsidR="00577971" w14:paraId="5DF4D466" w14:textId="77777777" w:rsidTr="00577971">
        <w:tc>
          <w:tcPr>
            <w:tcW w:w="3596" w:type="dxa"/>
          </w:tcPr>
          <w:p w14:paraId="1AF7EF9A" w14:textId="369E9142" w:rsidR="00577971" w:rsidRDefault="00577971" w:rsidP="0077538E">
            <w:pPr>
              <w:pStyle w:val="ListParagraph"/>
              <w:ind w:left="0" w:firstLine="0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Irrigation</w:t>
            </w:r>
          </w:p>
        </w:tc>
        <w:tc>
          <w:tcPr>
            <w:tcW w:w="1799" w:type="dxa"/>
          </w:tcPr>
          <w:p w14:paraId="34AFAFDA" w14:textId="310AA919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$199,000</w:t>
            </w:r>
          </w:p>
        </w:tc>
        <w:tc>
          <w:tcPr>
            <w:tcW w:w="1170" w:type="dxa"/>
          </w:tcPr>
          <w:p w14:paraId="52FA0DEB" w14:textId="26D467C4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1.6%</w:t>
            </w:r>
          </w:p>
        </w:tc>
      </w:tr>
      <w:tr w:rsidR="00577971" w14:paraId="49BB88F8" w14:textId="77777777" w:rsidTr="00577971">
        <w:tc>
          <w:tcPr>
            <w:tcW w:w="3596" w:type="dxa"/>
          </w:tcPr>
          <w:p w14:paraId="148539B4" w14:textId="7E8E4036" w:rsidR="00577971" w:rsidRDefault="00577971" w:rsidP="0077538E">
            <w:pPr>
              <w:pStyle w:val="ListParagraph"/>
              <w:ind w:left="0" w:firstLine="0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Lighting</w:t>
            </w:r>
          </w:p>
        </w:tc>
        <w:tc>
          <w:tcPr>
            <w:tcW w:w="1799" w:type="dxa"/>
          </w:tcPr>
          <w:p w14:paraId="56037067" w14:textId="4A6F9EC9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$12,000</w:t>
            </w:r>
          </w:p>
        </w:tc>
        <w:tc>
          <w:tcPr>
            <w:tcW w:w="1170" w:type="dxa"/>
          </w:tcPr>
          <w:p w14:paraId="5CFBFA3B" w14:textId="78EAECE2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1.9%</w:t>
            </w:r>
          </w:p>
        </w:tc>
      </w:tr>
      <w:tr w:rsidR="00577971" w14:paraId="57BB94E4" w14:textId="77777777" w:rsidTr="00577971">
        <w:tc>
          <w:tcPr>
            <w:tcW w:w="3596" w:type="dxa"/>
          </w:tcPr>
          <w:p w14:paraId="3A825C46" w14:textId="5E98A028" w:rsidR="00577971" w:rsidRDefault="00577971" w:rsidP="0077538E">
            <w:pPr>
              <w:pStyle w:val="ListParagraph"/>
              <w:ind w:left="0" w:firstLine="0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Overall</w:t>
            </w:r>
          </w:p>
        </w:tc>
        <w:tc>
          <w:tcPr>
            <w:tcW w:w="1799" w:type="dxa"/>
          </w:tcPr>
          <w:p w14:paraId="361ABC87" w14:textId="30038885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$1,653,000</w:t>
            </w:r>
          </w:p>
        </w:tc>
        <w:tc>
          <w:tcPr>
            <w:tcW w:w="1170" w:type="dxa"/>
          </w:tcPr>
          <w:p w14:paraId="3ABF4B61" w14:textId="4ADF0308" w:rsidR="00577971" w:rsidRDefault="00577971" w:rsidP="00331A8E">
            <w:pPr>
              <w:pStyle w:val="ListParagraph"/>
              <w:ind w:left="0" w:firstLine="0"/>
              <w:jc w:val="center"/>
              <w:rPr>
                <w:rFonts w:ascii="Century Gothic" w:hAnsi="Century Gothic" w:cs="Calibri"/>
                <w:sz w:val="26"/>
                <w:szCs w:val="26"/>
              </w:rPr>
            </w:pPr>
            <w:r w:rsidRPr="00577971">
              <w:rPr>
                <w:rFonts w:ascii="Century Gothic" w:hAnsi="Century Gothic" w:cs="Calibri"/>
              </w:rPr>
              <w:t>1.7%</w:t>
            </w:r>
          </w:p>
        </w:tc>
      </w:tr>
    </w:tbl>
    <w:p w14:paraId="4AE40DC3" w14:textId="77777777" w:rsidR="00421E5E" w:rsidRPr="00960036" w:rsidRDefault="00421E5E" w:rsidP="0077538E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sectPr w:rsidR="00421E5E" w:rsidRPr="00960036" w:rsidSect="005179C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E08A" w14:textId="77777777" w:rsidR="006200CA" w:rsidRDefault="006200CA">
      <w:r>
        <w:separator/>
      </w:r>
    </w:p>
    <w:p w14:paraId="4BE9CD5F" w14:textId="77777777" w:rsidR="006200CA" w:rsidRDefault="006200CA"/>
  </w:endnote>
  <w:endnote w:type="continuationSeparator" w:id="0">
    <w:p w14:paraId="24E0AD32" w14:textId="77777777" w:rsidR="006200CA" w:rsidRDefault="006200CA">
      <w:r>
        <w:continuationSeparator/>
      </w:r>
    </w:p>
    <w:p w14:paraId="5A61137B" w14:textId="77777777" w:rsidR="006200CA" w:rsidRDefault="00620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572D4E" w14:textId="77777777" w:rsidR="00A42FDB" w:rsidRDefault="00242EE0" w:rsidP="00AA5D1C">
        <w:pPr>
          <w:pStyle w:val="Footer"/>
          <w:rPr>
            <w:rStyle w:val="PageNumber"/>
          </w:rPr>
        </w:pPr>
      </w:p>
    </w:sdtContent>
  </w:sdt>
  <w:p w14:paraId="6F71C3C7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D418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="008C068D">
          <w:rPr>
            <w:rFonts w:ascii="Garamond" w:hAnsi="Garamond"/>
            <w:noProof/>
          </w:rPr>
          <w:t>2</w:t>
        </w:r>
      </w:p>
    </w:sdtContent>
  </w:sdt>
  <w:p w14:paraId="71146E7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14:paraId="5A5E26B4" w14:textId="77777777"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</w:t>
        </w:r>
        <w:r w:rsidR="00255C41">
          <w:rPr>
            <w:rFonts w:ascii="Garamond" w:hAnsi="Garamond"/>
            <w:sz w:val="22"/>
            <w:szCs w:val="22"/>
          </w:rPr>
          <w:t>Change</w:t>
        </w:r>
        <w:r w:rsidRPr="00D31094">
          <w:rPr>
            <w:rFonts w:ascii="Garamond" w:hAnsi="Garamond"/>
            <w:sz w:val="22"/>
            <w:szCs w:val="22"/>
          </w:rPr>
          <w:t xml:space="preserve"> Advisory</w:t>
        </w:r>
        <w:r w:rsidRPr="00D31094">
          <w:rPr>
            <w:rFonts w:ascii="Garamond" w:hAnsi="Garamond"/>
          </w:rPr>
          <w:t xml:space="preserve"> | </w:t>
        </w:r>
        <w:r w:rsidR="003A410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</w:rPr>
          <w:t xml:space="preserve"> </w:t>
        </w:r>
      </w:p>
    </w:sdtContent>
  </w:sdt>
  <w:p w14:paraId="68FFB7EE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F9EC" w14:textId="77777777" w:rsidR="006200CA" w:rsidRDefault="006200CA">
      <w:r>
        <w:separator/>
      </w:r>
    </w:p>
    <w:p w14:paraId="00D5C36F" w14:textId="77777777" w:rsidR="006200CA" w:rsidRDefault="006200CA"/>
  </w:footnote>
  <w:footnote w:type="continuationSeparator" w:id="0">
    <w:p w14:paraId="424D6807" w14:textId="77777777" w:rsidR="006200CA" w:rsidRDefault="006200CA">
      <w:r>
        <w:continuationSeparator/>
      </w:r>
    </w:p>
    <w:p w14:paraId="2E9CBEFB" w14:textId="77777777" w:rsidR="006200CA" w:rsidRDefault="006200CA"/>
  </w:footnote>
  <w:footnote w:id="1">
    <w:p w14:paraId="35F0C6A5" w14:textId="52125640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r w:rsidRPr="00960036">
        <w:rPr>
          <w:rFonts w:ascii="Century Gothic" w:hAnsi="Century Gothic"/>
          <w:sz w:val="22"/>
          <w:szCs w:val="22"/>
        </w:rPr>
        <w:t>Based on a “typical</w:t>
      </w:r>
      <w:r w:rsidR="00354A4E" w:rsidRPr="00960036">
        <w:rPr>
          <w:rFonts w:ascii="Century Gothic" w:hAnsi="Century Gothic"/>
          <w:sz w:val="22"/>
          <w:szCs w:val="22"/>
        </w:rPr>
        <w:t xml:space="preserve">” residential customer using, on average, </w:t>
      </w:r>
      <w:r w:rsidR="00EC1BE5">
        <w:rPr>
          <w:rFonts w:ascii="Century Gothic" w:hAnsi="Century Gothic"/>
          <w:sz w:val="22"/>
          <w:szCs w:val="22"/>
        </w:rPr>
        <w:t>850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9152363" w14:textId="77777777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7269C8E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BC713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April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14:paraId="1F50F7D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14:paraId="00409726" w14:textId="77777777"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14:paraId="48F34E71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28156731" wp14:editId="582495BF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AFB6920" w14:textId="77777777" w:rsidR="00A42FDB" w:rsidRPr="005179CC" w:rsidRDefault="00A42FDB" w:rsidP="0051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607F3E0C" w14:textId="77777777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74698A1B" w14:textId="1B1033DC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B637B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December</w:t>
          </w:r>
          <w:r w:rsidR="009C08EA"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Pr="00CE19C8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2020</w:t>
          </w:r>
        </w:p>
      </w:tc>
      <w:tc>
        <w:tcPr>
          <w:tcW w:w="6151" w:type="dxa"/>
          <w:shd w:val="clear" w:color="auto" w:fill="002060"/>
          <w:vAlign w:val="center"/>
        </w:tcPr>
        <w:p w14:paraId="0FE42E3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3FCE9A8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740AE1A4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0E919D27" wp14:editId="03468FB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C7C3ABD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2D"/>
      </v:shape>
    </w:pict>
  </w:numPicBullet>
  <w:abstractNum w:abstractNumId="0" w15:restartNumberingAfterBreak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05"/>
    <w:rsid w:val="00004E2F"/>
    <w:rsid w:val="000069E1"/>
    <w:rsid w:val="000115F0"/>
    <w:rsid w:val="00017089"/>
    <w:rsid w:val="00023054"/>
    <w:rsid w:val="00024CF2"/>
    <w:rsid w:val="00025EEC"/>
    <w:rsid w:val="00026904"/>
    <w:rsid w:val="00026B38"/>
    <w:rsid w:val="00027DF1"/>
    <w:rsid w:val="00031903"/>
    <w:rsid w:val="0003222D"/>
    <w:rsid w:val="00034FD9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D0C25"/>
    <w:rsid w:val="000D17D3"/>
    <w:rsid w:val="000D6E0B"/>
    <w:rsid w:val="000E3D03"/>
    <w:rsid w:val="001227B5"/>
    <w:rsid w:val="00130972"/>
    <w:rsid w:val="0013200C"/>
    <w:rsid w:val="00152406"/>
    <w:rsid w:val="00154274"/>
    <w:rsid w:val="00165273"/>
    <w:rsid w:val="001742DA"/>
    <w:rsid w:val="00181170"/>
    <w:rsid w:val="001923C3"/>
    <w:rsid w:val="00197C00"/>
    <w:rsid w:val="001B6393"/>
    <w:rsid w:val="001D291E"/>
    <w:rsid w:val="001D6674"/>
    <w:rsid w:val="001F7C6B"/>
    <w:rsid w:val="002005CC"/>
    <w:rsid w:val="002027EB"/>
    <w:rsid w:val="00210772"/>
    <w:rsid w:val="00211A70"/>
    <w:rsid w:val="00216078"/>
    <w:rsid w:val="002164F7"/>
    <w:rsid w:val="00220C86"/>
    <w:rsid w:val="0022257D"/>
    <w:rsid w:val="00225BA9"/>
    <w:rsid w:val="0022639A"/>
    <w:rsid w:val="00226EBB"/>
    <w:rsid w:val="0024182E"/>
    <w:rsid w:val="00242EE0"/>
    <w:rsid w:val="00244F7D"/>
    <w:rsid w:val="00247273"/>
    <w:rsid w:val="00247CD5"/>
    <w:rsid w:val="00247F2E"/>
    <w:rsid w:val="00250C3A"/>
    <w:rsid w:val="00255C41"/>
    <w:rsid w:val="002604B0"/>
    <w:rsid w:val="00264F19"/>
    <w:rsid w:val="0027768E"/>
    <w:rsid w:val="002826A9"/>
    <w:rsid w:val="0029088B"/>
    <w:rsid w:val="002A2068"/>
    <w:rsid w:val="002A2DE6"/>
    <w:rsid w:val="002A41E4"/>
    <w:rsid w:val="002A770B"/>
    <w:rsid w:val="002B32F2"/>
    <w:rsid w:val="002C361D"/>
    <w:rsid w:val="002C4428"/>
    <w:rsid w:val="002D55E3"/>
    <w:rsid w:val="00313C67"/>
    <w:rsid w:val="003148B3"/>
    <w:rsid w:val="0032676E"/>
    <w:rsid w:val="0032777C"/>
    <w:rsid w:val="00331A8E"/>
    <w:rsid w:val="003373DE"/>
    <w:rsid w:val="0035260C"/>
    <w:rsid w:val="00354A4E"/>
    <w:rsid w:val="0036029F"/>
    <w:rsid w:val="00375A37"/>
    <w:rsid w:val="00383440"/>
    <w:rsid w:val="003A410B"/>
    <w:rsid w:val="003A5EDF"/>
    <w:rsid w:val="003B1368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066B7"/>
    <w:rsid w:val="004109D4"/>
    <w:rsid w:val="00420AE1"/>
    <w:rsid w:val="00420D07"/>
    <w:rsid w:val="00421E5E"/>
    <w:rsid w:val="004308B1"/>
    <w:rsid w:val="00433148"/>
    <w:rsid w:val="00433CE9"/>
    <w:rsid w:val="004430A4"/>
    <w:rsid w:val="004576EC"/>
    <w:rsid w:val="004642EC"/>
    <w:rsid w:val="00467C49"/>
    <w:rsid w:val="004706BE"/>
    <w:rsid w:val="00474F83"/>
    <w:rsid w:val="00487649"/>
    <w:rsid w:val="00487DDA"/>
    <w:rsid w:val="004941D2"/>
    <w:rsid w:val="00497EB9"/>
    <w:rsid w:val="004A2C07"/>
    <w:rsid w:val="004A69F1"/>
    <w:rsid w:val="004A7E44"/>
    <w:rsid w:val="004B0515"/>
    <w:rsid w:val="004C5737"/>
    <w:rsid w:val="004E0384"/>
    <w:rsid w:val="004E154E"/>
    <w:rsid w:val="004F0FB0"/>
    <w:rsid w:val="004F467C"/>
    <w:rsid w:val="004F7B2B"/>
    <w:rsid w:val="00506C17"/>
    <w:rsid w:val="0051222C"/>
    <w:rsid w:val="00512B1B"/>
    <w:rsid w:val="00513835"/>
    <w:rsid w:val="005179CC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FEF"/>
    <w:rsid w:val="00577971"/>
    <w:rsid w:val="00583A04"/>
    <w:rsid w:val="00590D03"/>
    <w:rsid w:val="00596E1D"/>
    <w:rsid w:val="005A10B8"/>
    <w:rsid w:val="005C4EC3"/>
    <w:rsid w:val="005D13A8"/>
    <w:rsid w:val="005D2EAB"/>
    <w:rsid w:val="005E4368"/>
    <w:rsid w:val="005F4F7C"/>
    <w:rsid w:val="006200CA"/>
    <w:rsid w:val="00640B0E"/>
    <w:rsid w:val="006431EF"/>
    <w:rsid w:val="00645B76"/>
    <w:rsid w:val="006465FE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2BFD"/>
    <w:rsid w:val="00693FCB"/>
    <w:rsid w:val="006A05D6"/>
    <w:rsid w:val="006B3518"/>
    <w:rsid w:val="006B7F07"/>
    <w:rsid w:val="006D4605"/>
    <w:rsid w:val="006D5A7C"/>
    <w:rsid w:val="006D7FBD"/>
    <w:rsid w:val="006F186F"/>
    <w:rsid w:val="006F4F92"/>
    <w:rsid w:val="00704D6C"/>
    <w:rsid w:val="00714B95"/>
    <w:rsid w:val="00715E59"/>
    <w:rsid w:val="007213FF"/>
    <w:rsid w:val="007337FB"/>
    <w:rsid w:val="007350FA"/>
    <w:rsid w:val="0073542E"/>
    <w:rsid w:val="00736959"/>
    <w:rsid w:val="00740A58"/>
    <w:rsid w:val="00744580"/>
    <w:rsid w:val="00747A77"/>
    <w:rsid w:val="00750033"/>
    <w:rsid w:val="007501A3"/>
    <w:rsid w:val="00751015"/>
    <w:rsid w:val="0075685A"/>
    <w:rsid w:val="00764CCE"/>
    <w:rsid w:val="00770686"/>
    <w:rsid w:val="00774A18"/>
    <w:rsid w:val="00774E68"/>
    <w:rsid w:val="0077538E"/>
    <w:rsid w:val="007821A8"/>
    <w:rsid w:val="0078294C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63057"/>
    <w:rsid w:val="0087708C"/>
    <w:rsid w:val="0089340B"/>
    <w:rsid w:val="00894283"/>
    <w:rsid w:val="008A19CA"/>
    <w:rsid w:val="008B4F7C"/>
    <w:rsid w:val="008B4FB2"/>
    <w:rsid w:val="008B545E"/>
    <w:rsid w:val="008C068D"/>
    <w:rsid w:val="008F0EAE"/>
    <w:rsid w:val="008F3C57"/>
    <w:rsid w:val="009028CF"/>
    <w:rsid w:val="00904F9A"/>
    <w:rsid w:val="00906436"/>
    <w:rsid w:val="00906D2F"/>
    <w:rsid w:val="00907739"/>
    <w:rsid w:val="0091796E"/>
    <w:rsid w:val="00923392"/>
    <w:rsid w:val="00960036"/>
    <w:rsid w:val="00960614"/>
    <w:rsid w:val="00962953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C08EA"/>
    <w:rsid w:val="009C1F06"/>
    <w:rsid w:val="009C413D"/>
    <w:rsid w:val="009C489E"/>
    <w:rsid w:val="009C64BF"/>
    <w:rsid w:val="009F2F79"/>
    <w:rsid w:val="009F37FD"/>
    <w:rsid w:val="00A04EDD"/>
    <w:rsid w:val="00A100CA"/>
    <w:rsid w:val="00A12A44"/>
    <w:rsid w:val="00A14F8E"/>
    <w:rsid w:val="00A21707"/>
    <w:rsid w:val="00A24FB2"/>
    <w:rsid w:val="00A31DB8"/>
    <w:rsid w:val="00A33DC8"/>
    <w:rsid w:val="00A42FDB"/>
    <w:rsid w:val="00A47930"/>
    <w:rsid w:val="00A54A53"/>
    <w:rsid w:val="00A565BE"/>
    <w:rsid w:val="00A56964"/>
    <w:rsid w:val="00A64E58"/>
    <w:rsid w:val="00A86289"/>
    <w:rsid w:val="00A9325D"/>
    <w:rsid w:val="00A9594E"/>
    <w:rsid w:val="00AA1472"/>
    <w:rsid w:val="00AA279D"/>
    <w:rsid w:val="00AA5D1C"/>
    <w:rsid w:val="00AC5C9F"/>
    <w:rsid w:val="00AC796F"/>
    <w:rsid w:val="00AD2B02"/>
    <w:rsid w:val="00AD5628"/>
    <w:rsid w:val="00AE3DC6"/>
    <w:rsid w:val="00AE5D54"/>
    <w:rsid w:val="00AF08F7"/>
    <w:rsid w:val="00AF0AD6"/>
    <w:rsid w:val="00AF7013"/>
    <w:rsid w:val="00B12BBD"/>
    <w:rsid w:val="00B2335F"/>
    <w:rsid w:val="00B30AA1"/>
    <w:rsid w:val="00B344BF"/>
    <w:rsid w:val="00B43F4E"/>
    <w:rsid w:val="00B637B2"/>
    <w:rsid w:val="00B67CC1"/>
    <w:rsid w:val="00B72448"/>
    <w:rsid w:val="00B77B78"/>
    <w:rsid w:val="00B8063D"/>
    <w:rsid w:val="00B8732B"/>
    <w:rsid w:val="00B90CB9"/>
    <w:rsid w:val="00B9638F"/>
    <w:rsid w:val="00BA1AE6"/>
    <w:rsid w:val="00BB3903"/>
    <w:rsid w:val="00BC591F"/>
    <w:rsid w:val="00BC713D"/>
    <w:rsid w:val="00BD1059"/>
    <w:rsid w:val="00BD2851"/>
    <w:rsid w:val="00BE17F2"/>
    <w:rsid w:val="00BF53B3"/>
    <w:rsid w:val="00BF5B47"/>
    <w:rsid w:val="00C011FD"/>
    <w:rsid w:val="00C03449"/>
    <w:rsid w:val="00C21A02"/>
    <w:rsid w:val="00C3215A"/>
    <w:rsid w:val="00C459C9"/>
    <w:rsid w:val="00C47053"/>
    <w:rsid w:val="00C47A69"/>
    <w:rsid w:val="00C63C9B"/>
    <w:rsid w:val="00C67186"/>
    <w:rsid w:val="00C72AE1"/>
    <w:rsid w:val="00C83FB0"/>
    <w:rsid w:val="00C84C80"/>
    <w:rsid w:val="00C85647"/>
    <w:rsid w:val="00C856A2"/>
    <w:rsid w:val="00C87F18"/>
    <w:rsid w:val="00C93620"/>
    <w:rsid w:val="00C97847"/>
    <w:rsid w:val="00CA2061"/>
    <w:rsid w:val="00CA65A7"/>
    <w:rsid w:val="00CA7021"/>
    <w:rsid w:val="00CB4F96"/>
    <w:rsid w:val="00CC0499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25183"/>
    <w:rsid w:val="00D26DE7"/>
    <w:rsid w:val="00D31094"/>
    <w:rsid w:val="00D4000C"/>
    <w:rsid w:val="00D410D3"/>
    <w:rsid w:val="00D431EC"/>
    <w:rsid w:val="00D44ED3"/>
    <w:rsid w:val="00D53687"/>
    <w:rsid w:val="00D636DC"/>
    <w:rsid w:val="00D6482E"/>
    <w:rsid w:val="00D64A9A"/>
    <w:rsid w:val="00D72C83"/>
    <w:rsid w:val="00D80425"/>
    <w:rsid w:val="00D83727"/>
    <w:rsid w:val="00D85AE4"/>
    <w:rsid w:val="00D93845"/>
    <w:rsid w:val="00D96F26"/>
    <w:rsid w:val="00DA1AA5"/>
    <w:rsid w:val="00DA2F3D"/>
    <w:rsid w:val="00DB21E0"/>
    <w:rsid w:val="00DB48E8"/>
    <w:rsid w:val="00DB7796"/>
    <w:rsid w:val="00DC1012"/>
    <w:rsid w:val="00DC7C3E"/>
    <w:rsid w:val="00DD0AA0"/>
    <w:rsid w:val="00DD23FA"/>
    <w:rsid w:val="00DD577D"/>
    <w:rsid w:val="00DE00A6"/>
    <w:rsid w:val="00DF5631"/>
    <w:rsid w:val="00E07248"/>
    <w:rsid w:val="00E15290"/>
    <w:rsid w:val="00E17ECA"/>
    <w:rsid w:val="00E27F02"/>
    <w:rsid w:val="00E30A95"/>
    <w:rsid w:val="00E3304B"/>
    <w:rsid w:val="00E33B56"/>
    <w:rsid w:val="00E46AC1"/>
    <w:rsid w:val="00E57E1A"/>
    <w:rsid w:val="00E62EB2"/>
    <w:rsid w:val="00E64305"/>
    <w:rsid w:val="00E74DCD"/>
    <w:rsid w:val="00E767CC"/>
    <w:rsid w:val="00E81868"/>
    <w:rsid w:val="00E97440"/>
    <w:rsid w:val="00E97705"/>
    <w:rsid w:val="00E97749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14E"/>
    <w:rsid w:val="00EE5D73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5E84"/>
    <w:rsid w:val="00F67D94"/>
    <w:rsid w:val="00F75E58"/>
    <w:rsid w:val="00F7758E"/>
    <w:rsid w:val="00F85BA0"/>
    <w:rsid w:val="00F97A4E"/>
    <w:rsid w:val="00FA5ED0"/>
    <w:rsid w:val="00FA7045"/>
    <w:rsid w:val="00FB198C"/>
    <w:rsid w:val="00FB2714"/>
    <w:rsid w:val="00FD3A7D"/>
    <w:rsid w:val="00FD4D9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ctive-action.info/_ICA_Today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4" ma:contentTypeDescription="Create a new document." ma:contentTypeScope="" ma:versionID="fc00334754aa581c0fa2dc47773fbe3b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cb5be191e1948dec1032c6544271cf2c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B23F9-8246-4431-8279-65E935724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6D7DA-B086-4427-9ECE-BB7C0B79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2020-12-02T18:29:00Z</dcterms:created>
  <dcterms:modified xsi:type="dcterms:W3CDTF">2020-12-02T18:29:00Z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