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2733" w14:textId="47792708" w:rsidR="00A73F96" w:rsidRPr="00D86AA0" w:rsidRDefault="005E43E1" w:rsidP="005921B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1D827" wp14:editId="1F5783EA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5935133" cy="770467"/>
                <wp:effectExtent l="0" t="0" r="279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133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8D17A" w14:textId="7CB31560" w:rsidR="005E43E1" w:rsidRPr="005E43E1" w:rsidRDefault="005E43E1" w:rsidP="005E43E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sz w:val="28"/>
                                <w:szCs w:val="28"/>
                              </w:rPr>
                            </w:pPr>
                            <w:r w:rsidRPr="005E43E1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Solar On Multifamily Affordable Housing (SOMAH) Budget Guidance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D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15pt;margin-top:-.3pt;width:467.35pt;height:60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" fillcolor="white [3201]" strokeweight=".5pt">
                <v:textbox>
                  <w:txbxContent>
                    <w:p w14:paraId="08D8D17A" w14:textId="7CB31560" w:rsidR="005E43E1" w:rsidRPr="005E43E1" w:rsidRDefault="005E43E1" w:rsidP="005E43E1">
                      <w:pPr>
                        <w:jc w:val="center"/>
                        <w:rPr>
                          <w:rFonts w:ascii="Century Gothic" w:hAnsi="Century Gothic" w:cs="Times New Roman"/>
                          <w:sz w:val="28"/>
                          <w:szCs w:val="28"/>
                        </w:rPr>
                      </w:pPr>
                      <w:r w:rsidRPr="005E43E1">
                        <w:rPr>
                          <w:rFonts w:ascii="Century Gothic" w:hAnsi="Century Gothic" w:cs="Times New Roman"/>
                          <w:b/>
                          <w:bCs/>
                          <w:sz w:val="28"/>
                          <w:szCs w:val="28"/>
                        </w:rPr>
                        <w:t>Solar On Multifamily Affordable Housing (SOMAH) Budget Guidance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8C0FC" w14:textId="2CCDB387" w:rsidR="005E43E1" w:rsidRDefault="005E43E1" w:rsidP="005E43E1">
      <w:pPr>
        <w:rPr>
          <w:rFonts w:ascii="Century Gothic" w:hAnsi="Century Gothic"/>
        </w:rPr>
      </w:pPr>
    </w:p>
    <w:p w14:paraId="08E9FF9C" w14:textId="77777777" w:rsidR="005E43E1" w:rsidRPr="00FC3EB6" w:rsidRDefault="005E43E1" w:rsidP="000458B3">
      <w:pPr>
        <w:rPr>
          <w:rFonts w:ascii="Century Gothic" w:hAnsi="Century Gothic"/>
          <w:sz w:val="24"/>
          <w:szCs w:val="24"/>
        </w:rPr>
      </w:pPr>
    </w:p>
    <w:p w14:paraId="64E8A852" w14:textId="77777777" w:rsidR="000458B3" w:rsidRDefault="000458B3" w:rsidP="005921B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1B2F6C9" w14:textId="5BA9CDF2" w:rsidR="00D86AA0" w:rsidRPr="00FC3EB6" w:rsidRDefault="00D86AA0" w:rsidP="005921B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C3EB6">
        <w:rPr>
          <w:rFonts w:ascii="Century Gothic" w:hAnsi="Century Gothic"/>
          <w:b/>
          <w:bCs/>
          <w:sz w:val="24"/>
          <w:szCs w:val="24"/>
        </w:rPr>
        <w:t xml:space="preserve">Version </w:t>
      </w:r>
      <w:r w:rsidR="00D178E9">
        <w:rPr>
          <w:rFonts w:ascii="Century Gothic" w:hAnsi="Century Gothic"/>
          <w:b/>
          <w:bCs/>
          <w:sz w:val="24"/>
          <w:szCs w:val="24"/>
        </w:rPr>
        <w:t>2</w:t>
      </w:r>
    </w:p>
    <w:p w14:paraId="6707279C" w14:textId="067689C3" w:rsidR="005921B0" w:rsidRPr="00FC3EB6" w:rsidRDefault="00307297" w:rsidP="005921B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October</w:t>
      </w:r>
      <w:r w:rsidR="005921B0" w:rsidRPr="00FC3EB6">
        <w:rPr>
          <w:rFonts w:ascii="Century Gothic" w:hAnsi="Century Gothic"/>
          <w:sz w:val="24"/>
          <w:szCs w:val="24"/>
        </w:rPr>
        <w:t xml:space="preserve"> 202</w:t>
      </w:r>
      <w:r w:rsidR="00B035D0">
        <w:rPr>
          <w:rFonts w:ascii="Century Gothic" w:hAnsi="Century Gothic"/>
          <w:sz w:val="24"/>
          <w:szCs w:val="24"/>
        </w:rPr>
        <w:t>2</w:t>
      </w:r>
    </w:p>
    <w:p w14:paraId="784A5D9E" w14:textId="628DCAE4" w:rsidR="00005D84" w:rsidRDefault="00005D84" w:rsidP="005921B0">
      <w:pPr>
        <w:jc w:val="center"/>
        <w:rPr>
          <w:rFonts w:ascii="Century Gothic" w:hAnsi="Century Gothic"/>
        </w:rPr>
      </w:pPr>
    </w:p>
    <w:p w14:paraId="74AD7068" w14:textId="14320F77" w:rsidR="00005D84" w:rsidRDefault="00C03071" w:rsidP="00BE663C">
      <w:pPr>
        <w:pStyle w:val="Heading1"/>
        <w:numPr>
          <w:ilvl w:val="0"/>
          <w:numId w:val="2"/>
        </w:numPr>
        <w:spacing w:after="240"/>
      </w:pPr>
      <w:r>
        <w:t>Introduction</w:t>
      </w:r>
    </w:p>
    <w:p w14:paraId="691F1858" w14:textId="761908ED" w:rsidR="00570B8B" w:rsidRPr="00FC3EB6" w:rsidRDefault="008B114F" w:rsidP="00297768">
      <w:pPr>
        <w:ind w:left="36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 xml:space="preserve">This document </w:t>
      </w:r>
      <w:r w:rsidR="006B32F6" w:rsidRPr="00FC3EB6">
        <w:rPr>
          <w:rFonts w:ascii="Garamond" w:hAnsi="Garamond"/>
          <w:sz w:val="24"/>
          <w:szCs w:val="24"/>
        </w:rPr>
        <w:t xml:space="preserve">shows the California Public Utilities Commission’s (CPUC’s) policy and rules </w:t>
      </w:r>
      <w:r w:rsidR="00FB7E9E" w:rsidRPr="00FC3EB6">
        <w:rPr>
          <w:rFonts w:ascii="Garamond" w:hAnsi="Garamond"/>
          <w:sz w:val="24"/>
          <w:szCs w:val="24"/>
        </w:rPr>
        <w:t>for the</w:t>
      </w:r>
      <w:r w:rsidR="006B32F6" w:rsidRPr="00FC3EB6">
        <w:rPr>
          <w:rFonts w:ascii="Garamond" w:hAnsi="Garamond"/>
          <w:sz w:val="24"/>
          <w:szCs w:val="24"/>
        </w:rPr>
        <w:t xml:space="preserve"> budgeting mechanisms for the Solar</w:t>
      </w:r>
      <w:r w:rsidR="00A74ECF">
        <w:rPr>
          <w:rFonts w:ascii="Garamond" w:hAnsi="Garamond"/>
          <w:sz w:val="24"/>
          <w:szCs w:val="24"/>
        </w:rPr>
        <w:t xml:space="preserve"> o</w:t>
      </w:r>
      <w:r w:rsidR="006B32F6" w:rsidRPr="00FC3EB6">
        <w:rPr>
          <w:rFonts w:ascii="Garamond" w:hAnsi="Garamond"/>
          <w:sz w:val="24"/>
          <w:szCs w:val="24"/>
        </w:rPr>
        <w:t>n Multifamily Affordable Housing (SOMAH) program, implemented by AB 693 (</w:t>
      </w:r>
      <w:r w:rsidR="009005F3" w:rsidRPr="00FC3EB6">
        <w:rPr>
          <w:rFonts w:ascii="Garamond" w:hAnsi="Garamond"/>
          <w:sz w:val="24"/>
          <w:szCs w:val="24"/>
        </w:rPr>
        <w:t xml:space="preserve">Eggman, </w:t>
      </w:r>
      <w:r w:rsidR="006B32F6" w:rsidRPr="00FC3EB6">
        <w:rPr>
          <w:rFonts w:ascii="Garamond" w:hAnsi="Garamond"/>
          <w:sz w:val="24"/>
          <w:szCs w:val="24"/>
        </w:rPr>
        <w:t>2015).</w:t>
      </w:r>
      <w:r w:rsidR="00AA2A1B" w:rsidRPr="00FC3EB6">
        <w:rPr>
          <w:rFonts w:ascii="Garamond" w:hAnsi="Garamond"/>
          <w:sz w:val="24"/>
          <w:szCs w:val="24"/>
        </w:rPr>
        <w:t xml:space="preserve"> This </w:t>
      </w:r>
      <w:r w:rsidR="00A74ECF">
        <w:rPr>
          <w:rFonts w:ascii="Garamond" w:hAnsi="Garamond"/>
          <w:sz w:val="24"/>
          <w:szCs w:val="24"/>
        </w:rPr>
        <w:t xml:space="preserve">guidance </w:t>
      </w:r>
      <w:r w:rsidR="00AA2A1B" w:rsidRPr="00FC3EB6">
        <w:rPr>
          <w:rFonts w:ascii="Garamond" w:hAnsi="Garamond"/>
          <w:sz w:val="24"/>
          <w:szCs w:val="24"/>
        </w:rPr>
        <w:t xml:space="preserve">applies to the following </w:t>
      </w:r>
      <w:r w:rsidR="00570B8B" w:rsidRPr="00FC3EB6">
        <w:rPr>
          <w:rFonts w:ascii="Garamond" w:hAnsi="Garamond"/>
          <w:sz w:val="24"/>
          <w:szCs w:val="24"/>
        </w:rPr>
        <w:t xml:space="preserve">investor-owned utilities </w:t>
      </w:r>
      <w:r w:rsidR="007A23DE">
        <w:rPr>
          <w:rFonts w:ascii="Garamond" w:hAnsi="Garamond"/>
          <w:sz w:val="24"/>
          <w:szCs w:val="24"/>
        </w:rPr>
        <w:t xml:space="preserve">(IOUs) </w:t>
      </w:r>
      <w:r w:rsidR="00570B8B" w:rsidRPr="00FC3EB6">
        <w:rPr>
          <w:rFonts w:ascii="Garamond" w:hAnsi="Garamond"/>
          <w:sz w:val="24"/>
          <w:szCs w:val="24"/>
        </w:rPr>
        <w:t xml:space="preserve">which are required to contribute funding to the SOMAH program </w:t>
      </w:r>
      <w:r w:rsidR="007B48C9" w:rsidRPr="00FC3EB6">
        <w:rPr>
          <w:rFonts w:ascii="Garamond" w:hAnsi="Garamond"/>
          <w:sz w:val="24"/>
          <w:szCs w:val="24"/>
        </w:rPr>
        <w:t>from</w:t>
      </w:r>
      <w:r w:rsidR="00570B8B" w:rsidRPr="00FC3EB6">
        <w:rPr>
          <w:rFonts w:ascii="Garamond" w:hAnsi="Garamond"/>
          <w:sz w:val="24"/>
          <w:szCs w:val="24"/>
        </w:rPr>
        <w:t xml:space="preserve"> their </w:t>
      </w:r>
      <w:r w:rsidR="007B48C9" w:rsidRPr="00FC3EB6">
        <w:rPr>
          <w:rFonts w:ascii="Garamond" w:hAnsi="Garamond"/>
          <w:sz w:val="24"/>
          <w:szCs w:val="24"/>
        </w:rPr>
        <w:t>greenhouse gas allowance auction revenues</w:t>
      </w:r>
      <w:r w:rsidR="00570B8B" w:rsidRPr="00FC3EB6">
        <w:rPr>
          <w:rFonts w:ascii="Garamond" w:hAnsi="Garamond"/>
          <w:sz w:val="24"/>
          <w:szCs w:val="24"/>
        </w:rPr>
        <w:t>:</w:t>
      </w:r>
    </w:p>
    <w:p w14:paraId="43635EE8" w14:textId="2382084A" w:rsidR="005921B0" w:rsidRPr="00FC3EB6" w:rsidRDefault="00570B8B" w:rsidP="00297768">
      <w:pPr>
        <w:pStyle w:val="ListParagraph"/>
        <w:numPr>
          <w:ilvl w:val="0"/>
          <w:numId w:val="1"/>
        </w:numPr>
        <w:ind w:left="108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>Pacific Gas &amp; Electric (PG&amp;E)</w:t>
      </w:r>
    </w:p>
    <w:p w14:paraId="4E84B4FB" w14:textId="29B08FAE" w:rsidR="00570B8B" w:rsidRPr="00FC3EB6" w:rsidRDefault="00570B8B" w:rsidP="00297768">
      <w:pPr>
        <w:pStyle w:val="ListParagraph"/>
        <w:numPr>
          <w:ilvl w:val="0"/>
          <w:numId w:val="1"/>
        </w:numPr>
        <w:ind w:left="108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>Southern California Edison Company (SCE)</w:t>
      </w:r>
    </w:p>
    <w:p w14:paraId="7584C5D2" w14:textId="520A0A9B" w:rsidR="00570B8B" w:rsidRPr="00FC3EB6" w:rsidRDefault="00570B8B" w:rsidP="00297768">
      <w:pPr>
        <w:pStyle w:val="ListParagraph"/>
        <w:numPr>
          <w:ilvl w:val="0"/>
          <w:numId w:val="1"/>
        </w:numPr>
        <w:ind w:left="108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>San Diego Gas &amp; Electric Company (SDG&amp;E)</w:t>
      </w:r>
    </w:p>
    <w:p w14:paraId="6645BA44" w14:textId="4A1DB2AC" w:rsidR="00570B8B" w:rsidRPr="00FC3EB6" w:rsidRDefault="00570B8B" w:rsidP="00297768">
      <w:pPr>
        <w:pStyle w:val="ListParagraph"/>
        <w:numPr>
          <w:ilvl w:val="0"/>
          <w:numId w:val="1"/>
        </w:numPr>
        <w:ind w:left="108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>Liberty Utilities Corporation (Liberty)</w:t>
      </w:r>
    </w:p>
    <w:p w14:paraId="3D665B91" w14:textId="349928FD" w:rsidR="00570B8B" w:rsidRPr="00FC3EB6" w:rsidRDefault="00570B8B" w:rsidP="00297768">
      <w:pPr>
        <w:pStyle w:val="ListParagraph"/>
        <w:numPr>
          <w:ilvl w:val="0"/>
          <w:numId w:val="1"/>
        </w:numPr>
        <w:ind w:left="108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>Pacific Power (PacifiCorp)</w:t>
      </w:r>
    </w:p>
    <w:p w14:paraId="72C649A6" w14:textId="2F97AF17" w:rsidR="00BE663C" w:rsidRPr="00FC3EB6" w:rsidRDefault="00BE663C" w:rsidP="00297768">
      <w:pPr>
        <w:ind w:left="36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 xml:space="preserve">This guidance is compiled by Energy Division staff and is not </w:t>
      </w:r>
      <w:r w:rsidR="009846C9" w:rsidRPr="00FC3EB6">
        <w:rPr>
          <w:rFonts w:ascii="Garamond" w:hAnsi="Garamond"/>
          <w:sz w:val="24"/>
          <w:szCs w:val="24"/>
        </w:rPr>
        <w:t xml:space="preserve">formally adopted by the CPUC. As such, it is a reference only, and </w:t>
      </w:r>
      <w:r w:rsidR="00CD4C1C" w:rsidRPr="00FC3EB6">
        <w:rPr>
          <w:rFonts w:ascii="Garamond" w:hAnsi="Garamond"/>
          <w:sz w:val="24"/>
          <w:szCs w:val="24"/>
        </w:rPr>
        <w:t xml:space="preserve">is </w:t>
      </w:r>
      <w:r w:rsidR="009846C9" w:rsidRPr="00FC3EB6">
        <w:rPr>
          <w:rFonts w:ascii="Garamond" w:hAnsi="Garamond"/>
          <w:sz w:val="24"/>
          <w:szCs w:val="24"/>
        </w:rPr>
        <w:t xml:space="preserve">not intended to be </w:t>
      </w:r>
      <w:r w:rsidR="00D51E05" w:rsidRPr="00FC3EB6">
        <w:rPr>
          <w:rFonts w:ascii="Garamond" w:hAnsi="Garamond"/>
          <w:sz w:val="24"/>
          <w:szCs w:val="24"/>
        </w:rPr>
        <w:t xml:space="preserve">exhaustive of all relevant and applicable </w:t>
      </w:r>
      <w:r w:rsidR="00CD4C1C" w:rsidRPr="00FC3EB6">
        <w:rPr>
          <w:rFonts w:ascii="Garamond" w:hAnsi="Garamond"/>
          <w:sz w:val="24"/>
          <w:szCs w:val="24"/>
        </w:rPr>
        <w:t xml:space="preserve">rules from CPUC decisions and resolutions. </w:t>
      </w:r>
      <w:r w:rsidR="00651865" w:rsidRPr="00FC3EB6">
        <w:rPr>
          <w:rFonts w:ascii="Garamond" w:hAnsi="Garamond"/>
          <w:sz w:val="24"/>
          <w:szCs w:val="24"/>
        </w:rPr>
        <w:t>The SOMAH program is implemented by a third-party</w:t>
      </w:r>
      <w:r w:rsidR="00F351D0" w:rsidRPr="00FC3EB6">
        <w:rPr>
          <w:rFonts w:ascii="Garamond" w:hAnsi="Garamond"/>
          <w:sz w:val="24"/>
          <w:szCs w:val="24"/>
        </w:rPr>
        <w:t>, and while not explicitly referenced here</w:t>
      </w:r>
      <w:r w:rsidR="003A6402">
        <w:rPr>
          <w:rFonts w:ascii="Garamond" w:hAnsi="Garamond"/>
          <w:sz w:val="24"/>
          <w:szCs w:val="24"/>
        </w:rPr>
        <w:t>,</w:t>
      </w:r>
      <w:r w:rsidR="00F351D0" w:rsidRPr="00FC3EB6">
        <w:rPr>
          <w:rFonts w:ascii="Garamond" w:hAnsi="Garamond"/>
          <w:sz w:val="24"/>
          <w:szCs w:val="24"/>
        </w:rPr>
        <w:t xml:space="preserve"> some of </w:t>
      </w:r>
      <w:r w:rsidR="00F351D0" w:rsidRPr="56944813">
        <w:rPr>
          <w:rFonts w:ascii="Garamond" w:hAnsi="Garamond"/>
          <w:sz w:val="24"/>
          <w:szCs w:val="24"/>
        </w:rPr>
        <w:t>the</w:t>
      </w:r>
      <w:r w:rsidR="00867A33" w:rsidRPr="56944813">
        <w:rPr>
          <w:rFonts w:ascii="Garamond" w:hAnsi="Garamond"/>
          <w:sz w:val="24"/>
          <w:szCs w:val="24"/>
        </w:rPr>
        <w:t>se</w:t>
      </w:r>
      <w:r w:rsidR="00F351D0" w:rsidRPr="00FC3EB6">
        <w:rPr>
          <w:rFonts w:ascii="Garamond" w:hAnsi="Garamond"/>
          <w:sz w:val="24"/>
          <w:szCs w:val="24"/>
        </w:rPr>
        <w:t xml:space="preserve"> policies and rules </w:t>
      </w:r>
      <w:r w:rsidR="00F30911">
        <w:rPr>
          <w:rFonts w:ascii="Garamond" w:hAnsi="Garamond"/>
          <w:sz w:val="24"/>
          <w:szCs w:val="24"/>
        </w:rPr>
        <w:t>may</w:t>
      </w:r>
      <w:r w:rsidR="00F351D0" w:rsidRPr="00FC3EB6">
        <w:rPr>
          <w:rFonts w:ascii="Garamond" w:hAnsi="Garamond"/>
          <w:sz w:val="24"/>
          <w:szCs w:val="24"/>
        </w:rPr>
        <w:t xml:space="preserve"> also apply to their functions as well. It is recommended that</w:t>
      </w:r>
      <w:r w:rsidR="00FC3EB6" w:rsidRPr="00FC3EB6">
        <w:rPr>
          <w:rFonts w:ascii="Garamond" w:hAnsi="Garamond"/>
          <w:sz w:val="24"/>
          <w:szCs w:val="24"/>
        </w:rPr>
        <w:t xml:space="preserve"> program</w:t>
      </w:r>
      <w:r w:rsidR="00F351D0" w:rsidRPr="00FC3EB6">
        <w:rPr>
          <w:rFonts w:ascii="Garamond" w:hAnsi="Garamond"/>
          <w:sz w:val="24"/>
          <w:szCs w:val="24"/>
        </w:rPr>
        <w:t xml:space="preserve"> </w:t>
      </w:r>
      <w:r w:rsidR="62CABDAD" w:rsidRPr="56944813">
        <w:rPr>
          <w:rFonts w:ascii="Garamond" w:hAnsi="Garamond"/>
          <w:sz w:val="24"/>
          <w:szCs w:val="24"/>
        </w:rPr>
        <w:t>administrators</w:t>
      </w:r>
      <w:r w:rsidR="00F351D0" w:rsidRPr="00FC3EB6">
        <w:rPr>
          <w:rFonts w:ascii="Garamond" w:hAnsi="Garamond"/>
          <w:sz w:val="24"/>
          <w:szCs w:val="24"/>
        </w:rPr>
        <w:t xml:space="preserve"> confer with the IOUs whenever necessary. </w:t>
      </w:r>
    </w:p>
    <w:p w14:paraId="27350E6B" w14:textId="43128873" w:rsidR="007D39B5" w:rsidRPr="00FC3EB6" w:rsidRDefault="007D39B5" w:rsidP="00297768">
      <w:pPr>
        <w:ind w:left="360"/>
        <w:rPr>
          <w:rFonts w:ascii="Garamond" w:hAnsi="Garamond"/>
          <w:sz w:val="24"/>
          <w:szCs w:val="24"/>
        </w:rPr>
      </w:pPr>
      <w:r w:rsidRPr="00FC3EB6">
        <w:rPr>
          <w:rFonts w:ascii="Garamond" w:hAnsi="Garamond"/>
          <w:sz w:val="24"/>
          <w:szCs w:val="24"/>
        </w:rPr>
        <w:t>The SOMAH Budget Guidance</w:t>
      </w:r>
      <w:r w:rsidR="00CA1986" w:rsidRPr="00FC3EB6">
        <w:rPr>
          <w:rFonts w:ascii="Garamond" w:hAnsi="Garamond"/>
          <w:sz w:val="24"/>
          <w:szCs w:val="24"/>
        </w:rPr>
        <w:t xml:space="preserve"> Memo</w:t>
      </w:r>
      <w:r w:rsidRPr="00FC3EB6">
        <w:rPr>
          <w:rFonts w:ascii="Garamond" w:hAnsi="Garamond"/>
          <w:sz w:val="24"/>
          <w:szCs w:val="24"/>
        </w:rPr>
        <w:t xml:space="preserve"> is high-level to assist in harmonizing </w:t>
      </w:r>
      <w:r w:rsidR="00CA1986" w:rsidRPr="00FC3EB6">
        <w:rPr>
          <w:rFonts w:ascii="Garamond" w:hAnsi="Garamond"/>
          <w:sz w:val="24"/>
          <w:szCs w:val="24"/>
        </w:rPr>
        <w:t>the budgeting process</w:t>
      </w:r>
      <w:r w:rsidRPr="00FC3EB6">
        <w:rPr>
          <w:rFonts w:ascii="Garamond" w:hAnsi="Garamond"/>
          <w:sz w:val="24"/>
          <w:szCs w:val="24"/>
        </w:rPr>
        <w:t xml:space="preserve"> and </w:t>
      </w:r>
      <w:r w:rsidR="00CA1986" w:rsidRPr="00FC3EB6">
        <w:rPr>
          <w:rFonts w:ascii="Garamond" w:hAnsi="Garamond"/>
          <w:sz w:val="24"/>
          <w:szCs w:val="24"/>
        </w:rPr>
        <w:t>can be used as</w:t>
      </w:r>
      <w:r w:rsidRPr="00FC3EB6">
        <w:rPr>
          <w:rFonts w:ascii="Garamond" w:hAnsi="Garamond"/>
          <w:sz w:val="24"/>
          <w:szCs w:val="24"/>
        </w:rPr>
        <w:t xml:space="preserve"> a quick reference </w:t>
      </w:r>
      <w:r w:rsidR="00F30911">
        <w:rPr>
          <w:rFonts w:ascii="Garamond" w:hAnsi="Garamond"/>
          <w:sz w:val="24"/>
          <w:szCs w:val="24"/>
        </w:rPr>
        <w:t>guide</w:t>
      </w:r>
      <w:r w:rsidRPr="00FC3EB6">
        <w:rPr>
          <w:rFonts w:ascii="Garamond" w:hAnsi="Garamond"/>
          <w:sz w:val="24"/>
          <w:szCs w:val="24"/>
        </w:rPr>
        <w:t>.</w:t>
      </w:r>
      <w:r w:rsidR="00651865" w:rsidRPr="00FC3EB6">
        <w:rPr>
          <w:rFonts w:ascii="Garamond" w:hAnsi="Garamond"/>
          <w:sz w:val="24"/>
          <w:szCs w:val="24"/>
        </w:rPr>
        <w:t xml:space="preserve"> This Guidance Memo does not cover administrative expenses or other programmatic elements. </w:t>
      </w:r>
    </w:p>
    <w:p w14:paraId="0BD5E623" w14:textId="61A8AF14" w:rsidR="0006267D" w:rsidRDefault="0006267D" w:rsidP="00621FE9">
      <w:pPr>
        <w:pStyle w:val="Heading1"/>
        <w:numPr>
          <w:ilvl w:val="0"/>
          <w:numId w:val="2"/>
        </w:numPr>
        <w:spacing w:after="240"/>
      </w:pPr>
      <w:r>
        <w:t>SOMAH Program Budget Funding Source</w:t>
      </w:r>
      <w:r w:rsidR="00C04C2B">
        <w:t>, Timeline</w:t>
      </w:r>
      <w:r w:rsidR="00E5256E">
        <w:t>, and Limits</w:t>
      </w:r>
    </w:p>
    <w:p w14:paraId="5F97823E" w14:textId="300E0E9C" w:rsidR="0009747C" w:rsidRPr="0009747C" w:rsidRDefault="0009747C" w:rsidP="00621FE9">
      <w:pPr>
        <w:ind w:left="7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2.1 </w:t>
      </w:r>
      <w:r w:rsidRPr="0009747C">
        <w:rPr>
          <w:rFonts w:ascii="Garamond" w:hAnsi="Garamond"/>
          <w:b/>
          <w:bCs/>
          <w:sz w:val="24"/>
          <w:szCs w:val="24"/>
        </w:rPr>
        <w:t>Source and Timeline</w:t>
      </w:r>
    </w:p>
    <w:p w14:paraId="4D35BD98" w14:textId="7B8C4D16" w:rsidR="00B96B18" w:rsidRDefault="00621FE9" w:rsidP="00621FE9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SOMAH Budget </w:t>
      </w:r>
      <w:r w:rsidR="00796EEA">
        <w:rPr>
          <w:rFonts w:ascii="Garamond" w:hAnsi="Garamond"/>
          <w:sz w:val="24"/>
          <w:szCs w:val="24"/>
        </w:rPr>
        <w:t xml:space="preserve">comes </w:t>
      </w:r>
      <w:r>
        <w:rPr>
          <w:rFonts w:ascii="Garamond" w:hAnsi="Garamond"/>
          <w:sz w:val="24"/>
          <w:szCs w:val="24"/>
        </w:rPr>
        <w:t xml:space="preserve">from the </w:t>
      </w:r>
      <w:r w:rsidR="00DE1E36">
        <w:rPr>
          <w:rFonts w:ascii="Garamond" w:hAnsi="Garamond"/>
          <w:sz w:val="24"/>
          <w:szCs w:val="24"/>
        </w:rPr>
        <w:t>IOUs</w:t>
      </w:r>
      <w:r w:rsidR="00867A33">
        <w:rPr>
          <w:rFonts w:ascii="Garamond" w:hAnsi="Garamond"/>
          <w:sz w:val="24"/>
          <w:szCs w:val="24"/>
        </w:rPr>
        <w:t>’</w:t>
      </w:r>
      <w:r w:rsidR="00DE1E36">
        <w:rPr>
          <w:rFonts w:ascii="Garamond" w:hAnsi="Garamond"/>
          <w:sz w:val="24"/>
          <w:szCs w:val="24"/>
        </w:rPr>
        <w:t xml:space="preserve"> greenhouse gas auction </w:t>
      </w:r>
      <w:r w:rsidR="007A23DE">
        <w:rPr>
          <w:rFonts w:ascii="Garamond" w:hAnsi="Garamond"/>
          <w:sz w:val="24"/>
          <w:szCs w:val="24"/>
        </w:rPr>
        <w:t>allowance</w:t>
      </w:r>
      <w:r w:rsidR="00A32946">
        <w:rPr>
          <w:rFonts w:ascii="Garamond" w:hAnsi="Garamond"/>
          <w:sz w:val="24"/>
          <w:szCs w:val="24"/>
        </w:rPr>
        <w:t xml:space="preserve">s </w:t>
      </w:r>
      <w:r w:rsidR="00F230A5">
        <w:rPr>
          <w:rFonts w:ascii="Garamond" w:hAnsi="Garamond"/>
          <w:sz w:val="24"/>
          <w:szCs w:val="24"/>
        </w:rPr>
        <w:t xml:space="preserve">and will be collected </w:t>
      </w:r>
      <w:r w:rsidR="00523B09">
        <w:rPr>
          <w:rFonts w:ascii="Garamond" w:hAnsi="Garamond"/>
          <w:sz w:val="24"/>
          <w:szCs w:val="24"/>
        </w:rPr>
        <w:t>from</w:t>
      </w:r>
      <w:r w:rsidR="008126C5">
        <w:rPr>
          <w:rFonts w:ascii="Garamond" w:hAnsi="Garamond"/>
          <w:sz w:val="24"/>
          <w:szCs w:val="24"/>
        </w:rPr>
        <w:t xml:space="preserve"> January 1,</w:t>
      </w:r>
      <w:r w:rsidR="00523B09">
        <w:rPr>
          <w:rFonts w:ascii="Garamond" w:hAnsi="Garamond"/>
          <w:sz w:val="24"/>
          <w:szCs w:val="24"/>
        </w:rPr>
        <w:t xml:space="preserve"> 2016 </w:t>
      </w:r>
      <w:r w:rsidR="00B96B18">
        <w:rPr>
          <w:rFonts w:ascii="Garamond" w:hAnsi="Garamond"/>
          <w:sz w:val="24"/>
          <w:szCs w:val="24"/>
        </w:rPr>
        <w:t xml:space="preserve">through </w:t>
      </w:r>
      <w:r w:rsidR="00480E7D">
        <w:rPr>
          <w:rFonts w:ascii="Garamond" w:hAnsi="Garamond"/>
          <w:sz w:val="24"/>
          <w:szCs w:val="24"/>
        </w:rPr>
        <w:t xml:space="preserve">June 30, </w:t>
      </w:r>
      <w:r w:rsidR="007336E6">
        <w:rPr>
          <w:rFonts w:ascii="Garamond" w:hAnsi="Garamond"/>
          <w:sz w:val="24"/>
          <w:szCs w:val="24"/>
        </w:rPr>
        <w:t>2026</w:t>
      </w:r>
      <w:r w:rsidR="00814505">
        <w:rPr>
          <w:rFonts w:ascii="Garamond" w:hAnsi="Garamond"/>
          <w:sz w:val="24"/>
          <w:szCs w:val="24"/>
        </w:rPr>
        <w:t xml:space="preserve"> (</w:t>
      </w:r>
      <w:r w:rsidR="009C2D6A">
        <w:rPr>
          <w:rFonts w:ascii="Garamond" w:hAnsi="Garamond"/>
          <w:sz w:val="24"/>
          <w:szCs w:val="24"/>
        </w:rPr>
        <w:t xml:space="preserve">per </w:t>
      </w:r>
      <w:r w:rsidR="00814505">
        <w:rPr>
          <w:rFonts w:ascii="Garamond" w:hAnsi="Garamond"/>
          <w:sz w:val="24"/>
          <w:szCs w:val="24"/>
        </w:rPr>
        <w:t xml:space="preserve">Public </w:t>
      </w:r>
      <w:r w:rsidR="009C2D6A">
        <w:rPr>
          <w:rFonts w:ascii="Garamond" w:hAnsi="Garamond"/>
          <w:sz w:val="24"/>
          <w:szCs w:val="24"/>
        </w:rPr>
        <w:t>U</w:t>
      </w:r>
      <w:r w:rsidR="00814505">
        <w:rPr>
          <w:rFonts w:ascii="Garamond" w:hAnsi="Garamond"/>
          <w:sz w:val="24"/>
          <w:szCs w:val="24"/>
        </w:rPr>
        <w:t>tilities Code 2870, D</w:t>
      </w:r>
      <w:r w:rsidR="009C2D6A">
        <w:rPr>
          <w:rFonts w:ascii="Garamond" w:hAnsi="Garamond"/>
          <w:sz w:val="24"/>
          <w:szCs w:val="24"/>
        </w:rPr>
        <w:t xml:space="preserve">ecision </w:t>
      </w:r>
      <w:r w:rsidR="00814505">
        <w:rPr>
          <w:rFonts w:ascii="Garamond" w:hAnsi="Garamond"/>
          <w:sz w:val="24"/>
          <w:szCs w:val="24"/>
        </w:rPr>
        <w:t xml:space="preserve">17-12-022 and </w:t>
      </w:r>
      <w:r w:rsidR="007336E6">
        <w:rPr>
          <w:rFonts w:ascii="Garamond" w:hAnsi="Garamond"/>
          <w:sz w:val="24"/>
          <w:szCs w:val="24"/>
        </w:rPr>
        <w:t>D</w:t>
      </w:r>
      <w:r w:rsidR="009C2D6A">
        <w:rPr>
          <w:rFonts w:ascii="Garamond" w:hAnsi="Garamond"/>
          <w:sz w:val="24"/>
          <w:szCs w:val="24"/>
        </w:rPr>
        <w:t xml:space="preserve">ecision </w:t>
      </w:r>
      <w:r w:rsidR="007336E6">
        <w:rPr>
          <w:rFonts w:ascii="Garamond" w:hAnsi="Garamond"/>
          <w:sz w:val="24"/>
          <w:szCs w:val="24"/>
        </w:rPr>
        <w:t>20-</w:t>
      </w:r>
      <w:r w:rsidR="00504CE1">
        <w:rPr>
          <w:rFonts w:ascii="Garamond" w:hAnsi="Garamond"/>
          <w:sz w:val="24"/>
          <w:szCs w:val="24"/>
        </w:rPr>
        <w:t>04-012</w:t>
      </w:r>
      <w:r w:rsidR="00814505">
        <w:rPr>
          <w:rFonts w:ascii="Garamond" w:hAnsi="Garamond"/>
          <w:sz w:val="24"/>
          <w:szCs w:val="24"/>
        </w:rPr>
        <w:t>).</w:t>
      </w:r>
    </w:p>
    <w:p w14:paraId="7C8A12ED" w14:textId="449F2957" w:rsidR="007F3CDA" w:rsidRDefault="009C2D6A" w:rsidP="00621FE9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IOUs</w:t>
      </w:r>
      <w:r w:rsidR="00EF54FE">
        <w:rPr>
          <w:rFonts w:ascii="Garamond" w:hAnsi="Garamond"/>
          <w:sz w:val="24"/>
          <w:szCs w:val="24"/>
        </w:rPr>
        <w:t xml:space="preserve">’ </w:t>
      </w:r>
      <w:r w:rsidR="00413ADE">
        <w:rPr>
          <w:rFonts w:ascii="Garamond" w:hAnsi="Garamond"/>
          <w:sz w:val="24"/>
          <w:szCs w:val="24"/>
        </w:rPr>
        <w:t xml:space="preserve">Energy Resource </w:t>
      </w:r>
      <w:r w:rsidR="00EF54FE">
        <w:rPr>
          <w:rFonts w:ascii="Garamond" w:hAnsi="Garamond"/>
          <w:sz w:val="24"/>
          <w:szCs w:val="24"/>
        </w:rPr>
        <w:t xml:space="preserve">Recovery Account (ERRA) or </w:t>
      </w:r>
      <w:r w:rsidR="00A923D7">
        <w:rPr>
          <w:rFonts w:ascii="Garamond" w:hAnsi="Garamond"/>
          <w:sz w:val="24"/>
          <w:szCs w:val="24"/>
        </w:rPr>
        <w:t xml:space="preserve">Energy Cost Adjustment Clause </w:t>
      </w:r>
      <w:r w:rsidR="00EC15AB">
        <w:rPr>
          <w:rFonts w:ascii="Garamond" w:hAnsi="Garamond"/>
          <w:sz w:val="24"/>
          <w:szCs w:val="24"/>
        </w:rPr>
        <w:t xml:space="preserve">(ECAC) </w:t>
      </w:r>
      <w:r w:rsidR="00A923D7">
        <w:rPr>
          <w:rFonts w:ascii="Garamond" w:hAnsi="Garamond"/>
          <w:sz w:val="24"/>
          <w:szCs w:val="24"/>
        </w:rPr>
        <w:t xml:space="preserve">applications </w:t>
      </w:r>
      <w:r w:rsidR="00D06477">
        <w:rPr>
          <w:rFonts w:ascii="Garamond" w:hAnsi="Garamond"/>
          <w:sz w:val="24"/>
          <w:szCs w:val="24"/>
        </w:rPr>
        <w:t xml:space="preserve">include submittals of </w:t>
      </w:r>
      <w:r w:rsidR="00A923D7">
        <w:rPr>
          <w:rFonts w:ascii="Garamond" w:hAnsi="Garamond"/>
          <w:sz w:val="24"/>
          <w:szCs w:val="24"/>
        </w:rPr>
        <w:t>each year’s SOMAH budget and prior-year true-</w:t>
      </w:r>
      <w:r w:rsidR="00A923D7">
        <w:rPr>
          <w:rFonts w:ascii="Garamond" w:hAnsi="Garamond"/>
          <w:sz w:val="24"/>
          <w:szCs w:val="24"/>
        </w:rPr>
        <w:lastRenderedPageBreak/>
        <w:t xml:space="preserve">up amounts (Decision </w:t>
      </w:r>
      <w:r w:rsidR="00EC15AB">
        <w:rPr>
          <w:rFonts w:ascii="Garamond" w:hAnsi="Garamond"/>
          <w:sz w:val="24"/>
          <w:szCs w:val="24"/>
        </w:rPr>
        <w:t xml:space="preserve">17-12-022). </w:t>
      </w:r>
      <w:r w:rsidR="00EF54FE">
        <w:rPr>
          <w:rFonts w:ascii="Garamond" w:hAnsi="Garamond"/>
          <w:sz w:val="24"/>
          <w:szCs w:val="24"/>
        </w:rPr>
        <w:t xml:space="preserve"> </w:t>
      </w:r>
      <w:r w:rsidR="00EC15AB">
        <w:rPr>
          <w:rFonts w:ascii="Garamond" w:hAnsi="Garamond"/>
          <w:sz w:val="24"/>
          <w:szCs w:val="24"/>
        </w:rPr>
        <w:t xml:space="preserve">Each IOU’s ERRA and ECAC applications </w:t>
      </w:r>
      <w:r w:rsidR="00867A33">
        <w:rPr>
          <w:rFonts w:ascii="Garamond" w:hAnsi="Garamond"/>
          <w:sz w:val="24"/>
          <w:szCs w:val="24"/>
        </w:rPr>
        <w:t>proceed</w:t>
      </w:r>
      <w:r w:rsidR="00EC15AB">
        <w:rPr>
          <w:rFonts w:ascii="Garamond" w:hAnsi="Garamond"/>
          <w:sz w:val="24"/>
          <w:szCs w:val="24"/>
        </w:rPr>
        <w:t xml:space="preserve"> independently</w:t>
      </w:r>
      <w:r w:rsidR="007F089E">
        <w:rPr>
          <w:rFonts w:ascii="Garamond" w:hAnsi="Garamond"/>
          <w:sz w:val="24"/>
          <w:szCs w:val="24"/>
        </w:rPr>
        <w:t xml:space="preserve"> of the others</w:t>
      </w:r>
      <w:r w:rsidR="00EC15AB">
        <w:rPr>
          <w:rFonts w:ascii="Garamond" w:hAnsi="Garamond"/>
          <w:sz w:val="24"/>
          <w:szCs w:val="24"/>
        </w:rPr>
        <w:t>.</w:t>
      </w:r>
    </w:p>
    <w:p w14:paraId="66C36852" w14:textId="60753396" w:rsidR="006E0E34" w:rsidRDefault="006E0E34" w:rsidP="006E0E34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SOMAH Budget has two main components within an application’s ERRA/ECAC budget:</w:t>
      </w:r>
    </w:p>
    <w:p w14:paraId="7185ED59" w14:textId="61CEBFCE" w:rsidR="006E0E34" w:rsidRPr="00C0387A" w:rsidRDefault="006E0E34" w:rsidP="00C0387A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0387A">
        <w:rPr>
          <w:rFonts w:ascii="Garamond" w:hAnsi="Garamond"/>
          <w:sz w:val="24"/>
          <w:szCs w:val="24"/>
        </w:rPr>
        <w:t xml:space="preserve">Set-Aside: the funding amount (proposed or transferred) from a given year’s Forecasted Auction Revenue </w:t>
      </w:r>
      <w:r w:rsidR="008D1B75" w:rsidRPr="00C0387A">
        <w:rPr>
          <w:rFonts w:ascii="Garamond" w:hAnsi="Garamond"/>
          <w:sz w:val="24"/>
          <w:szCs w:val="24"/>
        </w:rPr>
        <w:t>(Section 3)</w:t>
      </w:r>
      <w:r w:rsidR="00004C49">
        <w:rPr>
          <w:rFonts w:ascii="Garamond" w:hAnsi="Garamond"/>
          <w:sz w:val="24"/>
          <w:szCs w:val="24"/>
        </w:rPr>
        <w:t xml:space="preserve">. If referring to a previously transferred amount the term “Actual Set-Aside” is often used. </w:t>
      </w:r>
    </w:p>
    <w:p w14:paraId="087BC9F3" w14:textId="4C839339" w:rsidR="006E0E34" w:rsidRPr="006E0E34" w:rsidRDefault="006E0E34" w:rsidP="006E0E34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Prior Year True-up: the funding amount needed (plus or minus) to ensure that the SOMAH allocation to past years is correct given Recorded Auction Revenue values</w:t>
      </w:r>
      <w:r w:rsidR="008D1B75">
        <w:rPr>
          <w:rFonts w:ascii="Garamond" w:hAnsi="Garamond"/>
          <w:sz w:val="24"/>
          <w:szCs w:val="24"/>
        </w:rPr>
        <w:t xml:space="preserve"> (Section 4)</w:t>
      </w:r>
    </w:p>
    <w:p w14:paraId="7C4E759C" w14:textId="55D40995" w:rsidR="006E0E34" w:rsidRPr="006E0E34" w:rsidRDefault="006E0E34" w:rsidP="00621FE9">
      <w:pPr>
        <w:ind w:left="720"/>
        <w:rPr>
          <w:rFonts w:ascii="Garamond" w:hAnsi="Garamond"/>
          <w:b/>
          <w:bCs/>
          <w:sz w:val="24"/>
          <w:szCs w:val="24"/>
        </w:rPr>
      </w:pPr>
      <w:r w:rsidRPr="006E0E34">
        <w:rPr>
          <w:rFonts w:ascii="Garamond" w:hAnsi="Garamond"/>
          <w:b/>
          <w:bCs/>
          <w:sz w:val="24"/>
          <w:szCs w:val="24"/>
        </w:rPr>
        <w:t xml:space="preserve">2.2 </w:t>
      </w:r>
      <w:r w:rsidR="008126C5">
        <w:rPr>
          <w:rFonts w:ascii="Garamond" w:hAnsi="Garamond"/>
          <w:b/>
          <w:bCs/>
          <w:sz w:val="24"/>
          <w:szCs w:val="24"/>
        </w:rPr>
        <w:t xml:space="preserve">SOMAH Funding Amount </w:t>
      </w:r>
      <w:r w:rsidRPr="006E0E34">
        <w:rPr>
          <w:rFonts w:ascii="Garamond" w:hAnsi="Garamond"/>
          <w:b/>
          <w:bCs/>
          <w:sz w:val="24"/>
          <w:szCs w:val="24"/>
        </w:rPr>
        <w:t>Limits</w:t>
      </w:r>
    </w:p>
    <w:p w14:paraId="1C41198F" w14:textId="4FB9EBCC" w:rsidR="006C5937" w:rsidRDefault="006C5937" w:rsidP="00141AC1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Commission will annually authorize </w:t>
      </w:r>
      <w:r w:rsidR="00123F03">
        <w:rPr>
          <w:rFonts w:ascii="Garamond" w:hAnsi="Garamond"/>
          <w:sz w:val="24"/>
          <w:szCs w:val="24"/>
        </w:rPr>
        <w:t xml:space="preserve">up to </w:t>
      </w:r>
      <w:r>
        <w:rPr>
          <w:rFonts w:ascii="Garamond" w:hAnsi="Garamond"/>
          <w:sz w:val="24"/>
          <w:szCs w:val="24"/>
        </w:rPr>
        <w:t>one hundred million dollars ($100,000,000) or 10 percent of available funds, whichever is less</w:t>
      </w:r>
      <w:r w:rsidR="00B212A1">
        <w:rPr>
          <w:rFonts w:ascii="Garamond" w:hAnsi="Garamond"/>
          <w:sz w:val="24"/>
          <w:szCs w:val="24"/>
        </w:rPr>
        <w:t xml:space="preserve">. </w:t>
      </w:r>
    </w:p>
    <w:p w14:paraId="40415E20" w14:textId="2C6AB3F7" w:rsidR="00366D44" w:rsidRDefault="006C5937" w:rsidP="00467B16">
      <w:pPr>
        <w:ind w:left="720"/>
        <w:rPr>
          <w:rFonts w:ascii="Garamond" w:hAnsi="Garamond"/>
          <w:sz w:val="24"/>
          <w:szCs w:val="24"/>
        </w:rPr>
      </w:pPr>
      <w:r w:rsidRPr="006C5937">
        <w:rPr>
          <w:rFonts w:ascii="Garamond" w:hAnsi="Garamond"/>
          <w:sz w:val="24"/>
          <w:szCs w:val="24"/>
        </w:rPr>
        <w:t>E</w:t>
      </w:r>
      <w:r w:rsidR="001C4DD8" w:rsidRPr="006C5937">
        <w:rPr>
          <w:rFonts w:ascii="Garamond" w:hAnsi="Garamond"/>
          <w:sz w:val="24"/>
          <w:szCs w:val="24"/>
        </w:rPr>
        <w:t xml:space="preserve">ach IOU </w:t>
      </w:r>
      <w:r w:rsidR="00DE3670">
        <w:rPr>
          <w:rFonts w:ascii="Garamond" w:hAnsi="Garamond"/>
          <w:sz w:val="24"/>
          <w:szCs w:val="24"/>
        </w:rPr>
        <w:t>will either set-aside</w:t>
      </w:r>
      <w:r w:rsidR="009122AB">
        <w:rPr>
          <w:rFonts w:ascii="Garamond" w:hAnsi="Garamond"/>
          <w:sz w:val="24"/>
          <w:szCs w:val="24"/>
        </w:rPr>
        <w:t xml:space="preserve"> on a forecast basis</w:t>
      </w:r>
      <w:r w:rsidR="00DE3670">
        <w:rPr>
          <w:rFonts w:ascii="Garamond" w:hAnsi="Garamond"/>
          <w:sz w:val="24"/>
          <w:szCs w:val="24"/>
        </w:rPr>
        <w:t xml:space="preserve">: </w:t>
      </w:r>
    </w:p>
    <w:p w14:paraId="2D8C84A7" w14:textId="16EF5E76" w:rsidR="00467B16" w:rsidRDefault="00366D44" w:rsidP="00366D44">
      <w:pPr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Option 1: R</w:t>
      </w:r>
      <w:r w:rsidR="001C4DD8" w:rsidRPr="006C5937">
        <w:rPr>
          <w:rFonts w:ascii="Garamond" w:hAnsi="Garamond"/>
          <w:sz w:val="24"/>
          <w:szCs w:val="24"/>
        </w:rPr>
        <w:t>eserve</w:t>
      </w:r>
      <w:r w:rsidR="006C5937" w:rsidRPr="006C5937">
        <w:rPr>
          <w:rFonts w:ascii="Garamond" w:hAnsi="Garamond"/>
          <w:sz w:val="24"/>
          <w:szCs w:val="24"/>
        </w:rPr>
        <w:t>s</w:t>
      </w:r>
      <w:r w:rsidR="001C4DD8" w:rsidRPr="006C5937">
        <w:rPr>
          <w:rFonts w:ascii="Garamond" w:hAnsi="Garamond"/>
          <w:sz w:val="24"/>
          <w:szCs w:val="24"/>
        </w:rPr>
        <w:t xml:space="preserve"> 10% of their annual revenue </w:t>
      </w:r>
      <w:r w:rsidR="008249DD">
        <w:rPr>
          <w:rFonts w:ascii="Garamond" w:hAnsi="Garamond"/>
          <w:sz w:val="24"/>
          <w:szCs w:val="24"/>
        </w:rPr>
        <w:t xml:space="preserve">for SOMAH </w:t>
      </w:r>
      <w:r w:rsidR="001C4DD8" w:rsidRPr="006C5937">
        <w:rPr>
          <w:rFonts w:ascii="Garamond" w:hAnsi="Garamond"/>
          <w:sz w:val="24"/>
          <w:szCs w:val="24"/>
        </w:rPr>
        <w:t xml:space="preserve">until the calendar year (January to December) has closed and the auction revenues can be reviewed collectively (D.17-12-022 Ordering Paragraphs 4, 5 and </w:t>
      </w:r>
      <w:r w:rsidR="0043064A">
        <w:rPr>
          <w:rFonts w:ascii="Garamond" w:hAnsi="Garamond"/>
          <w:sz w:val="24"/>
          <w:szCs w:val="24"/>
        </w:rPr>
        <w:t>6</w:t>
      </w:r>
      <w:r w:rsidR="001C4DD8" w:rsidRPr="006C5937">
        <w:rPr>
          <w:rFonts w:ascii="Garamond" w:hAnsi="Garamond"/>
          <w:sz w:val="24"/>
          <w:szCs w:val="24"/>
        </w:rPr>
        <w:t xml:space="preserve">). </w:t>
      </w:r>
    </w:p>
    <w:p w14:paraId="2C8AF486" w14:textId="7C0955E7" w:rsidR="007E5BA6" w:rsidRDefault="00366D44" w:rsidP="007E5BA6">
      <w:pPr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Option 2: Set-aside their proportionate share of </w:t>
      </w:r>
      <w:r w:rsidR="00C600E6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$100 million</w:t>
      </w:r>
      <w:r w:rsidR="00C600E6">
        <w:rPr>
          <w:rFonts w:ascii="Garamond" w:hAnsi="Garamond"/>
          <w:sz w:val="24"/>
          <w:szCs w:val="24"/>
        </w:rPr>
        <w:t xml:space="preserve"> budget for SOMAH</w:t>
      </w:r>
      <w:r w:rsidR="002C083F">
        <w:rPr>
          <w:rFonts w:ascii="Garamond" w:hAnsi="Garamond"/>
          <w:sz w:val="24"/>
          <w:szCs w:val="24"/>
        </w:rPr>
        <w:t xml:space="preserve">, per D.22-09-009 Table </w:t>
      </w:r>
      <w:r w:rsidR="009253EC">
        <w:rPr>
          <w:rFonts w:ascii="Garamond" w:hAnsi="Garamond"/>
          <w:sz w:val="24"/>
          <w:szCs w:val="24"/>
        </w:rPr>
        <w:t>1</w:t>
      </w:r>
      <w:r w:rsidR="002C083F">
        <w:rPr>
          <w:rFonts w:ascii="Garamond" w:hAnsi="Garamond"/>
          <w:sz w:val="24"/>
          <w:szCs w:val="24"/>
        </w:rPr>
        <w:t xml:space="preserve">, </w:t>
      </w:r>
      <w:r w:rsidR="00C600E6">
        <w:rPr>
          <w:rFonts w:ascii="Garamond" w:hAnsi="Garamond"/>
          <w:sz w:val="24"/>
          <w:szCs w:val="24"/>
        </w:rPr>
        <w:t xml:space="preserve">if </w:t>
      </w:r>
      <w:r w:rsidR="00123F03">
        <w:rPr>
          <w:rFonts w:ascii="Garamond" w:hAnsi="Garamond"/>
          <w:sz w:val="24"/>
          <w:szCs w:val="24"/>
        </w:rPr>
        <w:t xml:space="preserve">the IOU demonstrates </w:t>
      </w:r>
      <w:r w:rsidR="00C600E6">
        <w:rPr>
          <w:rFonts w:ascii="Garamond" w:hAnsi="Garamond"/>
          <w:sz w:val="24"/>
          <w:szCs w:val="24"/>
        </w:rPr>
        <w:t xml:space="preserve">that the IOUs’ collective </w:t>
      </w:r>
      <w:r w:rsidR="003E1545">
        <w:rPr>
          <w:rFonts w:ascii="Garamond" w:hAnsi="Garamond"/>
          <w:sz w:val="24"/>
          <w:szCs w:val="24"/>
        </w:rPr>
        <w:t xml:space="preserve">forecast </w:t>
      </w:r>
      <w:r w:rsidR="00C600E6">
        <w:rPr>
          <w:rFonts w:ascii="Garamond" w:hAnsi="Garamond"/>
          <w:sz w:val="24"/>
          <w:szCs w:val="24"/>
        </w:rPr>
        <w:t>revenue will equal or exceed $1 billion</w:t>
      </w:r>
      <w:r w:rsidR="009253EC">
        <w:rPr>
          <w:rFonts w:ascii="Garamond" w:hAnsi="Garamond"/>
          <w:sz w:val="24"/>
          <w:szCs w:val="24"/>
        </w:rPr>
        <w:t xml:space="preserve"> (D.22-09-009 Ordering Paragraph</w:t>
      </w:r>
      <w:r w:rsidR="00B723F7">
        <w:rPr>
          <w:rFonts w:ascii="Garamond" w:hAnsi="Garamond"/>
          <w:sz w:val="24"/>
          <w:szCs w:val="24"/>
        </w:rPr>
        <w:t xml:space="preserve"> 3</w:t>
      </w:r>
      <w:r w:rsidR="00C96D71">
        <w:rPr>
          <w:rFonts w:ascii="Garamond" w:hAnsi="Garamond"/>
          <w:sz w:val="24"/>
          <w:szCs w:val="24"/>
        </w:rPr>
        <w:t>)</w:t>
      </w:r>
      <w:r w:rsidR="001A1DEF">
        <w:rPr>
          <w:rFonts w:ascii="Garamond" w:hAnsi="Garamond"/>
          <w:sz w:val="24"/>
          <w:szCs w:val="24"/>
        </w:rPr>
        <w:t>.</w:t>
      </w:r>
      <w:r w:rsidR="00FA50C5">
        <w:rPr>
          <w:rFonts w:ascii="Garamond" w:hAnsi="Garamond"/>
          <w:sz w:val="24"/>
          <w:szCs w:val="24"/>
        </w:rPr>
        <w:t xml:space="preserve"> This amount should match the </w:t>
      </w:r>
      <w:r w:rsidR="00554FA5">
        <w:rPr>
          <w:rFonts w:ascii="Garamond" w:hAnsi="Garamond"/>
          <w:sz w:val="24"/>
          <w:szCs w:val="24"/>
        </w:rPr>
        <w:t xml:space="preserve">IOU’s set-aside </w:t>
      </w:r>
      <w:r w:rsidR="00FA50C5">
        <w:rPr>
          <w:rFonts w:ascii="Garamond" w:hAnsi="Garamond"/>
          <w:sz w:val="24"/>
          <w:szCs w:val="24"/>
        </w:rPr>
        <w:t>value in Table 2 of D.22-09-009 so that the collective IOU amounts can equal $100 million; do not round</w:t>
      </w:r>
      <w:r w:rsidR="00554FA5">
        <w:rPr>
          <w:rFonts w:ascii="Garamond" w:hAnsi="Garamond"/>
          <w:sz w:val="24"/>
          <w:szCs w:val="24"/>
        </w:rPr>
        <w:t xml:space="preserve">. </w:t>
      </w:r>
    </w:p>
    <w:p w14:paraId="60A0C39A" w14:textId="147773BB" w:rsidR="007E5BA6" w:rsidRDefault="007E5BA6" w:rsidP="007E5BA6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If, after the calendar is over, the IOU’s combined greenhouse gas auction revenues </w:t>
      </w:r>
      <w:r w:rsidRPr="007E5BA6">
        <w:rPr>
          <w:rFonts w:ascii="Garamond" w:hAnsi="Garamond"/>
          <w:b/>
          <w:bCs/>
          <w:sz w:val="24"/>
          <w:szCs w:val="24"/>
          <w:u w:val="single"/>
        </w:rPr>
        <w:t>do not</w:t>
      </w:r>
      <w:r>
        <w:rPr>
          <w:rFonts w:ascii="Garamond" w:hAnsi="Garamond"/>
          <w:sz w:val="24"/>
          <w:szCs w:val="24"/>
        </w:rPr>
        <w:t xml:space="preserve"> exceed $1 billion dollars, then each IOU will need to provide 10% of their </w:t>
      </w:r>
      <w:r w:rsidR="00327ED1">
        <w:rPr>
          <w:rFonts w:ascii="Garamond" w:hAnsi="Garamond"/>
          <w:sz w:val="24"/>
          <w:szCs w:val="24"/>
        </w:rPr>
        <w:t>actual revenue for SOMAH, this amount may be higher or lower than the forecast set aside amount</w:t>
      </w:r>
      <w:r w:rsidR="000D6C6B">
        <w:rPr>
          <w:rFonts w:ascii="Garamond" w:hAnsi="Garamond"/>
          <w:sz w:val="24"/>
          <w:szCs w:val="24"/>
        </w:rPr>
        <w:t xml:space="preserve"> and will still need to be trued up. </w:t>
      </w:r>
    </w:p>
    <w:p w14:paraId="1850502E" w14:textId="2A8EB8F1" w:rsidR="00141AC1" w:rsidRPr="006C5937" w:rsidRDefault="00467B16" w:rsidP="00467B16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</w:t>
      </w:r>
      <w:r w:rsidR="008249DD">
        <w:rPr>
          <w:rFonts w:ascii="Garamond" w:hAnsi="Garamond"/>
          <w:sz w:val="24"/>
          <w:szCs w:val="24"/>
        </w:rPr>
        <w:t xml:space="preserve">, after the calendar year is over, </w:t>
      </w:r>
      <w:r>
        <w:rPr>
          <w:rFonts w:ascii="Garamond" w:hAnsi="Garamond"/>
          <w:sz w:val="24"/>
          <w:szCs w:val="24"/>
        </w:rPr>
        <w:t>the</w:t>
      </w:r>
      <w:r w:rsidR="007F3CDA" w:rsidRPr="006C5937">
        <w:rPr>
          <w:rFonts w:ascii="Garamond" w:hAnsi="Garamond"/>
          <w:sz w:val="24"/>
          <w:szCs w:val="24"/>
        </w:rPr>
        <w:t xml:space="preserve"> IOUs</w:t>
      </w:r>
      <w:r>
        <w:rPr>
          <w:rFonts w:ascii="Garamond" w:hAnsi="Garamond"/>
          <w:sz w:val="24"/>
          <w:szCs w:val="24"/>
        </w:rPr>
        <w:t>’</w:t>
      </w:r>
      <w:r w:rsidR="007F3CDA" w:rsidRPr="006C5937">
        <w:rPr>
          <w:rFonts w:ascii="Garamond" w:hAnsi="Garamond"/>
          <w:sz w:val="24"/>
          <w:szCs w:val="24"/>
        </w:rPr>
        <w:t xml:space="preserve"> combined greenhouse gas auction revenues </w:t>
      </w:r>
      <w:r w:rsidR="007E5BA6" w:rsidRPr="007E5BA6">
        <w:rPr>
          <w:rFonts w:ascii="Garamond" w:hAnsi="Garamond"/>
          <w:b/>
          <w:bCs/>
          <w:sz w:val="24"/>
          <w:szCs w:val="24"/>
          <w:u w:val="single"/>
        </w:rPr>
        <w:t>do</w:t>
      </w:r>
      <w:r w:rsidR="007E5BA6">
        <w:rPr>
          <w:rFonts w:ascii="Garamond" w:hAnsi="Garamond"/>
          <w:sz w:val="24"/>
          <w:szCs w:val="24"/>
        </w:rPr>
        <w:t xml:space="preserve"> </w:t>
      </w:r>
      <w:r w:rsidR="00E939EC">
        <w:rPr>
          <w:rFonts w:ascii="Garamond" w:hAnsi="Garamond"/>
          <w:sz w:val="24"/>
          <w:szCs w:val="24"/>
        </w:rPr>
        <w:t xml:space="preserve">equal or </w:t>
      </w:r>
      <w:r w:rsidR="007F3CDA" w:rsidRPr="006C5937">
        <w:rPr>
          <w:rFonts w:ascii="Garamond" w:hAnsi="Garamond"/>
          <w:sz w:val="24"/>
          <w:szCs w:val="24"/>
        </w:rPr>
        <w:t xml:space="preserve">exceed $1 billion dollars, then the SOMAH budget for that calendar year will be capped at $100 million dollars. </w:t>
      </w:r>
      <w:r w:rsidR="00316F76" w:rsidRPr="006C5937">
        <w:rPr>
          <w:rFonts w:ascii="Garamond" w:hAnsi="Garamond"/>
          <w:sz w:val="24"/>
          <w:szCs w:val="24"/>
        </w:rPr>
        <w:t xml:space="preserve">Each IOU shall only contribute its share based on its fraction of the combined total greenhouse gas auction revenues (D.17-12-022, page 36). </w:t>
      </w:r>
      <w:r w:rsidR="00141AC1" w:rsidRPr="006C5937">
        <w:rPr>
          <w:rFonts w:ascii="Garamond" w:hAnsi="Garamond"/>
          <w:sz w:val="24"/>
          <w:szCs w:val="24"/>
        </w:rPr>
        <w:t>Table 2, D.17-12-022 has this illustrative example:</w:t>
      </w:r>
    </w:p>
    <w:p w14:paraId="728F6688" w14:textId="669C3525" w:rsidR="001C4DD8" w:rsidRDefault="00141AC1" w:rsidP="00141AC1">
      <w:pPr>
        <w:ind w:left="720"/>
        <w:jc w:val="center"/>
        <w:rPr>
          <w:rFonts w:ascii="Garamond" w:hAnsi="Garamond"/>
          <w:sz w:val="24"/>
          <w:szCs w:val="24"/>
        </w:rPr>
      </w:pPr>
      <w:r w:rsidRPr="00141AC1">
        <w:rPr>
          <w:rFonts w:ascii="Garamond" w:hAnsi="Garamond"/>
          <w:noProof/>
          <w:sz w:val="24"/>
          <w:szCs w:val="24"/>
        </w:rPr>
        <w:lastRenderedPageBreak/>
        <w:drawing>
          <wp:inline distT="0" distB="0" distL="0" distR="0" wp14:anchorId="611BD5A4" wp14:editId="03DFEF9D">
            <wp:extent cx="3721902" cy="1740984"/>
            <wp:effectExtent l="0" t="0" r="0" b="0"/>
            <wp:docPr id="1025" name="Picture 1" descr="Graphical user interface, application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358FB40-6CE6-4A64-B5A3-C5F83687E5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Graphical user interface, application, table&#10;&#10;Description automatically generated">
                      <a:extLst>
                        <a:ext uri="{FF2B5EF4-FFF2-40B4-BE49-F238E27FC236}">
                          <a16:creationId xmlns:a16="http://schemas.microsoft.com/office/drawing/2014/main" id="{7358FB40-6CE6-4A64-B5A3-C5F83687E5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8" t="33107" r="26643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02" cy="17409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ADF316B" w14:textId="77777777" w:rsidR="001A1DEF" w:rsidRDefault="001A1DEF" w:rsidP="00621FE9">
      <w:pPr>
        <w:ind w:left="720"/>
        <w:rPr>
          <w:rFonts w:ascii="Garamond" w:hAnsi="Garamond"/>
          <w:sz w:val="24"/>
          <w:szCs w:val="24"/>
        </w:rPr>
      </w:pPr>
    </w:p>
    <w:p w14:paraId="318B416B" w14:textId="4059C19A" w:rsidR="00BA32CB" w:rsidRDefault="0080729B" w:rsidP="00621FE9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Typical program and administrative expenses aside, f</w:t>
      </w:r>
      <w:r w:rsidR="00BA32CB">
        <w:rPr>
          <w:rFonts w:ascii="Garamond" w:hAnsi="Garamond"/>
          <w:sz w:val="24"/>
          <w:szCs w:val="24"/>
        </w:rPr>
        <w:t>und</w:t>
      </w:r>
      <w:r w:rsidR="007543D1">
        <w:rPr>
          <w:rFonts w:ascii="Garamond" w:hAnsi="Garamond"/>
          <w:sz w:val="24"/>
          <w:szCs w:val="24"/>
        </w:rPr>
        <w:t>s</w:t>
      </w:r>
      <w:r w:rsidR="00BA32CB">
        <w:rPr>
          <w:rFonts w:ascii="Garamond" w:hAnsi="Garamond"/>
          <w:sz w:val="24"/>
          <w:szCs w:val="24"/>
        </w:rPr>
        <w:t xml:space="preserve"> cannot be moved from the IOUs</w:t>
      </w:r>
      <w:r w:rsidR="00B138EC">
        <w:rPr>
          <w:rFonts w:ascii="Garamond" w:hAnsi="Garamond"/>
          <w:sz w:val="24"/>
          <w:szCs w:val="24"/>
        </w:rPr>
        <w:t>’</w:t>
      </w:r>
      <w:r w:rsidR="00BA32CB">
        <w:rPr>
          <w:rFonts w:ascii="Garamond" w:hAnsi="Garamond"/>
          <w:sz w:val="24"/>
          <w:szCs w:val="24"/>
        </w:rPr>
        <w:t xml:space="preserve"> SOMAH Balancing Accounts</w:t>
      </w:r>
      <w:r>
        <w:rPr>
          <w:rFonts w:ascii="Garamond" w:hAnsi="Garamond"/>
          <w:sz w:val="24"/>
          <w:szCs w:val="24"/>
        </w:rPr>
        <w:t xml:space="preserve"> </w:t>
      </w:r>
      <w:r w:rsidR="00BA32CB">
        <w:rPr>
          <w:rFonts w:ascii="Garamond" w:hAnsi="Garamond"/>
          <w:sz w:val="24"/>
          <w:szCs w:val="24"/>
        </w:rPr>
        <w:t>without Commission approval</w:t>
      </w:r>
      <w:r w:rsidR="00D5101F">
        <w:rPr>
          <w:rFonts w:ascii="Garamond" w:hAnsi="Garamond"/>
          <w:sz w:val="24"/>
          <w:szCs w:val="24"/>
        </w:rPr>
        <w:t xml:space="preserve"> (D.20-</w:t>
      </w:r>
      <w:r w:rsidR="003D5531">
        <w:rPr>
          <w:rFonts w:ascii="Garamond" w:hAnsi="Garamond"/>
          <w:sz w:val="24"/>
          <w:szCs w:val="24"/>
        </w:rPr>
        <w:t xml:space="preserve">04-012 </w:t>
      </w:r>
      <w:r w:rsidR="00C41D76">
        <w:rPr>
          <w:rFonts w:ascii="Garamond" w:hAnsi="Garamond"/>
          <w:sz w:val="24"/>
          <w:szCs w:val="24"/>
        </w:rPr>
        <w:t xml:space="preserve">at </w:t>
      </w:r>
      <w:r w:rsidR="003D5531">
        <w:rPr>
          <w:rFonts w:ascii="Garamond" w:hAnsi="Garamond"/>
          <w:sz w:val="24"/>
          <w:szCs w:val="24"/>
        </w:rPr>
        <w:t xml:space="preserve">page </w:t>
      </w:r>
      <w:r w:rsidR="00D06477">
        <w:rPr>
          <w:rFonts w:ascii="Garamond" w:hAnsi="Garamond"/>
          <w:sz w:val="24"/>
          <w:szCs w:val="24"/>
        </w:rPr>
        <w:t>11)</w:t>
      </w:r>
      <w:r w:rsidR="00D5101F">
        <w:rPr>
          <w:rFonts w:ascii="Garamond" w:hAnsi="Garamond"/>
          <w:sz w:val="24"/>
          <w:szCs w:val="24"/>
        </w:rPr>
        <w:t>. As such,</w:t>
      </w:r>
      <w:r w:rsidR="00BA32CB">
        <w:rPr>
          <w:rFonts w:ascii="Garamond" w:hAnsi="Garamond"/>
          <w:sz w:val="24"/>
          <w:szCs w:val="24"/>
        </w:rPr>
        <w:t xml:space="preserve"> true-up amounts, whether </w:t>
      </w:r>
      <w:r w:rsidR="00FB7A14">
        <w:rPr>
          <w:rFonts w:ascii="Garamond" w:hAnsi="Garamond"/>
          <w:sz w:val="24"/>
          <w:szCs w:val="24"/>
        </w:rPr>
        <w:t xml:space="preserve">those be </w:t>
      </w:r>
      <w:r w:rsidR="00BA32CB">
        <w:rPr>
          <w:rFonts w:ascii="Garamond" w:hAnsi="Garamond"/>
          <w:sz w:val="24"/>
          <w:szCs w:val="24"/>
        </w:rPr>
        <w:t xml:space="preserve">an addition or </w:t>
      </w:r>
      <w:r w:rsidR="00FB7A14">
        <w:rPr>
          <w:rFonts w:ascii="Garamond" w:hAnsi="Garamond"/>
          <w:sz w:val="24"/>
          <w:szCs w:val="24"/>
        </w:rPr>
        <w:t xml:space="preserve">a </w:t>
      </w:r>
      <w:r w:rsidR="00D5101F">
        <w:rPr>
          <w:rFonts w:ascii="Garamond" w:hAnsi="Garamond"/>
          <w:sz w:val="24"/>
          <w:szCs w:val="24"/>
        </w:rPr>
        <w:t xml:space="preserve">subtraction, must be </w:t>
      </w:r>
      <w:r w:rsidR="00476A6D">
        <w:rPr>
          <w:rFonts w:ascii="Garamond" w:hAnsi="Garamond"/>
          <w:sz w:val="24"/>
          <w:szCs w:val="24"/>
        </w:rPr>
        <w:t>requested</w:t>
      </w:r>
      <w:r w:rsidR="00D5101F">
        <w:rPr>
          <w:rFonts w:ascii="Garamond" w:hAnsi="Garamond"/>
          <w:sz w:val="24"/>
          <w:szCs w:val="24"/>
        </w:rPr>
        <w:t xml:space="preserve"> in </w:t>
      </w:r>
      <w:r w:rsidR="00C41D76">
        <w:rPr>
          <w:rFonts w:ascii="Garamond" w:hAnsi="Garamond"/>
          <w:sz w:val="24"/>
          <w:szCs w:val="24"/>
        </w:rPr>
        <w:t>each IOU’s</w:t>
      </w:r>
      <w:r w:rsidR="00D5101F">
        <w:rPr>
          <w:rFonts w:ascii="Garamond" w:hAnsi="Garamond"/>
          <w:sz w:val="24"/>
          <w:szCs w:val="24"/>
        </w:rPr>
        <w:t xml:space="preserve"> ERRA or ECAC application. </w:t>
      </w:r>
    </w:p>
    <w:p w14:paraId="1D4CB42B" w14:textId="327C8B36" w:rsidR="0006267D" w:rsidRDefault="00246136" w:rsidP="00E6371E">
      <w:pPr>
        <w:pStyle w:val="Heading1"/>
        <w:numPr>
          <w:ilvl w:val="0"/>
          <w:numId w:val="2"/>
        </w:numPr>
        <w:spacing w:after="240"/>
      </w:pPr>
      <w:r>
        <w:t xml:space="preserve">SOMAH </w:t>
      </w:r>
      <w:r w:rsidR="008D1B75">
        <w:t xml:space="preserve">Actual Set-Aside </w:t>
      </w:r>
      <w:r>
        <w:t xml:space="preserve">Budget </w:t>
      </w:r>
    </w:p>
    <w:p w14:paraId="295C5F49" w14:textId="1EBADD39" w:rsidR="00D5135B" w:rsidRDefault="00FB7A14" w:rsidP="00297768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 is current practice, each</w:t>
      </w:r>
      <w:r w:rsidR="00872B92">
        <w:rPr>
          <w:rFonts w:ascii="Garamond" w:hAnsi="Garamond"/>
          <w:sz w:val="24"/>
          <w:szCs w:val="24"/>
        </w:rPr>
        <w:t xml:space="preserve"> ERRA/ECAC Application</w:t>
      </w:r>
      <w:r w:rsidR="0036621F">
        <w:rPr>
          <w:rFonts w:ascii="Garamond" w:hAnsi="Garamond"/>
          <w:sz w:val="24"/>
          <w:szCs w:val="24"/>
        </w:rPr>
        <w:t xml:space="preserve"> </w:t>
      </w:r>
      <w:r w:rsidR="00872B92">
        <w:rPr>
          <w:rFonts w:ascii="Garamond" w:hAnsi="Garamond"/>
          <w:sz w:val="24"/>
          <w:szCs w:val="24"/>
        </w:rPr>
        <w:t>propose</w:t>
      </w:r>
      <w:r w:rsidR="0036621F">
        <w:rPr>
          <w:rFonts w:ascii="Garamond" w:hAnsi="Garamond"/>
          <w:sz w:val="24"/>
          <w:szCs w:val="24"/>
        </w:rPr>
        <w:t>s</w:t>
      </w:r>
      <w:r w:rsidR="00872B92">
        <w:rPr>
          <w:rFonts w:ascii="Garamond" w:hAnsi="Garamond"/>
          <w:sz w:val="24"/>
          <w:szCs w:val="24"/>
        </w:rPr>
        <w:t xml:space="preserve"> </w:t>
      </w:r>
      <w:r w:rsidR="0038376C">
        <w:rPr>
          <w:rFonts w:ascii="Garamond" w:hAnsi="Garamond"/>
          <w:sz w:val="24"/>
          <w:szCs w:val="24"/>
        </w:rPr>
        <w:t xml:space="preserve">the next year’s </w:t>
      </w:r>
      <w:r w:rsidR="00872B92">
        <w:rPr>
          <w:rFonts w:ascii="Garamond" w:hAnsi="Garamond"/>
          <w:sz w:val="24"/>
          <w:szCs w:val="24"/>
        </w:rPr>
        <w:t xml:space="preserve">budget </w:t>
      </w:r>
      <w:r w:rsidR="008569E5">
        <w:rPr>
          <w:rFonts w:ascii="Garamond" w:hAnsi="Garamond"/>
          <w:sz w:val="24"/>
          <w:szCs w:val="24"/>
        </w:rPr>
        <w:t>for spending</w:t>
      </w:r>
      <w:r w:rsidR="00872B92">
        <w:rPr>
          <w:rFonts w:ascii="Garamond" w:hAnsi="Garamond"/>
          <w:sz w:val="24"/>
          <w:szCs w:val="24"/>
        </w:rPr>
        <w:t xml:space="preserve"> greenhouse gas auction revenue. The application</w:t>
      </w:r>
      <w:r w:rsidR="00CA7E47">
        <w:rPr>
          <w:rFonts w:ascii="Garamond" w:hAnsi="Garamond"/>
          <w:sz w:val="24"/>
          <w:szCs w:val="24"/>
        </w:rPr>
        <w:t xml:space="preserve">’s </w:t>
      </w:r>
      <w:r w:rsidR="007166EF">
        <w:rPr>
          <w:rFonts w:ascii="Garamond" w:hAnsi="Garamond"/>
          <w:sz w:val="24"/>
          <w:szCs w:val="24"/>
        </w:rPr>
        <w:t xml:space="preserve">proposed annual </w:t>
      </w:r>
      <w:r w:rsidR="00CA7E47">
        <w:rPr>
          <w:rFonts w:ascii="Garamond" w:hAnsi="Garamond"/>
          <w:sz w:val="24"/>
          <w:szCs w:val="24"/>
        </w:rPr>
        <w:t>SOMAH</w:t>
      </w:r>
      <w:r w:rsidR="00872B92">
        <w:rPr>
          <w:rFonts w:ascii="Garamond" w:hAnsi="Garamond"/>
          <w:sz w:val="24"/>
          <w:szCs w:val="24"/>
        </w:rPr>
        <w:t xml:space="preserve"> budge</w:t>
      </w:r>
      <w:r w:rsidR="0038376C">
        <w:rPr>
          <w:rFonts w:ascii="Garamond" w:hAnsi="Garamond"/>
          <w:sz w:val="24"/>
          <w:szCs w:val="24"/>
        </w:rPr>
        <w:t>t</w:t>
      </w:r>
      <w:r w:rsidR="00872B92">
        <w:rPr>
          <w:rFonts w:ascii="Garamond" w:hAnsi="Garamond"/>
          <w:sz w:val="24"/>
          <w:szCs w:val="24"/>
        </w:rPr>
        <w:t xml:space="preserve"> </w:t>
      </w:r>
      <w:r w:rsidR="00A1260A">
        <w:rPr>
          <w:rFonts w:ascii="Garamond" w:hAnsi="Garamond"/>
          <w:sz w:val="24"/>
          <w:szCs w:val="24"/>
        </w:rPr>
        <w:t xml:space="preserve">is </w:t>
      </w:r>
      <w:r w:rsidR="000C69F7">
        <w:rPr>
          <w:rFonts w:ascii="Garamond" w:hAnsi="Garamond"/>
          <w:sz w:val="24"/>
          <w:szCs w:val="24"/>
        </w:rPr>
        <w:t>part</w:t>
      </w:r>
      <w:r w:rsidR="00CA7E47">
        <w:rPr>
          <w:rFonts w:ascii="Garamond" w:hAnsi="Garamond"/>
          <w:sz w:val="24"/>
          <w:szCs w:val="24"/>
        </w:rPr>
        <w:t xml:space="preserve"> of the IOU’s </w:t>
      </w:r>
      <w:r w:rsidR="00872B92">
        <w:rPr>
          <w:rFonts w:ascii="Garamond" w:hAnsi="Garamond"/>
          <w:sz w:val="24"/>
          <w:szCs w:val="24"/>
        </w:rPr>
        <w:t>Forecast Revenue</w:t>
      </w:r>
      <w:r w:rsidR="007166EF">
        <w:rPr>
          <w:rFonts w:ascii="Garamond" w:hAnsi="Garamond"/>
          <w:sz w:val="24"/>
          <w:szCs w:val="24"/>
        </w:rPr>
        <w:t>, captured in their Template D-1</w:t>
      </w:r>
      <w:r w:rsidR="00A1260A">
        <w:rPr>
          <w:rFonts w:ascii="Garamond" w:hAnsi="Garamond"/>
          <w:sz w:val="24"/>
          <w:szCs w:val="24"/>
        </w:rPr>
        <w:t xml:space="preserve"> of their ERRA/ECAC</w:t>
      </w:r>
      <w:r w:rsidR="00872B92">
        <w:rPr>
          <w:rFonts w:ascii="Garamond" w:hAnsi="Garamond"/>
          <w:sz w:val="24"/>
          <w:szCs w:val="24"/>
        </w:rPr>
        <w:t xml:space="preserve">. </w:t>
      </w:r>
      <w:r w:rsidR="000C69F7">
        <w:rPr>
          <w:rFonts w:ascii="Garamond" w:hAnsi="Garamond"/>
          <w:sz w:val="24"/>
          <w:szCs w:val="24"/>
        </w:rPr>
        <w:t>E</w:t>
      </w:r>
      <w:r w:rsidR="008A0EDC">
        <w:rPr>
          <w:rFonts w:ascii="Garamond" w:hAnsi="Garamond"/>
          <w:sz w:val="24"/>
          <w:szCs w:val="24"/>
        </w:rPr>
        <w:t>ach IOU must clearly show their SOMAH Forecast Set-Aside amount</w:t>
      </w:r>
      <w:r w:rsidR="003D2F5D">
        <w:rPr>
          <w:rFonts w:ascii="Garamond" w:hAnsi="Garamond"/>
          <w:sz w:val="24"/>
          <w:szCs w:val="24"/>
        </w:rPr>
        <w:t xml:space="preserve"> as a separate line item</w:t>
      </w:r>
      <w:r w:rsidR="00794E74">
        <w:rPr>
          <w:rStyle w:val="FootnoteReference"/>
          <w:rFonts w:ascii="Garamond" w:hAnsi="Garamond"/>
          <w:sz w:val="24"/>
          <w:szCs w:val="24"/>
        </w:rPr>
        <w:footnoteReference w:id="2"/>
      </w:r>
      <w:r w:rsidR="008A0EDC">
        <w:rPr>
          <w:rFonts w:ascii="Garamond" w:hAnsi="Garamond"/>
          <w:sz w:val="24"/>
          <w:szCs w:val="24"/>
        </w:rPr>
        <w:t xml:space="preserve">. </w:t>
      </w:r>
    </w:p>
    <w:p w14:paraId="063A0069" w14:textId="2E022B0E" w:rsidR="004A06D2" w:rsidRDefault="008A0EDC" w:rsidP="00297768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SOMAH Forecast Set-Aside Amount is </w:t>
      </w:r>
      <w:r w:rsidR="00DE3670">
        <w:rPr>
          <w:rFonts w:ascii="Garamond" w:hAnsi="Garamond"/>
          <w:sz w:val="24"/>
          <w:szCs w:val="24"/>
        </w:rPr>
        <w:t xml:space="preserve">either 1) </w:t>
      </w:r>
      <w:r>
        <w:rPr>
          <w:rFonts w:ascii="Garamond" w:hAnsi="Garamond"/>
          <w:sz w:val="24"/>
          <w:szCs w:val="24"/>
        </w:rPr>
        <w:t>10% of the proposed</w:t>
      </w:r>
      <w:r w:rsidR="00A777C9">
        <w:rPr>
          <w:rFonts w:ascii="Garamond" w:hAnsi="Garamond"/>
          <w:sz w:val="24"/>
          <w:szCs w:val="24"/>
        </w:rPr>
        <w:t xml:space="preserve"> Forecasted</w:t>
      </w:r>
      <w:r>
        <w:rPr>
          <w:rFonts w:ascii="Garamond" w:hAnsi="Garamond"/>
          <w:sz w:val="24"/>
          <w:szCs w:val="24"/>
        </w:rPr>
        <w:t xml:space="preserve"> </w:t>
      </w:r>
      <w:r w:rsidR="008569E5">
        <w:rPr>
          <w:rFonts w:ascii="Garamond" w:hAnsi="Garamond"/>
          <w:sz w:val="24"/>
          <w:szCs w:val="24"/>
        </w:rPr>
        <w:t xml:space="preserve">total greenhouse gas auction </w:t>
      </w:r>
      <w:r>
        <w:rPr>
          <w:rFonts w:ascii="Garamond" w:hAnsi="Garamond"/>
          <w:sz w:val="24"/>
          <w:szCs w:val="24"/>
        </w:rPr>
        <w:t xml:space="preserve">revenue, as per D.17-12-022 </w:t>
      </w:r>
      <w:r w:rsidR="003D2F5D">
        <w:rPr>
          <w:rFonts w:ascii="Garamond" w:hAnsi="Garamond"/>
          <w:sz w:val="24"/>
          <w:szCs w:val="24"/>
        </w:rPr>
        <w:t>Ordering Paragraphs</w:t>
      </w:r>
      <w:r w:rsidR="00F90C65">
        <w:rPr>
          <w:rFonts w:ascii="Garamond" w:hAnsi="Garamond"/>
          <w:sz w:val="24"/>
          <w:szCs w:val="24"/>
        </w:rPr>
        <w:t xml:space="preserve"> 4 and 5</w:t>
      </w:r>
      <w:r w:rsidR="00D5135B">
        <w:rPr>
          <w:rFonts w:ascii="Garamond" w:hAnsi="Garamond"/>
          <w:sz w:val="24"/>
          <w:szCs w:val="24"/>
        </w:rPr>
        <w:t xml:space="preserve"> and reiterated in D.20-04-012 at page </w:t>
      </w:r>
      <w:r w:rsidR="001A02F8">
        <w:rPr>
          <w:rFonts w:ascii="Garamond" w:hAnsi="Garamond"/>
          <w:sz w:val="24"/>
          <w:szCs w:val="24"/>
        </w:rPr>
        <w:t>9-10</w:t>
      </w:r>
      <w:r w:rsidR="00DE3670">
        <w:rPr>
          <w:rFonts w:ascii="Garamond" w:hAnsi="Garamond"/>
          <w:sz w:val="24"/>
          <w:szCs w:val="24"/>
        </w:rPr>
        <w:t xml:space="preserve"> or 2) </w:t>
      </w:r>
      <w:r w:rsidR="0071093F">
        <w:rPr>
          <w:rFonts w:ascii="Garamond" w:hAnsi="Garamond"/>
          <w:sz w:val="24"/>
          <w:szCs w:val="24"/>
        </w:rPr>
        <w:t>S</w:t>
      </w:r>
      <w:r w:rsidR="00DE3670">
        <w:rPr>
          <w:rFonts w:ascii="Garamond" w:hAnsi="Garamond"/>
          <w:sz w:val="24"/>
          <w:szCs w:val="24"/>
        </w:rPr>
        <w:t xml:space="preserve">et aside their </w:t>
      </w:r>
      <w:r w:rsidR="0071093F">
        <w:rPr>
          <w:rFonts w:ascii="Garamond" w:hAnsi="Garamond"/>
          <w:sz w:val="24"/>
          <w:szCs w:val="24"/>
        </w:rPr>
        <w:t xml:space="preserve">pre-determined </w:t>
      </w:r>
      <w:r w:rsidR="00DE3670">
        <w:rPr>
          <w:rFonts w:ascii="Garamond" w:hAnsi="Garamond"/>
          <w:sz w:val="24"/>
          <w:szCs w:val="24"/>
        </w:rPr>
        <w:t>proportionate share of $100 million on a forecast basis, as per D.22-09-009</w:t>
      </w:r>
      <w:r w:rsidR="00F90C65">
        <w:rPr>
          <w:rFonts w:ascii="Garamond" w:hAnsi="Garamond"/>
          <w:sz w:val="24"/>
          <w:szCs w:val="24"/>
        </w:rPr>
        <w:t xml:space="preserve">. </w:t>
      </w:r>
      <w:r w:rsidR="004A06D2">
        <w:rPr>
          <w:rFonts w:ascii="Garamond" w:hAnsi="Garamond"/>
          <w:sz w:val="24"/>
          <w:szCs w:val="24"/>
        </w:rPr>
        <w:t>This approach means that the SOMAH program is less likely to face under-collection</w:t>
      </w:r>
      <w:r w:rsidR="00E84B3C">
        <w:rPr>
          <w:rFonts w:ascii="Garamond" w:hAnsi="Garamond"/>
          <w:sz w:val="24"/>
          <w:szCs w:val="24"/>
        </w:rPr>
        <w:t>, which is important to avoid delays for program incentives</w:t>
      </w:r>
      <w:r w:rsidR="004119D5">
        <w:rPr>
          <w:rFonts w:ascii="Garamond" w:hAnsi="Garamond"/>
          <w:sz w:val="24"/>
          <w:szCs w:val="24"/>
        </w:rPr>
        <w:t xml:space="preserve"> to </w:t>
      </w:r>
      <w:r w:rsidR="00710C27">
        <w:rPr>
          <w:rFonts w:ascii="Garamond" w:hAnsi="Garamond"/>
          <w:sz w:val="24"/>
          <w:szCs w:val="24"/>
        </w:rPr>
        <w:t>eligible applicants</w:t>
      </w:r>
      <w:r w:rsidR="00E84B3C">
        <w:rPr>
          <w:rFonts w:ascii="Garamond" w:hAnsi="Garamond"/>
          <w:sz w:val="24"/>
          <w:szCs w:val="24"/>
        </w:rPr>
        <w:t>.</w:t>
      </w:r>
    </w:p>
    <w:p w14:paraId="7DB758B2" w14:textId="39CF5802" w:rsidR="00445812" w:rsidRDefault="00E84B3C" w:rsidP="006769AA">
      <w:pPr>
        <w:spacing w:before="24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the ERRA/ECAC</w:t>
      </w:r>
      <w:r w:rsidR="00171D5A">
        <w:rPr>
          <w:rFonts w:ascii="Garamond" w:hAnsi="Garamond"/>
          <w:sz w:val="24"/>
          <w:szCs w:val="24"/>
        </w:rPr>
        <w:t xml:space="preserve"> applications</w:t>
      </w:r>
      <w:r>
        <w:rPr>
          <w:rFonts w:ascii="Garamond" w:hAnsi="Garamond"/>
          <w:sz w:val="24"/>
          <w:szCs w:val="24"/>
        </w:rPr>
        <w:t xml:space="preserve">, </w:t>
      </w:r>
      <w:r w:rsidR="00F27EC1">
        <w:rPr>
          <w:rFonts w:ascii="Garamond" w:hAnsi="Garamond"/>
          <w:sz w:val="24"/>
          <w:szCs w:val="24"/>
        </w:rPr>
        <w:t xml:space="preserve">only </w:t>
      </w:r>
      <w:r>
        <w:rPr>
          <w:rFonts w:ascii="Garamond" w:hAnsi="Garamond"/>
          <w:sz w:val="24"/>
          <w:szCs w:val="24"/>
        </w:rPr>
        <w:t>t</w:t>
      </w:r>
      <w:r w:rsidR="00DC54CF">
        <w:rPr>
          <w:rFonts w:ascii="Garamond" w:hAnsi="Garamond"/>
          <w:sz w:val="24"/>
          <w:szCs w:val="24"/>
        </w:rPr>
        <w:t xml:space="preserve">he SOMAH Forecast Set-Aside </w:t>
      </w:r>
      <w:r w:rsidR="003A2FFC">
        <w:rPr>
          <w:rFonts w:ascii="Garamond" w:hAnsi="Garamond"/>
          <w:sz w:val="24"/>
          <w:szCs w:val="24"/>
        </w:rPr>
        <w:t>amount</w:t>
      </w:r>
      <w:r w:rsidR="00F7224C">
        <w:rPr>
          <w:rFonts w:ascii="Garamond" w:hAnsi="Garamond"/>
          <w:sz w:val="24"/>
          <w:szCs w:val="24"/>
        </w:rPr>
        <w:t xml:space="preserve"> (not the prior year true-up)</w:t>
      </w:r>
      <w:r w:rsidR="00F27EC1">
        <w:rPr>
          <w:rFonts w:ascii="Garamond" w:hAnsi="Garamond"/>
          <w:sz w:val="24"/>
          <w:szCs w:val="24"/>
        </w:rPr>
        <w:t xml:space="preserve"> </w:t>
      </w:r>
      <w:r w:rsidR="00DC54CF">
        <w:rPr>
          <w:rFonts w:ascii="Garamond" w:hAnsi="Garamond"/>
          <w:sz w:val="24"/>
          <w:szCs w:val="24"/>
        </w:rPr>
        <w:t xml:space="preserve">is </w:t>
      </w:r>
      <w:r w:rsidR="00171D5A">
        <w:rPr>
          <w:rFonts w:ascii="Garamond" w:hAnsi="Garamond"/>
          <w:sz w:val="24"/>
          <w:szCs w:val="24"/>
        </w:rPr>
        <w:t>a portion</w:t>
      </w:r>
      <w:r w:rsidR="00DC54CF">
        <w:rPr>
          <w:rFonts w:ascii="Garamond" w:hAnsi="Garamond"/>
          <w:sz w:val="24"/>
          <w:szCs w:val="24"/>
        </w:rPr>
        <w:t xml:space="preserve"> of the 15% cap on clean energy program spending</w:t>
      </w:r>
      <w:r w:rsidR="00C60C86">
        <w:rPr>
          <w:rFonts w:ascii="Garamond" w:hAnsi="Garamond"/>
          <w:sz w:val="24"/>
          <w:szCs w:val="24"/>
        </w:rPr>
        <w:t xml:space="preserve"> (per Public Utilities Code </w:t>
      </w:r>
      <w:r w:rsidR="008B6280">
        <w:rPr>
          <w:rFonts w:ascii="Garamond" w:hAnsi="Garamond"/>
          <w:sz w:val="24"/>
          <w:szCs w:val="24"/>
        </w:rPr>
        <w:t>748.5.c)</w:t>
      </w:r>
      <w:r w:rsidR="00DC54CF">
        <w:rPr>
          <w:rFonts w:ascii="Garamond" w:hAnsi="Garamond"/>
          <w:sz w:val="24"/>
          <w:szCs w:val="24"/>
        </w:rPr>
        <w:t xml:space="preserve">. </w:t>
      </w:r>
    </w:p>
    <w:p w14:paraId="72154F73" w14:textId="77FB5A55" w:rsidR="006F5AB6" w:rsidRDefault="006F5AB6" w:rsidP="00297768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SOMAH Forecast Set-Aside amount can change during application review depending on factors like changes in the forecasted total </w:t>
      </w:r>
      <w:r w:rsidR="00796538">
        <w:rPr>
          <w:rFonts w:ascii="Garamond" w:hAnsi="Garamond"/>
          <w:sz w:val="24"/>
          <w:szCs w:val="24"/>
        </w:rPr>
        <w:t>GHG</w:t>
      </w:r>
      <w:r>
        <w:rPr>
          <w:rFonts w:ascii="Garamond" w:hAnsi="Garamond"/>
          <w:sz w:val="24"/>
          <w:szCs w:val="24"/>
        </w:rPr>
        <w:t xml:space="preserve"> auction revenue or other Commission direction. </w:t>
      </w:r>
    </w:p>
    <w:p w14:paraId="40CEAC56" w14:textId="27011534" w:rsidR="00490AE9" w:rsidRDefault="00490AE9" w:rsidP="007741A5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Here is a table summarizing the directions in Sections 2 and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0AE9" w14:paraId="1D8E24AE" w14:textId="77777777" w:rsidTr="00024493">
        <w:tc>
          <w:tcPr>
            <w:tcW w:w="3116" w:type="dxa"/>
            <w:shd w:val="clear" w:color="auto" w:fill="E7E6E6" w:themeFill="background2"/>
            <w:vAlign w:val="center"/>
          </w:tcPr>
          <w:p w14:paraId="53B64059" w14:textId="328E833C" w:rsidR="00490AE9" w:rsidRPr="00024493" w:rsidRDefault="00024493" w:rsidP="0002449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24493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SOMAH Forecast Budget Matrix</w:t>
            </w:r>
          </w:p>
        </w:tc>
        <w:tc>
          <w:tcPr>
            <w:tcW w:w="3117" w:type="dxa"/>
          </w:tcPr>
          <w:p w14:paraId="11CF7FC2" w14:textId="142DEABF" w:rsidR="00490AE9" w:rsidRDefault="00490AE9" w:rsidP="00432A7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If IOU sets aside 10% of revenue based on </w:t>
            </w:r>
            <w:r w:rsidR="00EA2805">
              <w:rPr>
                <w:rFonts w:ascii="Garamond" w:hAnsi="Garamond"/>
                <w:sz w:val="24"/>
                <w:szCs w:val="24"/>
              </w:rPr>
              <w:t xml:space="preserve">a </w:t>
            </w:r>
            <w:r>
              <w:rPr>
                <w:rFonts w:ascii="Garamond" w:hAnsi="Garamond"/>
                <w:sz w:val="24"/>
                <w:szCs w:val="24"/>
              </w:rPr>
              <w:t>Forecast basis</w:t>
            </w:r>
            <w:r w:rsidR="008065A2">
              <w:rPr>
                <w:rFonts w:ascii="Garamond" w:hAnsi="Garamond"/>
                <w:sz w:val="24"/>
                <w:szCs w:val="24"/>
              </w:rPr>
              <w:t>…</w:t>
            </w:r>
          </w:p>
        </w:tc>
        <w:tc>
          <w:tcPr>
            <w:tcW w:w="3117" w:type="dxa"/>
          </w:tcPr>
          <w:p w14:paraId="6064FEC1" w14:textId="6A5FC770" w:rsidR="00490AE9" w:rsidRDefault="00490AE9" w:rsidP="00432A7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If IOU sets aside their share of $100</w:t>
            </w:r>
            <w:r w:rsidR="00430E2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million on </w:t>
            </w:r>
            <w:r w:rsidR="00EA2805">
              <w:rPr>
                <w:rFonts w:ascii="Garamond" w:hAnsi="Garamond"/>
                <w:sz w:val="24"/>
                <w:szCs w:val="24"/>
              </w:rPr>
              <w:t xml:space="preserve">a </w:t>
            </w:r>
            <w:r>
              <w:rPr>
                <w:rFonts w:ascii="Garamond" w:hAnsi="Garamond"/>
                <w:sz w:val="24"/>
                <w:szCs w:val="24"/>
              </w:rPr>
              <w:t>Forecast basis</w:t>
            </w:r>
            <w:r w:rsidR="008065A2"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  <w:tr w:rsidR="00490AE9" w14:paraId="4BF3BC8A" w14:textId="77777777" w:rsidTr="00432A7B">
        <w:tc>
          <w:tcPr>
            <w:tcW w:w="3116" w:type="dxa"/>
          </w:tcPr>
          <w:p w14:paraId="7121F6A2" w14:textId="519A32B9" w:rsidR="00490AE9" w:rsidRPr="008065A2" w:rsidRDefault="00490AE9" w:rsidP="00432A7B">
            <w:pPr>
              <w:rPr>
                <w:rFonts w:ascii="Garamond" w:hAnsi="Garamond"/>
                <w:sz w:val="24"/>
                <w:szCs w:val="24"/>
              </w:rPr>
            </w:pPr>
            <w:r w:rsidRPr="008065A2">
              <w:rPr>
                <w:rFonts w:ascii="Garamond" w:hAnsi="Garamond"/>
                <w:sz w:val="24"/>
                <w:szCs w:val="24"/>
              </w:rPr>
              <w:t>If final combined</w:t>
            </w:r>
            <w:r w:rsidR="00EA2805">
              <w:rPr>
                <w:rFonts w:ascii="Garamond" w:hAnsi="Garamond"/>
                <w:sz w:val="24"/>
                <w:szCs w:val="24"/>
              </w:rPr>
              <w:t xml:space="preserve"> actual</w:t>
            </w:r>
            <w:r w:rsidRPr="008065A2">
              <w:rPr>
                <w:rFonts w:ascii="Garamond" w:hAnsi="Garamond"/>
                <w:sz w:val="24"/>
                <w:szCs w:val="24"/>
              </w:rPr>
              <w:t xml:space="preserve"> revenues </w:t>
            </w:r>
            <w:r w:rsidRPr="00EA2805">
              <w:rPr>
                <w:rFonts w:ascii="Garamond" w:hAnsi="Garamond"/>
                <w:sz w:val="24"/>
                <w:szCs w:val="24"/>
                <w:u w:val="single"/>
              </w:rPr>
              <w:t>are under $1 billion</w:t>
            </w:r>
            <w:r w:rsidR="008065A2" w:rsidRPr="008065A2">
              <w:rPr>
                <w:rFonts w:ascii="Garamond" w:hAnsi="Garamond"/>
                <w:sz w:val="24"/>
                <w:szCs w:val="24"/>
              </w:rPr>
              <w:t>, then…</w:t>
            </w:r>
          </w:p>
        </w:tc>
        <w:tc>
          <w:tcPr>
            <w:tcW w:w="3117" w:type="dxa"/>
          </w:tcPr>
          <w:p w14:paraId="3EFF935F" w14:textId="7A801058" w:rsidR="00490AE9" w:rsidRDefault="00DE202E" w:rsidP="00432A7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Adjust to 10% of </w:t>
            </w:r>
            <w:r w:rsidR="00430E24">
              <w:rPr>
                <w:rFonts w:ascii="Garamond" w:hAnsi="Garamond"/>
                <w:sz w:val="24"/>
                <w:szCs w:val="24"/>
              </w:rPr>
              <w:t>actual revenue for each IOU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DC57A5A" w14:textId="33AF565C" w:rsidR="00490AE9" w:rsidRDefault="00430E24" w:rsidP="00432A7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Adjust to 10% of actual </w:t>
            </w:r>
            <w:r w:rsidR="008065A2">
              <w:rPr>
                <w:rFonts w:ascii="Garamond" w:hAnsi="Garamond"/>
                <w:sz w:val="24"/>
                <w:szCs w:val="24"/>
              </w:rPr>
              <w:t>revenue for each IOU</w:t>
            </w:r>
          </w:p>
        </w:tc>
      </w:tr>
      <w:tr w:rsidR="00490AE9" w14:paraId="49094579" w14:textId="77777777" w:rsidTr="00432A7B">
        <w:tc>
          <w:tcPr>
            <w:tcW w:w="3116" w:type="dxa"/>
          </w:tcPr>
          <w:p w14:paraId="6094DF0F" w14:textId="2B2BF23E" w:rsidR="00490AE9" w:rsidRPr="008065A2" w:rsidRDefault="00490AE9" w:rsidP="00432A7B">
            <w:pPr>
              <w:rPr>
                <w:rFonts w:ascii="Garamond" w:hAnsi="Garamond"/>
                <w:sz w:val="24"/>
                <w:szCs w:val="24"/>
              </w:rPr>
            </w:pPr>
            <w:r w:rsidRPr="008065A2">
              <w:rPr>
                <w:rFonts w:ascii="Garamond" w:hAnsi="Garamond"/>
                <w:sz w:val="24"/>
                <w:szCs w:val="24"/>
              </w:rPr>
              <w:t>If final combined</w:t>
            </w:r>
            <w:r w:rsidR="00EA2805">
              <w:rPr>
                <w:rFonts w:ascii="Garamond" w:hAnsi="Garamond"/>
                <w:sz w:val="24"/>
                <w:szCs w:val="24"/>
              </w:rPr>
              <w:t xml:space="preserve"> actual</w:t>
            </w:r>
            <w:r w:rsidRPr="008065A2">
              <w:rPr>
                <w:rFonts w:ascii="Garamond" w:hAnsi="Garamond"/>
                <w:sz w:val="24"/>
                <w:szCs w:val="24"/>
              </w:rPr>
              <w:t xml:space="preserve"> revenues </w:t>
            </w:r>
            <w:r w:rsidRPr="00EA2805">
              <w:rPr>
                <w:rFonts w:ascii="Garamond" w:hAnsi="Garamond"/>
                <w:sz w:val="24"/>
                <w:szCs w:val="24"/>
                <w:u w:val="single"/>
              </w:rPr>
              <w:t xml:space="preserve">are </w:t>
            </w:r>
            <w:r w:rsidR="006C4276">
              <w:rPr>
                <w:rFonts w:ascii="Garamond" w:hAnsi="Garamond"/>
                <w:sz w:val="24"/>
                <w:szCs w:val="24"/>
                <w:u w:val="single"/>
              </w:rPr>
              <w:t xml:space="preserve">equal to or </w:t>
            </w:r>
            <w:r w:rsidRPr="00EA2805">
              <w:rPr>
                <w:rFonts w:ascii="Garamond" w:hAnsi="Garamond"/>
                <w:sz w:val="24"/>
                <w:szCs w:val="24"/>
                <w:u w:val="single"/>
              </w:rPr>
              <w:t>more than $1 billion</w:t>
            </w:r>
            <w:r w:rsidR="008065A2" w:rsidRPr="008065A2">
              <w:rPr>
                <w:rFonts w:ascii="Garamond" w:hAnsi="Garamond"/>
                <w:sz w:val="24"/>
                <w:szCs w:val="24"/>
              </w:rPr>
              <w:t>, then…</w:t>
            </w:r>
          </w:p>
        </w:tc>
        <w:tc>
          <w:tcPr>
            <w:tcW w:w="3117" w:type="dxa"/>
          </w:tcPr>
          <w:p w14:paraId="4A3E35FD" w14:textId="7F8A63B9" w:rsidR="00490AE9" w:rsidRDefault="00430E24" w:rsidP="00432A7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Adjust to proportionate share of $1 billion based on</w:t>
            </w:r>
            <w:r w:rsidR="0096244A">
              <w:rPr>
                <w:rFonts w:ascii="Garamond" w:hAnsi="Garamond"/>
                <w:sz w:val="24"/>
                <w:szCs w:val="24"/>
              </w:rPr>
              <w:t xml:space="preserve"> each IOU’s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6244A">
              <w:rPr>
                <w:rFonts w:ascii="Garamond" w:hAnsi="Garamond"/>
                <w:sz w:val="24"/>
                <w:szCs w:val="24"/>
              </w:rPr>
              <w:t xml:space="preserve">share </w:t>
            </w:r>
            <w:r w:rsidR="00265F92">
              <w:rPr>
                <w:rFonts w:ascii="Garamond" w:hAnsi="Garamond"/>
                <w:sz w:val="24"/>
                <w:szCs w:val="24"/>
              </w:rPr>
              <w:t xml:space="preserve">(%) </w:t>
            </w:r>
            <w:r w:rsidR="0096244A">
              <w:rPr>
                <w:rFonts w:ascii="Garamond" w:hAnsi="Garamond"/>
                <w:sz w:val="24"/>
                <w:szCs w:val="24"/>
              </w:rPr>
              <w:t xml:space="preserve">of </w:t>
            </w:r>
            <w:r>
              <w:rPr>
                <w:rFonts w:ascii="Garamond" w:hAnsi="Garamond"/>
                <w:sz w:val="24"/>
                <w:szCs w:val="24"/>
              </w:rPr>
              <w:t>actual revenue</w:t>
            </w:r>
          </w:p>
        </w:tc>
        <w:tc>
          <w:tcPr>
            <w:tcW w:w="3117" w:type="dxa"/>
          </w:tcPr>
          <w:p w14:paraId="4FAA0832" w14:textId="3034A3B5" w:rsidR="00490AE9" w:rsidRDefault="008065A2" w:rsidP="00432A7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Adjust to proportionate share of $1 billion based on </w:t>
            </w:r>
            <w:r w:rsidR="0096244A">
              <w:rPr>
                <w:rFonts w:ascii="Garamond" w:hAnsi="Garamond"/>
                <w:sz w:val="24"/>
                <w:szCs w:val="24"/>
              </w:rPr>
              <w:t xml:space="preserve">each IOU’s share </w:t>
            </w:r>
            <w:r w:rsidR="00265F92">
              <w:rPr>
                <w:rFonts w:ascii="Garamond" w:hAnsi="Garamond"/>
                <w:sz w:val="24"/>
                <w:szCs w:val="24"/>
              </w:rPr>
              <w:t xml:space="preserve">(%) </w:t>
            </w:r>
            <w:r w:rsidR="0096244A">
              <w:rPr>
                <w:rFonts w:ascii="Garamond" w:hAnsi="Garamond"/>
                <w:sz w:val="24"/>
                <w:szCs w:val="24"/>
              </w:rPr>
              <w:t xml:space="preserve">of </w:t>
            </w:r>
            <w:r>
              <w:rPr>
                <w:rFonts w:ascii="Garamond" w:hAnsi="Garamond"/>
                <w:sz w:val="24"/>
                <w:szCs w:val="24"/>
              </w:rPr>
              <w:t>actual revenue</w:t>
            </w:r>
          </w:p>
        </w:tc>
      </w:tr>
    </w:tbl>
    <w:p w14:paraId="03BB0E99" w14:textId="77777777" w:rsidR="00490AE9" w:rsidRDefault="00490AE9" w:rsidP="00490AE9">
      <w:pPr>
        <w:rPr>
          <w:rFonts w:ascii="Garamond" w:hAnsi="Garamond"/>
          <w:sz w:val="24"/>
          <w:szCs w:val="24"/>
        </w:rPr>
      </w:pPr>
    </w:p>
    <w:p w14:paraId="00C56FC2" w14:textId="77777777" w:rsidR="00490AE9" w:rsidRDefault="00490AE9" w:rsidP="00297768">
      <w:pPr>
        <w:ind w:left="360"/>
        <w:rPr>
          <w:rFonts w:ascii="Garamond" w:hAnsi="Garamond"/>
          <w:sz w:val="24"/>
          <w:szCs w:val="24"/>
        </w:rPr>
      </w:pPr>
    </w:p>
    <w:p w14:paraId="74BFEFA8" w14:textId="7C0DA4E9" w:rsidR="00246136" w:rsidRDefault="00246136" w:rsidP="00B473A5">
      <w:pPr>
        <w:pStyle w:val="Heading1"/>
        <w:numPr>
          <w:ilvl w:val="0"/>
          <w:numId w:val="2"/>
        </w:numPr>
        <w:spacing w:after="240"/>
      </w:pPr>
      <w:r>
        <w:t>SOMAH Budget Prior Year True-Up</w:t>
      </w:r>
      <w:r w:rsidR="008D1B75">
        <w:t xml:space="preserve"> </w:t>
      </w:r>
    </w:p>
    <w:p w14:paraId="3368135B" w14:textId="27BBDA99" w:rsidR="00640B86" w:rsidRDefault="009C4547" w:rsidP="00297768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Prior Year True-up</w:t>
      </w:r>
      <w:r w:rsidR="00A14B4D">
        <w:rPr>
          <w:rFonts w:ascii="Garamond" w:hAnsi="Garamond"/>
          <w:sz w:val="24"/>
          <w:szCs w:val="24"/>
        </w:rPr>
        <w:t xml:space="preserve"> amount</w:t>
      </w:r>
      <w:r>
        <w:rPr>
          <w:rFonts w:ascii="Garamond" w:hAnsi="Garamond"/>
          <w:sz w:val="24"/>
          <w:szCs w:val="24"/>
        </w:rPr>
        <w:t xml:space="preserve"> rectifies the </w:t>
      </w:r>
      <w:r w:rsidR="00A14B4D">
        <w:rPr>
          <w:rFonts w:ascii="Garamond" w:hAnsi="Garamond"/>
          <w:sz w:val="24"/>
          <w:szCs w:val="24"/>
        </w:rPr>
        <w:t xml:space="preserve">previous years’ budgets to the amount needed. </w:t>
      </w:r>
    </w:p>
    <w:p w14:paraId="342DFDAB" w14:textId="55520D92" w:rsidR="00F95EB4" w:rsidRDefault="00A14B4D" w:rsidP="00297768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Each program year’s budget is</w:t>
      </w:r>
      <w:r w:rsidR="00866D2F">
        <w:rPr>
          <w:rFonts w:ascii="Garamond" w:hAnsi="Garamond"/>
          <w:sz w:val="24"/>
          <w:szCs w:val="24"/>
        </w:rPr>
        <w:t xml:space="preserve"> fully</w:t>
      </w:r>
      <w:r>
        <w:rPr>
          <w:rFonts w:ascii="Garamond" w:hAnsi="Garamond"/>
          <w:sz w:val="24"/>
          <w:szCs w:val="24"/>
        </w:rPr>
        <w:t xml:space="preserve"> balanced </w:t>
      </w:r>
      <w:r w:rsidR="009F6E92">
        <w:rPr>
          <w:rFonts w:ascii="Garamond" w:hAnsi="Garamond"/>
          <w:sz w:val="24"/>
          <w:szCs w:val="24"/>
        </w:rPr>
        <w:t xml:space="preserve">and transacted </w:t>
      </w:r>
      <w:r>
        <w:rPr>
          <w:rFonts w:ascii="Garamond" w:hAnsi="Garamond"/>
          <w:sz w:val="24"/>
          <w:szCs w:val="24"/>
        </w:rPr>
        <w:t xml:space="preserve">two years after the auction year (calendar year January to December) has ended. </w:t>
      </w:r>
      <w:r w:rsidR="00BD1233">
        <w:rPr>
          <w:rFonts w:ascii="Garamond" w:hAnsi="Garamond"/>
          <w:sz w:val="24"/>
          <w:szCs w:val="24"/>
        </w:rPr>
        <w:t>Depending on each IOU’s accounting practices, the Prior Year True-up Amount may contain adjustments beyond the year before the application</w:t>
      </w:r>
      <w:r w:rsidR="006810AF">
        <w:rPr>
          <w:rFonts w:ascii="Garamond" w:hAnsi="Garamond"/>
          <w:sz w:val="24"/>
          <w:szCs w:val="24"/>
        </w:rPr>
        <w:t xml:space="preserve">, making the </w:t>
      </w:r>
      <w:r w:rsidR="0023693D">
        <w:rPr>
          <w:rFonts w:ascii="Garamond" w:hAnsi="Garamond"/>
          <w:sz w:val="24"/>
          <w:szCs w:val="24"/>
        </w:rPr>
        <w:t>term</w:t>
      </w:r>
      <w:r w:rsidR="006810AF">
        <w:rPr>
          <w:rFonts w:ascii="Garamond" w:hAnsi="Garamond"/>
          <w:sz w:val="24"/>
          <w:szCs w:val="24"/>
        </w:rPr>
        <w:t xml:space="preserve"> “Prior Year</w:t>
      </w:r>
      <w:r w:rsidR="0023693D">
        <w:rPr>
          <w:rFonts w:ascii="Garamond" w:hAnsi="Garamond"/>
          <w:sz w:val="24"/>
          <w:szCs w:val="24"/>
        </w:rPr>
        <w:t xml:space="preserve"> True-up</w:t>
      </w:r>
      <w:r w:rsidR="006810AF">
        <w:rPr>
          <w:rFonts w:ascii="Garamond" w:hAnsi="Garamond"/>
          <w:sz w:val="24"/>
          <w:szCs w:val="24"/>
        </w:rPr>
        <w:t>”</w:t>
      </w:r>
      <w:r w:rsidR="0023693D">
        <w:rPr>
          <w:rFonts w:ascii="Garamond" w:hAnsi="Garamond"/>
          <w:sz w:val="24"/>
          <w:szCs w:val="24"/>
        </w:rPr>
        <w:t xml:space="preserve"> nominal.</w:t>
      </w:r>
    </w:p>
    <w:p w14:paraId="489EC0E2" w14:textId="605DBCE6" w:rsidR="00F27079" w:rsidRDefault="00F27079" w:rsidP="00297768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the ERRA/ECAC, the SOMAH Prior Year True-up amount is </w:t>
      </w:r>
      <w:r w:rsidRPr="00F27079">
        <w:rPr>
          <w:rFonts w:ascii="Garamond" w:hAnsi="Garamond"/>
          <w:i/>
          <w:iCs/>
          <w:sz w:val="24"/>
          <w:szCs w:val="24"/>
          <w:u w:val="single"/>
        </w:rPr>
        <w:t>not</w:t>
      </w:r>
      <w:r>
        <w:rPr>
          <w:rFonts w:ascii="Garamond" w:hAnsi="Garamond"/>
          <w:sz w:val="24"/>
          <w:szCs w:val="24"/>
        </w:rPr>
        <w:t xml:space="preserve"> a part of the 15% cap on clean energy program spending. </w:t>
      </w:r>
    </w:p>
    <w:p w14:paraId="72231EBA" w14:textId="7C0914F1" w:rsidR="009C4547" w:rsidRPr="008C226A" w:rsidRDefault="00F95EB4" w:rsidP="00E4249E">
      <w:pPr>
        <w:ind w:left="720"/>
        <w:rPr>
          <w:rFonts w:ascii="Garamond" w:hAnsi="Garamond"/>
          <w:b/>
          <w:bCs/>
          <w:sz w:val="24"/>
          <w:szCs w:val="24"/>
        </w:rPr>
      </w:pPr>
      <w:r w:rsidRPr="008C226A">
        <w:rPr>
          <w:rFonts w:ascii="Garamond" w:hAnsi="Garamond"/>
          <w:b/>
          <w:bCs/>
          <w:sz w:val="24"/>
          <w:szCs w:val="24"/>
        </w:rPr>
        <w:t xml:space="preserve">4.1 </w:t>
      </w:r>
      <w:r w:rsidR="008C226A">
        <w:rPr>
          <w:rFonts w:ascii="Garamond" w:hAnsi="Garamond"/>
          <w:b/>
          <w:bCs/>
          <w:sz w:val="24"/>
          <w:szCs w:val="24"/>
        </w:rPr>
        <w:t>Determining</w:t>
      </w:r>
      <w:r w:rsidRPr="008C226A">
        <w:rPr>
          <w:rFonts w:ascii="Garamond" w:hAnsi="Garamond"/>
          <w:b/>
          <w:bCs/>
          <w:sz w:val="24"/>
          <w:szCs w:val="24"/>
        </w:rPr>
        <w:t xml:space="preserve"> Prior Year True-up Amounts</w:t>
      </w:r>
      <w:r w:rsidR="006810AF" w:rsidRPr="008C226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31CD2D9" w14:textId="23F68E88" w:rsidR="00E4249E" w:rsidRDefault="00E4249E" w:rsidP="00E4249E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After the year’s auction closes, </w:t>
      </w:r>
      <w:r w:rsidR="00632D99">
        <w:rPr>
          <w:rFonts w:ascii="Garamond" w:hAnsi="Garamond"/>
          <w:sz w:val="24"/>
          <w:szCs w:val="24"/>
        </w:rPr>
        <w:t>if the IOUs</w:t>
      </w:r>
      <w:r>
        <w:rPr>
          <w:rFonts w:ascii="Garamond" w:hAnsi="Garamond"/>
          <w:sz w:val="24"/>
          <w:szCs w:val="24"/>
        </w:rPr>
        <w:t xml:space="preserve"> </w:t>
      </w:r>
      <w:r w:rsidR="00F661C1">
        <w:rPr>
          <w:rFonts w:ascii="Garamond" w:hAnsi="Garamond"/>
          <w:sz w:val="24"/>
          <w:szCs w:val="24"/>
        </w:rPr>
        <w:t xml:space="preserve">collectively </w:t>
      </w:r>
      <w:r>
        <w:rPr>
          <w:rFonts w:ascii="Garamond" w:hAnsi="Garamond"/>
          <w:sz w:val="24"/>
          <w:szCs w:val="24"/>
        </w:rPr>
        <w:t xml:space="preserve">exceeded $1 billion </w:t>
      </w:r>
      <w:r w:rsidR="00632D99">
        <w:rPr>
          <w:rFonts w:ascii="Garamond" w:hAnsi="Garamond"/>
          <w:sz w:val="24"/>
          <w:szCs w:val="24"/>
        </w:rPr>
        <w:t>in revenue</w:t>
      </w:r>
      <w:r w:rsidR="009A7069">
        <w:rPr>
          <w:rFonts w:ascii="Garamond" w:hAnsi="Garamond"/>
          <w:sz w:val="24"/>
          <w:szCs w:val="24"/>
        </w:rPr>
        <w:t xml:space="preserve"> from the previous calendar year</w:t>
      </w:r>
      <w:r w:rsidR="005379F3">
        <w:rPr>
          <w:rFonts w:ascii="Garamond" w:hAnsi="Garamond"/>
          <w:sz w:val="24"/>
          <w:szCs w:val="24"/>
        </w:rPr>
        <w:t>,</w:t>
      </w:r>
      <w:r w:rsidR="00632D99">
        <w:rPr>
          <w:rFonts w:ascii="Garamond" w:hAnsi="Garamond"/>
          <w:sz w:val="24"/>
          <w:szCs w:val="24"/>
        </w:rPr>
        <w:t xml:space="preserve"> </w:t>
      </w:r>
      <w:r w:rsidR="00F661C1">
        <w:rPr>
          <w:rFonts w:ascii="Garamond" w:hAnsi="Garamond"/>
          <w:sz w:val="24"/>
          <w:szCs w:val="24"/>
        </w:rPr>
        <w:t>it</w:t>
      </w:r>
      <w:r>
        <w:rPr>
          <w:rFonts w:ascii="Garamond" w:hAnsi="Garamond"/>
          <w:sz w:val="24"/>
          <w:szCs w:val="24"/>
        </w:rPr>
        <w:t xml:space="preserve"> </w:t>
      </w:r>
      <w:r w:rsidR="009A7069">
        <w:rPr>
          <w:rFonts w:ascii="Garamond" w:hAnsi="Garamond"/>
          <w:sz w:val="24"/>
          <w:szCs w:val="24"/>
        </w:rPr>
        <w:t>triggers</w:t>
      </w:r>
      <w:r>
        <w:rPr>
          <w:rFonts w:ascii="Garamond" w:hAnsi="Garamond"/>
          <w:sz w:val="24"/>
          <w:szCs w:val="24"/>
        </w:rPr>
        <w:t xml:space="preserve"> the $100 million budget cap</w:t>
      </w:r>
      <w:r w:rsidR="001C02A1">
        <w:rPr>
          <w:rFonts w:ascii="Garamond" w:hAnsi="Garamond"/>
          <w:sz w:val="24"/>
          <w:szCs w:val="24"/>
        </w:rPr>
        <w:t xml:space="preserve"> for SOMAH</w:t>
      </w:r>
      <w:r>
        <w:rPr>
          <w:rFonts w:ascii="Garamond" w:hAnsi="Garamond"/>
          <w:sz w:val="24"/>
          <w:szCs w:val="24"/>
        </w:rPr>
        <w:t xml:space="preserve">. </w:t>
      </w:r>
    </w:p>
    <w:p w14:paraId="66875007" w14:textId="031D973F" w:rsidR="00DA07D9" w:rsidRDefault="00F661C1" w:rsidP="00E4249E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DA07D9">
        <w:rPr>
          <w:rFonts w:ascii="Garamond" w:hAnsi="Garamond"/>
          <w:sz w:val="24"/>
          <w:szCs w:val="24"/>
        </w:rPr>
        <w:t>y March 1</w:t>
      </w:r>
      <w:r w:rsidR="00DA07D9" w:rsidRPr="00DA07D9">
        <w:rPr>
          <w:rFonts w:ascii="Garamond" w:hAnsi="Garamond"/>
          <w:sz w:val="24"/>
          <w:szCs w:val="24"/>
          <w:vertAlign w:val="superscript"/>
        </w:rPr>
        <w:t>st</w:t>
      </w:r>
      <w:r w:rsidR="00DA07D9">
        <w:rPr>
          <w:rFonts w:ascii="Garamond" w:hAnsi="Garamond"/>
          <w:sz w:val="24"/>
          <w:szCs w:val="24"/>
        </w:rPr>
        <w:t xml:space="preserve">, the IOUs must submit a </w:t>
      </w:r>
      <w:r w:rsidR="00E44055">
        <w:rPr>
          <w:rFonts w:ascii="Garamond" w:hAnsi="Garamond"/>
          <w:sz w:val="24"/>
          <w:szCs w:val="24"/>
        </w:rPr>
        <w:t xml:space="preserve">joint </w:t>
      </w:r>
      <w:r w:rsidR="00DA07D9">
        <w:rPr>
          <w:rFonts w:ascii="Garamond" w:hAnsi="Garamond"/>
          <w:sz w:val="24"/>
          <w:szCs w:val="24"/>
        </w:rPr>
        <w:t>Tier 1 Advice Letter</w:t>
      </w:r>
      <w:r w:rsidR="00F95EB4">
        <w:rPr>
          <w:rFonts w:ascii="Garamond" w:hAnsi="Garamond"/>
          <w:sz w:val="24"/>
          <w:szCs w:val="24"/>
        </w:rPr>
        <w:t>, per D.20-04-012</w:t>
      </w:r>
      <w:r w:rsidR="00E44055">
        <w:rPr>
          <w:rFonts w:ascii="Garamond" w:hAnsi="Garamond"/>
          <w:sz w:val="24"/>
          <w:szCs w:val="24"/>
        </w:rPr>
        <w:t xml:space="preserve"> and D.22-09-009</w:t>
      </w:r>
      <w:r w:rsidR="00F95EB4">
        <w:rPr>
          <w:rFonts w:ascii="Garamond" w:hAnsi="Garamond"/>
          <w:sz w:val="24"/>
          <w:szCs w:val="24"/>
        </w:rPr>
        <w:t>,</w:t>
      </w:r>
      <w:r w:rsidR="00DA07D9">
        <w:rPr>
          <w:rFonts w:ascii="Garamond" w:hAnsi="Garamond"/>
          <w:sz w:val="24"/>
          <w:szCs w:val="24"/>
        </w:rPr>
        <w:t xml:space="preserve"> stating their </w:t>
      </w:r>
      <w:r w:rsidR="00FA2B6D">
        <w:rPr>
          <w:rFonts w:ascii="Garamond" w:hAnsi="Garamond"/>
          <w:sz w:val="24"/>
          <w:szCs w:val="24"/>
        </w:rPr>
        <w:t xml:space="preserve">total </w:t>
      </w:r>
      <w:r w:rsidR="00DA07D9">
        <w:rPr>
          <w:rFonts w:ascii="Garamond" w:hAnsi="Garamond"/>
          <w:sz w:val="24"/>
          <w:szCs w:val="24"/>
        </w:rPr>
        <w:t xml:space="preserve">revenues from the past year and </w:t>
      </w:r>
      <w:r w:rsidR="00FA2B6D">
        <w:rPr>
          <w:rFonts w:ascii="Garamond" w:hAnsi="Garamond"/>
          <w:sz w:val="24"/>
          <w:szCs w:val="24"/>
        </w:rPr>
        <w:t xml:space="preserve">updating their </w:t>
      </w:r>
      <w:r w:rsidR="00DA07D9">
        <w:rPr>
          <w:rFonts w:ascii="Garamond" w:hAnsi="Garamond"/>
          <w:sz w:val="24"/>
          <w:szCs w:val="24"/>
        </w:rPr>
        <w:t>SOMAH Budget</w:t>
      </w:r>
      <w:r w:rsidR="00FA2B6D">
        <w:rPr>
          <w:rFonts w:ascii="Garamond" w:hAnsi="Garamond"/>
          <w:sz w:val="24"/>
          <w:szCs w:val="24"/>
        </w:rPr>
        <w:t>s</w:t>
      </w:r>
      <w:r w:rsidR="007A252C">
        <w:rPr>
          <w:rFonts w:ascii="Garamond" w:hAnsi="Garamond"/>
          <w:sz w:val="24"/>
          <w:szCs w:val="24"/>
        </w:rPr>
        <w:t xml:space="preserve"> and true-up amounts</w:t>
      </w:r>
      <w:r w:rsidR="00DA07D9">
        <w:rPr>
          <w:rFonts w:ascii="Garamond" w:hAnsi="Garamond"/>
          <w:sz w:val="24"/>
          <w:szCs w:val="24"/>
        </w:rPr>
        <w:t xml:space="preserve">. </w:t>
      </w:r>
      <w:r w:rsidR="00DA07D9" w:rsidRPr="007C695A">
        <w:rPr>
          <w:rFonts w:ascii="Garamond" w:hAnsi="Garamond"/>
          <w:b/>
          <w:bCs/>
          <w:sz w:val="24"/>
          <w:szCs w:val="24"/>
        </w:rPr>
        <w:t>It is recommended t</w:t>
      </w:r>
      <w:r w:rsidR="00253495" w:rsidRPr="007C695A">
        <w:rPr>
          <w:rFonts w:ascii="Garamond" w:hAnsi="Garamond"/>
          <w:b/>
          <w:bCs/>
          <w:sz w:val="24"/>
          <w:szCs w:val="24"/>
        </w:rPr>
        <w:t>hat the IOUs</w:t>
      </w:r>
      <w:r w:rsidR="007A252C" w:rsidRPr="007C695A">
        <w:rPr>
          <w:rFonts w:ascii="Garamond" w:hAnsi="Garamond"/>
          <w:b/>
          <w:bCs/>
          <w:sz w:val="24"/>
          <w:szCs w:val="24"/>
        </w:rPr>
        <w:t xml:space="preserve"> connect and confer</w:t>
      </w:r>
      <w:r w:rsidR="00DB6CB5" w:rsidRPr="007C695A">
        <w:rPr>
          <w:rFonts w:ascii="Garamond" w:hAnsi="Garamond"/>
          <w:b/>
          <w:bCs/>
          <w:sz w:val="24"/>
          <w:szCs w:val="24"/>
        </w:rPr>
        <w:t xml:space="preserve"> </w:t>
      </w:r>
      <w:r w:rsidR="00177D28">
        <w:rPr>
          <w:rFonts w:ascii="Garamond" w:hAnsi="Garamond"/>
          <w:b/>
          <w:bCs/>
          <w:sz w:val="24"/>
          <w:szCs w:val="24"/>
        </w:rPr>
        <w:t xml:space="preserve">with Energy Division </w:t>
      </w:r>
      <w:r w:rsidR="00DB6CB5" w:rsidRPr="007C695A">
        <w:rPr>
          <w:rFonts w:ascii="Garamond" w:hAnsi="Garamond"/>
          <w:b/>
          <w:bCs/>
          <w:sz w:val="24"/>
          <w:szCs w:val="24"/>
        </w:rPr>
        <w:t xml:space="preserve">prior to </w:t>
      </w:r>
      <w:r w:rsidR="007A252C" w:rsidRPr="007C695A">
        <w:rPr>
          <w:rFonts w:ascii="Garamond" w:hAnsi="Garamond"/>
          <w:b/>
          <w:bCs/>
          <w:sz w:val="24"/>
          <w:szCs w:val="24"/>
        </w:rPr>
        <w:t>their advice letter</w:t>
      </w:r>
      <w:r w:rsidR="00DB6CB5" w:rsidRPr="007C695A">
        <w:rPr>
          <w:rFonts w:ascii="Garamond" w:hAnsi="Garamond"/>
          <w:b/>
          <w:bCs/>
          <w:sz w:val="24"/>
          <w:szCs w:val="24"/>
        </w:rPr>
        <w:t xml:space="preserve"> submission </w:t>
      </w:r>
      <w:r w:rsidR="00045728">
        <w:rPr>
          <w:rFonts w:ascii="Garamond" w:hAnsi="Garamond"/>
          <w:b/>
          <w:bCs/>
          <w:sz w:val="24"/>
          <w:szCs w:val="24"/>
        </w:rPr>
        <w:t>especially</w:t>
      </w:r>
      <w:r w:rsidR="00DB6CB5" w:rsidRPr="007C695A">
        <w:rPr>
          <w:rFonts w:ascii="Garamond" w:hAnsi="Garamond"/>
          <w:b/>
          <w:bCs/>
          <w:sz w:val="24"/>
          <w:szCs w:val="24"/>
        </w:rPr>
        <w:t xml:space="preserve"> </w:t>
      </w:r>
      <w:r w:rsidR="00177D28">
        <w:rPr>
          <w:rFonts w:ascii="Garamond" w:hAnsi="Garamond"/>
          <w:b/>
          <w:bCs/>
          <w:sz w:val="24"/>
          <w:szCs w:val="24"/>
        </w:rPr>
        <w:t>when</w:t>
      </w:r>
      <w:r w:rsidR="00DB6CB5" w:rsidRPr="007C695A">
        <w:rPr>
          <w:rFonts w:ascii="Garamond" w:hAnsi="Garamond"/>
          <w:b/>
          <w:bCs/>
          <w:sz w:val="24"/>
          <w:szCs w:val="24"/>
        </w:rPr>
        <w:t xml:space="preserve"> the $100 million budget </w:t>
      </w:r>
      <w:r w:rsidR="00FA2B6D" w:rsidRPr="007C695A">
        <w:rPr>
          <w:rFonts w:ascii="Garamond" w:hAnsi="Garamond"/>
          <w:b/>
          <w:bCs/>
          <w:sz w:val="24"/>
          <w:szCs w:val="24"/>
        </w:rPr>
        <w:t xml:space="preserve">cap </w:t>
      </w:r>
      <w:r w:rsidR="00DB6CB5" w:rsidRPr="007C695A">
        <w:rPr>
          <w:rFonts w:ascii="Garamond" w:hAnsi="Garamond"/>
          <w:b/>
          <w:bCs/>
          <w:sz w:val="24"/>
          <w:szCs w:val="24"/>
        </w:rPr>
        <w:t>is necessary</w:t>
      </w:r>
      <w:r w:rsidR="00632D99" w:rsidRPr="007C695A">
        <w:rPr>
          <w:rFonts w:ascii="Garamond" w:hAnsi="Garamond"/>
          <w:b/>
          <w:bCs/>
          <w:sz w:val="24"/>
          <w:szCs w:val="24"/>
        </w:rPr>
        <w:t>.</w:t>
      </w:r>
      <w:r w:rsidR="00632D99">
        <w:rPr>
          <w:rFonts w:ascii="Garamond" w:hAnsi="Garamond"/>
          <w:sz w:val="24"/>
          <w:szCs w:val="24"/>
        </w:rPr>
        <w:t xml:space="preserve"> </w:t>
      </w:r>
      <w:r w:rsidR="00926484">
        <w:rPr>
          <w:rFonts w:ascii="Garamond" w:hAnsi="Garamond"/>
          <w:sz w:val="24"/>
          <w:szCs w:val="24"/>
        </w:rPr>
        <w:t xml:space="preserve">As directed in D.22-09-009, SCE, PGE, or SDG&amp;E will submit the joint true-up advice letter. </w:t>
      </w:r>
    </w:p>
    <w:p w14:paraId="6D324878" w14:textId="71F51132" w:rsidR="00CD716F" w:rsidRPr="00A5143A" w:rsidRDefault="00CD716F" w:rsidP="00A5143A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their</w:t>
      </w:r>
      <w:r w:rsidR="00F90C65">
        <w:rPr>
          <w:rFonts w:ascii="Garamond" w:hAnsi="Garamond"/>
          <w:sz w:val="24"/>
          <w:szCs w:val="24"/>
        </w:rPr>
        <w:t xml:space="preserve"> ERRA or ECAC application</w:t>
      </w:r>
      <w:r>
        <w:rPr>
          <w:rFonts w:ascii="Garamond" w:hAnsi="Garamond"/>
          <w:sz w:val="24"/>
          <w:szCs w:val="24"/>
        </w:rPr>
        <w:t>s</w:t>
      </w:r>
      <w:r w:rsidR="00F90C65">
        <w:rPr>
          <w:rFonts w:ascii="Garamond" w:hAnsi="Garamond"/>
          <w:sz w:val="24"/>
          <w:szCs w:val="24"/>
        </w:rPr>
        <w:t>, each IOU must present a summary of their past allocations</w:t>
      </w:r>
      <w:r w:rsidR="006A5C98">
        <w:rPr>
          <w:rFonts w:ascii="Garamond" w:hAnsi="Garamond"/>
          <w:sz w:val="24"/>
          <w:szCs w:val="24"/>
        </w:rPr>
        <w:t xml:space="preserve"> </w:t>
      </w:r>
      <w:r w:rsidR="00F90C65">
        <w:rPr>
          <w:rFonts w:ascii="Garamond" w:hAnsi="Garamond"/>
          <w:sz w:val="24"/>
          <w:szCs w:val="24"/>
        </w:rPr>
        <w:t xml:space="preserve">in a table template </w:t>
      </w:r>
      <w:r w:rsidR="00F90C65" w:rsidRPr="0063614A">
        <w:rPr>
          <w:rFonts w:ascii="Garamond" w:hAnsi="Garamond"/>
          <w:sz w:val="24"/>
          <w:szCs w:val="24"/>
        </w:rPr>
        <w:t>in the same format as the untitled table in D.20-02-047 at page 20</w:t>
      </w:r>
      <w:r w:rsidR="00F90C65">
        <w:rPr>
          <w:rFonts w:ascii="Garamond" w:hAnsi="Garamond"/>
          <w:sz w:val="24"/>
          <w:szCs w:val="24"/>
        </w:rPr>
        <w:t xml:space="preserve"> (per D.20-04-012).</w:t>
      </w:r>
      <w:r w:rsidR="00681B85">
        <w:rPr>
          <w:rFonts w:ascii="Garamond" w:hAnsi="Garamond"/>
          <w:sz w:val="24"/>
          <w:szCs w:val="24"/>
        </w:rPr>
        <w:t xml:space="preserve"> This summary table will show the “Prior Year True-up Amount” necessary </w:t>
      </w:r>
      <w:r w:rsidR="00247E40">
        <w:rPr>
          <w:rFonts w:ascii="Garamond" w:hAnsi="Garamond"/>
          <w:sz w:val="24"/>
          <w:szCs w:val="24"/>
        </w:rPr>
        <w:t>and</w:t>
      </w:r>
      <w:r w:rsidR="00681B85">
        <w:rPr>
          <w:rFonts w:ascii="Garamond" w:hAnsi="Garamond"/>
          <w:sz w:val="24"/>
          <w:szCs w:val="24"/>
        </w:rPr>
        <w:t xml:space="preserve"> be </w:t>
      </w:r>
      <w:r w:rsidR="008D7573">
        <w:rPr>
          <w:rFonts w:ascii="Garamond" w:hAnsi="Garamond"/>
          <w:sz w:val="24"/>
          <w:szCs w:val="24"/>
        </w:rPr>
        <w:t>reflected</w:t>
      </w:r>
      <w:r w:rsidR="00681B85">
        <w:rPr>
          <w:rFonts w:ascii="Garamond" w:hAnsi="Garamond"/>
          <w:sz w:val="24"/>
          <w:szCs w:val="24"/>
        </w:rPr>
        <w:t xml:space="preserve"> in their Template D-1. </w:t>
      </w:r>
    </w:p>
    <w:p w14:paraId="66881AB8" w14:textId="244D649A" w:rsidR="00545594" w:rsidRPr="00EE3C44" w:rsidRDefault="00545594" w:rsidP="00A81443">
      <w:pPr>
        <w:ind w:left="720"/>
        <w:rPr>
          <w:rFonts w:ascii="Garamond" w:hAnsi="Garamond"/>
          <w:sz w:val="24"/>
          <w:szCs w:val="24"/>
        </w:rPr>
      </w:pPr>
      <w:r w:rsidRPr="00EE3C44">
        <w:rPr>
          <w:rFonts w:ascii="Garamond" w:hAnsi="Garamond"/>
          <w:sz w:val="24"/>
          <w:szCs w:val="24"/>
        </w:rPr>
        <w:t xml:space="preserve">Below is </w:t>
      </w:r>
      <w:r w:rsidR="00A81443">
        <w:rPr>
          <w:rFonts w:ascii="Garamond" w:hAnsi="Garamond"/>
          <w:sz w:val="24"/>
          <w:szCs w:val="24"/>
        </w:rPr>
        <w:t xml:space="preserve">the </w:t>
      </w:r>
      <w:r w:rsidRPr="00EE3C44">
        <w:rPr>
          <w:rFonts w:ascii="Garamond" w:hAnsi="Garamond"/>
          <w:sz w:val="24"/>
          <w:szCs w:val="24"/>
        </w:rPr>
        <w:t>D.20-02-047 Untitled Table at Page 20:</w:t>
      </w:r>
    </w:p>
    <w:p w14:paraId="2873B28F" w14:textId="77777777" w:rsidR="006536F5" w:rsidRDefault="00ED5ADC" w:rsidP="00EE3C44">
      <w:r>
        <w:rPr>
          <w:noProof/>
        </w:rPr>
        <w:lastRenderedPageBreak/>
        <w:drawing>
          <wp:inline distT="0" distB="0" distL="0" distR="0" wp14:anchorId="1101364C" wp14:editId="57ACFB34">
            <wp:extent cx="5853289" cy="232410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9"/>
                    <a:srcRect l="46667" t="48775" r="9743" b="20456"/>
                    <a:stretch/>
                  </pic:blipFill>
                  <pic:spPr bwMode="auto">
                    <a:xfrm>
                      <a:off x="0" y="0"/>
                      <a:ext cx="5868690" cy="233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E3B48" w14:textId="77777777" w:rsidR="006536F5" w:rsidRDefault="006536F5" w:rsidP="00EE3C44"/>
    <w:p w14:paraId="2B9EE0A9" w14:textId="1CAF522F" w:rsidR="006C0FD7" w:rsidRPr="006536F5" w:rsidRDefault="006536F5" w:rsidP="006536F5">
      <w:pPr>
        <w:ind w:left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-    </w:t>
      </w:r>
      <w:r w:rsidRPr="006536F5">
        <w:rPr>
          <w:rFonts w:ascii="Garamond" w:hAnsi="Garamond"/>
        </w:rPr>
        <w:t>CONTINUED ON THE FOLLOWING PAGE    -</w:t>
      </w:r>
      <w:r w:rsidR="006C0FD7" w:rsidRPr="006536F5">
        <w:rPr>
          <w:rFonts w:ascii="Garamond" w:hAnsi="Garamond"/>
        </w:rPr>
        <w:br w:type="page"/>
      </w:r>
    </w:p>
    <w:p w14:paraId="4A72EE7D" w14:textId="5B1C490E" w:rsidR="00512438" w:rsidRDefault="00512438" w:rsidP="00512438">
      <w:pPr>
        <w:pStyle w:val="Heading1"/>
        <w:numPr>
          <w:ilvl w:val="0"/>
          <w:numId w:val="2"/>
        </w:numPr>
      </w:pPr>
      <w:r>
        <w:lastRenderedPageBreak/>
        <w:t>SOMAH Budget Timeline 2022 through 2030</w:t>
      </w:r>
    </w:p>
    <w:p w14:paraId="672B7274" w14:textId="08D2BA37" w:rsidR="00F12804" w:rsidRDefault="00F12804" w:rsidP="00F12804"/>
    <w:p w14:paraId="0770C973" w14:textId="3C589C9E" w:rsidR="00273382" w:rsidRDefault="002E136D" w:rsidP="0027338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Each funding year or GHG auction year takes four years to </w:t>
      </w:r>
      <w:r w:rsidR="009855FC">
        <w:rPr>
          <w:rFonts w:ascii="Garamond" w:hAnsi="Garamond"/>
          <w:sz w:val="24"/>
          <w:szCs w:val="24"/>
        </w:rPr>
        <w:t>complete</w:t>
      </w:r>
      <w:r>
        <w:rPr>
          <w:rFonts w:ascii="Garamond" w:hAnsi="Garamond"/>
          <w:sz w:val="24"/>
          <w:szCs w:val="24"/>
        </w:rPr>
        <w:t xml:space="preserve"> </w:t>
      </w:r>
      <w:r w:rsidR="006E4FAD">
        <w:rPr>
          <w:rFonts w:ascii="Garamond" w:hAnsi="Garamond"/>
          <w:sz w:val="24"/>
          <w:szCs w:val="24"/>
        </w:rPr>
        <w:t>its cycle from</w:t>
      </w:r>
      <w:r>
        <w:rPr>
          <w:rFonts w:ascii="Garamond" w:hAnsi="Garamond"/>
          <w:sz w:val="24"/>
          <w:szCs w:val="24"/>
        </w:rPr>
        <w:t xml:space="preserve"> application</w:t>
      </w:r>
      <w:r w:rsidR="006E4FAD">
        <w:rPr>
          <w:rFonts w:ascii="Garamond" w:hAnsi="Garamond"/>
          <w:sz w:val="24"/>
          <w:szCs w:val="24"/>
        </w:rPr>
        <w:t xml:space="preserve"> request</w:t>
      </w:r>
      <w:r>
        <w:rPr>
          <w:rFonts w:ascii="Garamond" w:hAnsi="Garamond"/>
          <w:sz w:val="24"/>
          <w:szCs w:val="24"/>
        </w:rPr>
        <w:t xml:space="preserve"> to balanced budget close</w:t>
      </w:r>
      <w:r w:rsidR="006C0FD7" w:rsidRPr="006C0FD7">
        <w:rPr>
          <w:rFonts w:ascii="Garamond" w:hAnsi="Garamond"/>
          <w:sz w:val="24"/>
          <w:szCs w:val="24"/>
        </w:rPr>
        <w:t xml:space="preserve">. </w:t>
      </w:r>
      <w:r w:rsidR="005C62B3">
        <w:rPr>
          <w:rFonts w:ascii="Garamond" w:hAnsi="Garamond"/>
          <w:sz w:val="24"/>
          <w:szCs w:val="24"/>
        </w:rPr>
        <w:t xml:space="preserve">Application timelines are not assured, and this table relies on </w:t>
      </w:r>
      <w:r w:rsidR="00D74A67">
        <w:rPr>
          <w:rFonts w:ascii="Garamond" w:hAnsi="Garamond"/>
          <w:sz w:val="24"/>
          <w:szCs w:val="24"/>
        </w:rPr>
        <w:t>estimates, however the steps occur in the order shown</w:t>
      </w:r>
      <w:r w:rsidR="005C62B3">
        <w:rPr>
          <w:rFonts w:ascii="Garamond" w:hAnsi="Garamond"/>
          <w:sz w:val="24"/>
          <w:szCs w:val="24"/>
        </w:rPr>
        <w:t xml:space="preserve">. </w:t>
      </w:r>
      <w:r w:rsidR="00451355">
        <w:rPr>
          <w:rFonts w:ascii="Garamond" w:hAnsi="Garamond"/>
          <w:sz w:val="24"/>
          <w:szCs w:val="24"/>
        </w:rPr>
        <w:t xml:space="preserve">Follow the columns </w:t>
      </w:r>
      <w:r w:rsidR="009E56CF">
        <w:rPr>
          <w:rFonts w:ascii="Garamond" w:hAnsi="Garamond"/>
          <w:sz w:val="24"/>
          <w:szCs w:val="24"/>
        </w:rPr>
        <w:t xml:space="preserve">down </w:t>
      </w:r>
      <w:r w:rsidR="00451355">
        <w:rPr>
          <w:rFonts w:ascii="Garamond" w:hAnsi="Garamond"/>
          <w:sz w:val="24"/>
          <w:szCs w:val="24"/>
        </w:rPr>
        <w:t xml:space="preserve">to see the funding and balancing </w:t>
      </w:r>
      <w:r w:rsidR="007169D4">
        <w:rPr>
          <w:rFonts w:ascii="Garamond" w:hAnsi="Garamond"/>
          <w:sz w:val="24"/>
          <w:szCs w:val="24"/>
        </w:rPr>
        <w:t>steps</w:t>
      </w:r>
      <w:r w:rsidR="00451355">
        <w:rPr>
          <w:rFonts w:ascii="Garamond" w:hAnsi="Garamond"/>
          <w:sz w:val="24"/>
          <w:szCs w:val="24"/>
        </w:rPr>
        <w:t xml:space="preserve"> for each </w:t>
      </w:r>
      <w:r w:rsidR="00D3513B">
        <w:rPr>
          <w:rFonts w:ascii="Garamond" w:hAnsi="Garamond"/>
          <w:sz w:val="24"/>
          <w:szCs w:val="24"/>
        </w:rPr>
        <w:t xml:space="preserve">funding </w:t>
      </w:r>
      <w:r w:rsidR="00451355">
        <w:rPr>
          <w:rFonts w:ascii="Garamond" w:hAnsi="Garamond"/>
          <w:sz w:val="24"/>
          <w:szCs w:val="24"/>
        </w:rPr>
        <w:t>program year (PY)</w:t>
      </w:r>
      <w:r w:rsidR="009E56CF">
        <w:rPr>
          <w:rFonts w:ascii="Garamond" w:hAnsi="Garamond"/>
          <w:sz w:val="24"/>
          <w:szCs w:val="24"/>
        </w:rPr>
        <w:t xml:space="preserve"> over time</w:t>
      </w:r>
      <w:r w:rsidR="0045135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SOMAH program funding ends in 2026, the balancing process ends in 2028, and the program ends in 2030. </w:t>
      </w:r>
    </w:p>
    <w:p w14:paraId="0A6E28DF" w14:textId="622087E6" w:rsidR="007438C1" w:rsidRPr="00E935C5" w:rsidRDefault="00E935C5" w:rsidP="00891500">
      <w:pPr>
        <w:spacing w:after="0"/>
        <w:rPr>
          <w:rFonts w:ascii="Garamond" w:hAnsi="Garamond"/>
          <w:b/>
          <w:bCs/>
          <w:sz w:val="24"/>
          <w:szCs w:val="24"/>
        </w:rPr>
      </w:pPr>
      <w:r w:rsidRPr="00E935C5">
        <w:rPr>
          <w:rFonts w:ascii="Garamond" w:hAnsi="Garamond"/>
          <w:b/>
          <w:bCs/>
          <w:sz w:val="24"/>
          <w:szCs w:val="24"/>
        </w:rPr>
        <w:t>Table</w:t>
      </w:r>
      <w:r>
        <w:rPr>
          <w:rFonts w:ascii="Garamond" w:hAnsi="Garamond"/>
          <w:b/>
          <w:bCs/>
          <w:sz w:val="24"/>
          <w:szCs w:val="24"/>
        </w:rPr>
        <w:t xml:space="preserve"> 1</w:t>
      </w:r>
      <w:r w:rsidRPr="00E935C5">
        <w:rPr>
          <w:rFonts w:ascii="Garamond" w:hAnsi="Garamond"/>
          <w:b/>
          <w:bCs/>
          <w:sz w:val="24"/>
          <w:szCs w:val="24"/>
        </w:rPr>
        <w:t>: SOMAH Budget Timeline</w:t>
      </w:r>
    </w:p>
    <w:tbl>
      <w:tblPr>
        <w:tblW w:w="5108" w:type="pct"/>
        <w:tblLayout w:type="fixed"/>
        <w:tblLook w:val="04A0" w:firstRow="1" w:lastRow="0" w:firstColumn="1" w:lastColumn="0" w:noHBand="0" w:noVBand="1"/>
      </w:tblPr>
      <w:tblGrid>
        <w:gridCol w:w="1261"/>
        <w:gridCol w:w="1656"/>
        <w:gridCol w:w="1656"/>
        <w:gridCol w:w="1656"/>
        <w:gridCol w:w="1656"/>
        <w:gridCol w:w="1647"/>
        <w:gridCol w:w="10"/>
      </w:tblGrid>
      <w:tr w:rsidR="008175D7" w:rsidRPr="007438C1" w14:paraId="16AF7E06" w14:textId="77777777" w:rsidTr="00247E40">
        <w:trPr>
          <w:gridAfter w:val="1"/>
          <w:wAfter w:w="6" w:type="pct"/>
          <w:trHeight w:val="576"/>
        </w:trPr>
        <w:tc>
          <w:tcPr>
            <w:tcW w:w="660" w:type="pc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</w:tcPr>
          <w:p w14:paraId="7A69E2B7" w14:textId="416A5E0C" w:rsidR="008175D7" w:rsidRPr="008175D7" w:rsidRDefault="008175D7" w:rsidP="008175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8175D7">
              <w:rPr>
                <w:rFonts w:ascii="Century Gothic" w:eastAsia="Times New Roman" w:hAnsi="Century Gothic" w:cs="Calibri"/>
                <w:b/>
                <w:bCs/>
                <w:color w:val="000000"/>
              </w:rPr>
              <w:t>SOMAH</w:t>
            </w:r>
          </w:p>
        </w:tc>
        <w:tc>
          <w:tcPr>
            <w:tcW w:w="4335" w:type="pct"/>
            <w:gridSpan w:val="5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</w:tcPr>
          <w:p w14:paraId="07244D20" w14:textId="2EA923A7" w:rsidR="008175D7" w:rsidRPr="008175D7" w:rsidRDefault="007169D4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Funding</w:t>
            </w:r>
            <w:r w:rsidR="008175D7" w:rsidRPr="008175D7">
              <w:rPr>
                <w:rFonts w:ascii="Century Gothic" w:eastAsia="Times New Roman" w:hAnsi="Century Gothic" w:cs="Calibri"/>
                <w:b/>
                <w:bCs/>
              </w:rPr>
              <w:t xml:space="preserve"> Program Year (PY)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 or </w:t>
            </w:r>
            <w:r w:rsidR="00F977B2">
              <w:rPr>
                <w:rFonts w:ascii="Century Gothic" w:eastAsia="Times New Roman" w:hAnsi="Century Gothic" w:cs="Calibri"/>
                <w:b/>
                <w:bCs/>
              </w:rPr>
              <w:t xml:space="preserve">GHG </w:t>
            </w:r>
            <w:r>
              <w:rPr>
                <w:rFonts w:ascii="Century Gothic" w:eastAsia="Times New Roman" w:hAnsi="Century Gothic" w:cs="Calibri"/>
                <w:b/>
                <w:bCs/>
              </w:rPr>
              <w:t>Auction Year</w:t>
            </w:r>
          </w:p>
        </w:tc>
      </w:tr>
      <w:tr w:rsidR="00CD6169" w:rsidRPr="007438C1" w14:paraId="62D53E67" w14:textId="77777777" w:rsidTr="00247E40">
        <w:trPr>
          <w:trHeight w:val="576"/>
        </w:trPr>
        <w:tc>
          <w:tcPr>
            <w:tcW w:w="660" w:type="pc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1759BA54" w14:textId="5C6BA45F" w:rsidR="007438C1" w:rsidRPr="007438C1" w:rsidRDefault="008175D7" w:rsidP="008175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8175D7">
              <w:rPr>
                <w:rFonts w:ascii="Century Gothic" w:eastAsia="Times New Roman" w:hAnsi="Century Gothic" w:cs="Calibri"/>
                <w:b/>
                <w:bCs/>
                <w:color w:val="000000"/>
              </w:rPr>
              <w:t>Calendar Year</w:t>
            </w:r>
          </w:p>
        </w:tc>
        <w:tc>
          <w:tcPr>
            <w:tcW w:w="868" w:type="pct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84DDC97" w14:textId="77777777" w:rsidR="007438C1" w:rsidRPr="007438C1" w:rsidRDefault="007438C1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PY 2022</w:t>
            </w:r>
          </w:p>
        </w:tc>
        <w:tc>
          <w:tcPr>
            <w:tcW w:w="86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E146FEA" w14:textId="77777777" w:rsidR="007438C1" w:rsidRPr="007438C1" w:rsidRDefault="007438C1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PY 2023</w:t>
            </w:r>
          </w:p>
        </w:tc>
        <w:tc>
          <w:tcPr>
            <w:tcW w:w="86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41161C6E" w14:textId="77777777" w:rsidR="007438C1" w:rsidRPr="007438C1" w:rsidRDefault="007438C1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PY 2024</w:t>
            </w:r>
          </w:p>
        </w:tc>
        <w:tc>
          <w:tcPr>
            <w:tcW w:w="86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84D7930" w14:textId="77777777" w:rsidR="007438C1" w:rsidRPr="007438C1" w:rsidRDefault="007438C1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PY 2025</w:t>
            </w:r>
          </w:p>
        </w:tc>
        <w:tc>
          <w:tcPr>
            <w:tcW w:w="869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1F2ED605" w14:textId="77777777" w:rsidR="007438C1" w:rsidRPr="007438C1" w:rsidRDefault="007438C1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PY 2026</w:t>
            </w:r>
          </w:p>
        </w:tc>
      </w:tr>
      <w:tr w:rsidR="00CD6169" w:rsidRPr="007438C1" w14:paraId="3B2CA31F" w14:textId="77777777" w:rsidTr="00247E40">
        <w:trPr>
          <w:trHeight w:val="1044"/>
        </w:trPr>
        <w:tc>
          <w:tcPr>
            <w:tcW w:w="660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29C7E54A" w14:textId="77777777" w:rsidR="007438C1" w:rsidRPr="007438C1" w:rsidRDefault="007438C1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2022</w:t>
            </w:r>
          </w:p>
        </w:tc>
        <w:tc>
          <w:tcPr>
            <w:tcW w:w="868" w:type="pct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74B402A0" w14:textId="1BFA19C9" w:rsidR="007438C1" w:rsidRPr="007438C1" w:rsidRDefault="007438C1" w:rsidP="00BE5EA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2022 GHG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Allowance 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Auction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Market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="009E56CF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occurs</w:t>
            </w:r>
          </w:p>
        </w:tc>
        <w:tc>
          <w:tcPr>
            <w:tcW w:w="86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8D59D8D" w14:textId="4F52E303" w:rsidR="007438C1" w:rsidRPr="007438C1" w:rsidRDefault="007438C1" w:rsidP="00BE5EA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2023 </w:t>
            </w:r>
            <w:r w:rsidR="00DB7FD7" w:rsidRPr="00AC2A8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>ERRA/ECAC Application</w:t>
            </w:r>
          </w:p>
        </w:tc>
        <w:tc>
          <w:tcPr>
            <w:tcW w:w="86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hideMark/>
          </w:tcPr>
          <w:p w14:paraId="7609F393" w14:textId="77777777" w:rsidR="007438C1" w:rsidRPr="007438C1" w:rsidRDefault="007438C1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hideMark/>
          </w:tcPr>
          <w:p w14:paraId="76D247EF" w14:textId="77777777" w:rsidR="007438C1" w:rsidRPr="007438C1" w:rsidRDefault="007438C1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hideMark/>
          </w:tcPr>
          <w:p w14:paraId="7C1E8DA3" w14:textId="77777777" w:rsidR="007438C1" w:rsidRPr="007438C1" w:rsidRDefault="007438C1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6169" w:rsidRPr="007438C1" w14:paraId="3CD4E389" w14:textId="77777777" w:rsidTr="00247E40">
        <w:trPr>
          <w:trHeight w:val="627"/>
        </w:trPr>
        <w:tc>
          <w:tcPr>
            <w:tcW w:w="660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3A7AAE4F" w14:textId="77777777" w:rsidR="00BE5EA8" w:rsidRPr="007438C1" w:rsidRDefault="00BE5EA8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B69B4A8" w14:textId="2075A002" w:rsidR="00BE5EA8" w:rsidRPr="007438C1" w:rsidRDefault="00D61CBA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2022 </w:t>
            </w:r>
            <w:r w:rsidR="00BE5EA8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March AL w/</w:t>
            </w:r>
            <w:r w:rsidR="00001179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Summary Table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1448505" w14:textId="64BC0158" w:rsidR="00BE5EA8" w:rsidRPr="007438C1" w:rsidRDefault="00BE5EA8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2023 GHG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Allowance </w:t>
            </w: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Auction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Market</w:t>
            </w: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="00B37098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occurs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4CAFF18C" w14:textId="09983228" w:rsidR="00BE5EA8" w:rsidRPr="007438C1" w:rsidRDefault="00BE5EA8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2024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  <w:r w:rsidR="00B37098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>Application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hideMark/>
          </w:tcPr>
          <w:p w14:paraId="14D274CF" w14:textId="77777777" w:rsidR="00BE5EA8" w:rsidRPr="007438C1" w:rsidRDefault="00BE5EA8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pct"/>
            <w:gridSpan w:val="2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hideMark/>
          </w:tcPr>
          <w:p w14:paraId="68D7E0B8" w14:textId="77777777" w:rsidR="00BE5EA8" w:rsidRPr="007438C1" w:rsidRDefault="00BE5EA8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6169" w:rsidRPr="007438C1" w14:paraId="5F7592F7" w14:textId="77777777" w:rsidTr="00247E40">
        <w:trPr>
          <w:trHeight w:val="791"/>
        </w:trPr>
        <w:tc>
          <w:tcPr>
            <w:tcW w:w="660" w:type="pct"/>
            <w:vMerge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</w:tcPr>
          <w:p w14:paraId="2C88D8CA" w14:textId="77777777" w:rsidR="00BE5EA8" w:rsidRPr="007438C1" w:rsidRDefault="00BE5EA8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</w:tcPr>
          <w:p w14:paraId="0227523A" w14:textId="4B158ADE" w:rsidR="00BE5EA8" w:rsidRPr="007438C1" w:rsidRDefault="00D61CBA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2022 True-up request in </w:t>
            </w:r>
            <w:r w:rsidR="00BE5EA8"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2024  </w:t>
            </w:r>
            <w:r w:rsidR="00BE5EA8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</w:tcPr>
          <w:p w14:paraId="398A2960" w14:textId="77777777" w:rsidR="00BE5EA8" w:rsidRPr="007438C1" w:rsidRDefault="00BE5EA8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</w:tcPr>
          <w:p w14:paraId="04622B76" w14:textId="77777777" w:rsidR="00BE5EA8" w:rsidRPr="007438C1" w:rsidRDefault="00BE5EA8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</w:tcPr>
          <w:p w14:paraId="452A0158" w14:textId="77777777" w:rsidR="00BE5EA8" w:rsidRPr="007438C1" w:rsidRDefault="00BE5EA8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9" w:type="pct"/>
            <w:gridSpan w:val="2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77825EA3" w14:textId="77777777" w:rsidR="00BE5EA8" w:rsidRPr="007438C1" w:rsidRDefault="00BE5EA8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169" w:rsidRPr="007438C1" w14:paraId="1D17EEE6" w14:textId="77777777" w:rsidTr="00247E40">
        <w:trPr>
          <w:trHeight w:val="699"/>
        </w:trPr>
        <w:tc>
          <w:tcPr>
            <w:tcW w:w="660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4E29DFCD" w14:textId="77777777" w:rsidR="00542BE5" w:rsidRPr="007438C1" w:rsidRDefault="00542BE5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2024</w:t>
            </w:r>
          </w:p>
        </w:tc>
        <w:tc>
          <w:tcPr>
            <w:tcW w:w="868" w:type="pct"/>
            <w:vMerge w:val="restart"/>
            <w:tcBorders>
              <w:top w:val="single" w:sz="12" w:space="0" w:color="FFFFFF"/>
              <w:left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377B9DEE" w14:textId="00246F68" w:rsidR="00542BE5" w:rsidRPr="007438C1" w:rsidRDefault="00B2117F" w:rsidP="00B2117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B2117F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2022 True-up 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amount </w:t>
            </w:r>
            <w:r w:rsidRPr="00B2117F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tran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sfer</w:t>
            </w:r>
            <w:r w:rsidR="00DB7FD7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occurs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36A6A1D" w14:textId="13C4ED3D" w:rsidR="00542BE5" w:rsidRPr="007438C1" w:rsidRDefault="00DB7FD7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2023 </w:t>
            </w:r>
            <w:r w:rsidR="00542BE5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March AL w/ </w:t>
            </w:r>
            <w:r w:rsidR="00001179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Summary Table</w:t>
            </w:r>
            <w:r w:rsidR="00542BE5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4475AD7B" w14:textId="7E02A4C2" w:rsidR="00542BE5" w:rsidRPr="007438C1" w:rsidRDefault="00542BE5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2024 GHG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Allowance 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Auction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Market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="00B37098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occurs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18D2471" w14:textId="19545297" w:rsidR="00542BE5" w:rsidRPr="007438C1" w:rsidRDefault="00542BE5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2025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  <w:r w:rsidR="00B37098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>Application</w:t>
            </w:r>
          </w:p>
        </w:tc>
        <w:tc>
          <w:tcPr>
            <w:tcW w:w="869" w:type="pct"/>
            <w:gridSpan w:val="2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hideMark/>
          </w:tcPr>
          <w:p w14:paraId="4EBBFE4F" w14:textId="77777777" w:rsidR="00542BE5" w:rsidRPr="007438C1" w:rsidRDefault="00542BE5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6169" w:rsidRPr="007438C1" w14:paraId="1F794BD0" w14:textId="77777777" w:rsidTr="00247E40">
        <w:trPr>
          <w:trHeight w:val="800"/>
        </w:trPr>
        <w:tc>
          <w:tcPr>
            <w:tcW w:w="660" w:type="pct"/>
            <w:vMerge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</w:tcPr>
          <w:p w14:paraId="46BF525B" w14:textId="77777777" w:rsidR="00542BE5" w:rsidRPr="007438C1" w:rsidRDefault="00542BE5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34C74241" w14:textId="77777777" w:rsidR="00542BE5" w:rsidRPr="007438C1" w:rsidRDefault="00542BE5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</w:tcPr>
          <w:p w14:paraId="5B457F3E" w14:textId="7649651F" w:rsidR="00542BE5" w:rsidRPr="00B035D0" w:rsidRDefault="00001179" w:rsidP="007438C1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35D0">
              <w:rPr>
                <w:rFonts w:ascii="Garamond" w:eastAsia="Times New Roman" w:hAnsi="Garamond" w:cs="Calibri"/>
                <w:b/>
                <w:bCs/>
                <w:sz w:val="16"/>
                <w:szCs w:val="16"/>
              </w:rPr>
              <w:t xml:space="preserve">PY 2023 True-up request in </w:t>
            </w:r>
            <w:r w:rsidR="00542BE5" w:rsidRPr="00B035D0">
              <w:rPr>
                <w:rFonts w:ascii="Garamond" w:eastAsia="Times New Roman" w:hAnsi="Garamond" w:cs="Calibri"/>
                <w:b/>
                <w:bCs/>
                <w:sz w:val="16"/>
                <w:szCs w:val="16"/>
              </w:rPr>
              <w:t xml:space="preserve">PY 2025 ERRA/ECAC </w:t>
            </w: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</w:tcPr>
          <w:p w14:paraId="142F603E" w14:textId="77777777" w:rsidR="00542BE5" w:rsidRPr="007438C1" w:rsidRDefault="00542BE5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</w:tcPr>
          <w:p w14:paraId="788BE185" w14:textId="77777777" w:rsidR="00542BE5" w:rsidRPr="007438C1" w:rsidRDefault="00542BE5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2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29579198" w14:textId="77777777" w:rsidR="00542BE5" w:rsidRPr="007438C1" w:rsidRDefault="00542BE5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169" w:rsidRPr="007438C1" w14:paraId="2C64021D" w14:textId="77777777" w:rsidTr="00247E40">
        <w:trPr>
          <w:trHeight w:val="600"/>
        </w:trPr>
        <w:tc>
          <w:tcPr>
            <w:tcW w:w="660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3A34AAFF" w14:textId="77777777" w:rsidR="003E5728" w:rsidRPr="007438C1" w:rsidRDefault="003E5728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2025</w:t>
            </w:r>
          </w:p>
        </w:tc>
        <w:tc>
          <w:tcPr>
            <w:tcW w:w="868" w:type="pct"/>
            <w:vMerge w:val="restart"/>
            <w:tcBorders>
              <w:top w:val="single" w:sz="12" w:space="0" w:color="FFFFFF"/>
              <w:left w:val="nil"/>
              <w:right w:val="single" w:sz="8" w:space="0" w:color="FFFFFF"/>
            </w:tcBorders>
            <w:shd w:val="clear" w:color="000000" w:fill="CFD5EA"/>
            <w:hideMark/>
          </w:tcPr>
          <w:p w14:paraId="1190D062" w14:textId="77777777" w:rsidR="003E5728" w:rsidRPr="007438C1" w:rsidRDefault="003E5728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B96E79C" w14:textId="4BF89BC6" w:rsidR="003E5728" w:rsidRPr="00B035D0" w:rsidRDefault="003E5728" w:rsidP="0000117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B035D0">
              <w:rPr>
                <w:rFonts w:ascii="Garamond" w:eastAsia="Times New Roman" w:hAnsi="Garamond" w:cs="Calibri"/>
                <w:sz w:val="16"/>
                <w:szCs w:val="16"/>
              </w:rPr>
              <w:t>PY 2023 True-up amount transfer occurs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28A5E262" w14:textId="5D44E2B9" w:rsidR="003E5728" w:rsidRPr="007438C1" w:rsidRDefault="003E5728" w:rsidP="00BE5EA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2024 </w:t>
            </w: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March AL w/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Summary Table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EEA8BD6" w14:textId="747C32D3" w:rsidR="003E5728" w:rsidRPr="007438C1" w:rsidRDefault="003E5728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2025 GHG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Allowance 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Auction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Market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="00B37098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occurs</w:t>
            </w:r>
          </w:p>
        </w:tc>
        <w:tc>
          <w:tcPr>
            <w:tcW w:w="869" w:type="pct"/>
            <w:gridSpan w:val="2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07038077" w14:textId="2A74F504" w:rsidR="003E5728" w:rsidRPr="007438C1" w:rsidRDefault="003E5728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2026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  <w:r w:rsidR="0035760E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>Application</w:t>
            </w:r>
          </w:p>
        </w:tc>
      </w:tr>
      <w:tr w:rsidR="00CD6169" w:rsidRPr="007438C1" w14:paraId="1FA3992E" w14:textId="77777777" w:rsidTr="00247E40">
        <w:trPr>
          <w:trHeight w:val="620"/>
        </w:trPr>
        <w:tc>
          <w:tcPr>
            <w:tcW w:w="660" w:type="pct"/>
            <w:vMerge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</w:tcPr>
          <w:p w14:paraId="6A05954C" w14:textId="77777777" w:rsidR="003E5728" w:rsidRPr="007438C1" w:rsidRDefault="003E5728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733D66B0" w14:textId="77777777" w:rsidR="003E5728" w:rsidRPr="007438C1" w:rsidRDefault="003E5728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</w:tcPr>
          <w:p w14:paraId="1599653A" w14:textId="77777777" w:rsidR="003E5728" w:rsidRPr="00001179" w:rsidRDefault="003E5728" w:rsidP="000011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</w:tcPr>
          <w:p w14:paraId="38CD1C24" w14:textId="4504DA7F" w:rsidR="003E5728" w:rsidRPr="007438C1" w:rsidRDefault="003E5728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>2024 True-up Amount in PY</w:t>
            </w:r>
            <w:r w:rsidR="00B37098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 2026</w:t>
            </w: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</w:tcPr>
          <w:p w14:paraId="2FBD6227" w14:textId="77777777" w:rsidR="003E5728" w:rsidRPr="007438C1" w:rsidRDefault="003E5728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2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</w:tcPr>
          <w:p w14:paraId="0F6B3A2D" w14:textId="77777777" w:rsidR="003E5728" w:rsidRPr="007438C1" w:rsidRDefault="003E5728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6169" w:rsidRPr="007438C1" w14:paraId="524AF80C" w14:textId="77777777" w:rsidTr="00247E40">
        <w:trPr>
          <w:trHeight w:val="416"/>
        </w:trPr>
        <w:tc>
          <w:tcPr>
            <w:tcW w:w="660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13251529" w14:textId="75869236" w:rsidR="00CD6169" w:rsidRDefault="00CD6169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2026</w:t>
            </w:r>
          </w:p>
          <w:p w14:paraId="13B1E4CF" w14:textId="63816182" w:rsidR="002E136D" w:rsidRPr="007438C1" w:rsidRDefault="002E136D" w:rsidP="002E136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2E136D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(collections end 6/30/26)</w:t>
            </w:r>
          </w:p>
        </w:tc>
        <w:tc>
          <w:tcPr>
            <w:tcW w:w="868" w:type="pct"/>
            <w:vMerge w:val="restart"/>
            <w:tcBorders>
              <w:top w:val="single" w:sz="12" w:space="0" w:color="FFFFFF"/>
              <w:left w:val="nil"/>
              <w:right w:val="single" w:sz="8" w:space="0" w:color="FFFFFF"/>
            </w:tcBorders>
            <w:shd w:val="clear" w:color="000000" w:fill="CFD5EA"/>
            <w:hideMark/>
          </w:tcPr>
          <w:p w14:paraId="2AA39D9C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hideMark/>
          </w:tcPr>
          <w:p w14:paraId="61E23D4A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3F5634FF" w14:textId="28CF401E" w:rsidR="00CD6169" w:rsidRPr="007438C1" w:rsidRDefault="00CD6169" w:rsidP="00B3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1179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PY 202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4</w:t>
            </w:r>
            <w:r w:rsidRPr="00001179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True-up amount transfer occurs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B91E454" w14:textId="14F1368F" w:rsidR="00CD6169" w:rsidRPr="007438C1" w:rsidRDefault="00CD6169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2025 </w:t>
            </w: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March AL w/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Summary Table</w:t>
            </w:r>
          </w:p>
        </w:tc>
        <w:tc>
          <w:tcPr>
            <w:tcW w:w="869" w:type="pct"/>
            <w:gridSpan w:val="2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6F14E05" w14:textId="5BB6B67F" w:rsidR="00CD6169" w:rsidRPr="007438C1" w:rsidRDefault="00CD6169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2026 GHG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Allowance </w:t>
            </w:r>
            <w:r w:rsidR="00247E40"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Auction </w:t>
            </w:r>
            <w:r w:rsidR="00247E40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Market</w:t>
            </w:r>
            <w:r w:rsidR="009E503F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occurs</w:t>
            </w:r>
          </w:p>
        </w:tc>
      </w:tr>
      <w:tr w:rsidR="00CD6169" w:rsidRPr="007438C1" w14:paraId="37479C29" w14:textId="77777777" w:rsidTr="00247E40">
        <w:trPr>
          <w:trHeight w:val="415"/>
        </w:trPr>
        <w:tc>
          <w:tcPr>
            <w:tcW w:w="660" w:type="pct"/>
            <w:vMerge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</w:tcPr>
          <w:p w14:paraId="5E5C469B" w14:textId="77777777" w:rsidR="00CD6169" w:rsidRPr="007438C1" w:rsidRDefault="00CD6169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150D9C9A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</w:tcPr>
          <w:p w14:paraId="463D6FD3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</w:tcPr>
          <w:p w14:paraId="3DF7CE1D" w14:textId="77777777" w:rsidR="00CD6169" w:rsidRPr="00001179" w:rsidRDefault="00CD6169" w:rsidP="00B3709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</w:tcPr>
          <w:p w14:paraId="66AB0DEB" w14:textId="612E3FEA" w:rsidR="00CD6169" w:rsidRPr="007438C1" w:rsidRDefault="00CD6169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2025 True-up Amount in </w:t>
            </w: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2027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</w:p>
        </w:tc>
        <w:tc>
          <w:tcPr>
            <w:tcW w:w="869" w:type="pct"/>
            <w:gridSpan w:val="2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</w:tcPr>
          <w:p w14:paraId="4B41D2FA" w14:textId="77777777" w:rsidR="00CD6169" w:rsidRPr="007438C1" w:rsidRDefault="00CD6169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</w:tr>
      <w:tr w:rsidR="00CD6169" w:rsidRPr="007438C1" w14:paraId="3B6DC670" w14:textId="77777777" w:rsidTr="00247E40">
        <w:trPr>
          <w:trHeight w:val="485"/>
        </w:trPr>
        <w:tc>
          <w:tcPr>
            <w:tcW w:w="660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211AC339" w14:textId="77777777" w:rsidR="00CD6169" w:rsidRPr="007438C1" w:rsidRDefault="00CD6169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2027</w:t>
            </w:r>
          </w:p>
        </w:tc>
        <w:tc>
          <w:tcPr>
            <w:tcW w:w="868" w:type="pct"/>
            <w:vMerge w:val="restart"/>
            <w:tcBorders>
              <w:top w:val="single" w:sz="12" w:space="0" w:color="FFFFFF"/>
              <w:left w:val="nil"/>
              <w:right w:val="single" w:sz="8" w:space="0" w:color="FFFFFF"/>
            </w:tcBorders>
            <w:shd w:val="clear" w:color="000000" w:fill="CFD5EA"/>
            <w:hideMark/>
          </w:tcPr>
          <w:p w14:paraId="1AC01389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hideMark/>
          </w:tcPr>
          <w:p w14:paraId="55BA4097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FD5EA"/>
            <w:hideMark/>
          </w:tcPr>
          <w:p w14:paraId="654CC82E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7438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DA8790F" w14:textId="43C5344B" w:rsidR="00CD6169" w:rsidRPr="007438C1" w:rsidRDefault="00C96E0B" w:rsidP="00C96E0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PY 2025 True-up amount transfer occurs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4CE65593" w14:textId="138F27DA" w:rsidR="00CD6169" w:rsidRPr="007438C1" w:rsidRDefault="00CD6169" w:rsidP="007438C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PY 2026 </w:t>
            </w:r>
            <w:r w:rsidRPr="007438C1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March AL w/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Summary Table</w:t>
            </w:r>
          </w:p>
        </w:tc>
      </w:tr>
      <w:tr w:rsidR="00CD6169" w:rsidRPr="007438C1" w14:paraId="11F53E8C" w14:textId="77777777" w:rsidTr="00247E40">
        <w:trPr>
          <w:trHeight w:val="846"/>
        </w:trPr>
        <w:tc>
          <w:tcPr>
            <w:tcW w:w="660" w:type="pct"/>
            <w:vMerge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</w:tcPr>
          <w:p w14:paraId="5218F26F" w14:textId="77777777" w:rsidR="00CD6169" w:rsidRPr="007438C1" w:rsidRDefault="00CD6169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22197274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</w:tcPr>
          <w:p w14:paraId="454895B8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</w:tcPr>
          <w:p w14:paraId="0CA49BEC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</w:tcPr>
          <w:p w14:paraId="21FE6BAD" w14:textId="77777777" w:rsidR="00CD6169" w:rsidRPr="007438C1" w:rsidRDefault="00CD6169" w:rsidP="007438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000000" w:fill="CFD5EA"/>
            <w:vAlign w:val="center"/>
          </w:tcPr>
          <w:p w14:paraId="38759581" w14:textId="5243C741" w:rsidR="00CD6169" w:rsidRPr="007438C1" w:rsidRDefault="00CD6169" w:rsidP="007438C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2026 True-up Amount in </w:t>
            </w: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2028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 ERRA/ECAC </w:t>
            </w:r>
          </w:p>
        </w:tc>
      </w:tr>
      <w:tr w:rsidR="00247E40" w:rsidRPr="007438C1" w14:paraId="17F3C96E" w14:textId="77777777" w:rsidTr="009E503F">
        <w:trPr>
          <w:trHeight w:val="1044"/>
        </w:trPr>
        <w:tc>
          <w:tcPr>
            <w:tcW w:w="660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7D628EF3" w14:textId="77777777" w:rsidR="00247E40" w:rsidRPr="007438C1" w:rsidRDefault="00247E40" w:rsidP="007438C1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438C1">
              <w:rPr>
                <w:rFonts w:ascii="Century Gothic" w:eastAsia="Times New Roman" w:hAnsi="Century Gothic" w:cs="Calibri"/>
                <w:b/>
                <w:bCs/>
              </w:rPr>
              <w:t>2028</w:t>
            </w:r>
          </w:p>
        </w:tc>
        <w:tc>
          <w:tcPr>
            <w:tcW w:w="4340" w:type="pct"/>
            <w:gridSpan w:val="6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969B93A" w14:textId="404DA79A" w:rsidR="00247E40" w:rsidRPr="007438C1" w:rsidRDefault="00247E40" w:rsidP="00247E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</w:pP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PY 2028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 xml:space="preserve">ERRA/ECAC </w:t>
            </w:r>
            <w:r w:rsidRPr="007438C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</w:rPr>
              <w:t>Approved, SOMAH Budget is fully trued-up.</w:t>
            </w:r>
          </w:p>
        </w:tc>
      </w:tr>
    </w:tbl>
    <w:p w14:paraId="7A128B65" w14:textId="29C99868" w:rsidR="00273382" w:rsidRPr="00273382" w:rsidRDefault="00273382" w:rsidP="00891500"/>
    <w:sectPr w:rsidR="00273382" w:rsidRPr="002733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6A88" w14:textId="77777777" w:rsidR="003D61AB" w:rsidRDefault="003D61AB" w:rsidP="00BE6882">
      <w:pPr>
        <w:spacing w:after="0" w:line="240" w:lineRule="auto"/>
      </w:pPr>
      <w:r>
        <w:separator/>
      </w:r>
    </w:p>
  </w:endnote>
  <w:endnote w:type="continuationSeparator" w:id="0">
    <w:p w14:paraId="322931F1" w14:textId="77777777" w:rsidR="003D61AB" w:rsidRDefault="003D61AB" w:rsidP="00BE6882">
      <w:pPr>
        <w:spacing w:after="0" w:line="240" w:lineRule="auto"/>
      </w:pPr>
      <w:r>
        <w:continuationSeparator/>
      </w:r>
    </w:p>
  </w:endnote>
  <w:endnote w:type="continuationNotice" w:id="1">
    <w:p w14:paraId="191FD881" w14:textId="77777777" w:rsidR="003D61AB" w:rsidRDefault="003D6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860925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D81B4" w14:textId="50EB15DA" w:rsidR="00BE6882" w:rsidRPr="00BE6882" w:rsidRDefault="00BE6882">
        <w:pPr>
          <w:pStyle w:val="Footer"/>
          <w:jc w:val="right"/>
          <w:rPr>
            <w:rFonts w:ascii="Garamond" w:hAnsi="Garamond"/>
          </w:rPr>
        </w:pPr>
        <w:r w:rsidRPr="00BE6882">
          <w:rPr>
            <w:rFonts w:ascii="Garamond" w:hAnsi="Garamond"/>
          </w:rPr>
          <w:fldChar w:fldCharType="begin"/>
        </w:r>
        <w:r w:rsidRPr="00BE6882">
          <w:rPr>
            <w:rFonts w:ascii="Garamond" w:hAnsi="Garamond"/>
          </w:rPr>
          <w:instrText xml:space="preserve"> FILENAME \* MERGEFORMAT </w:instrText>
        </w:r>
        <w:r w:rsidRPr="00BE6882">
          <w:rPr>
            <w:rFonts w:ascii="Garamond" w:hAnsi="Garamond"/>
          </w:rPr>
          <w:fldChar w:fldCharType="separate"/>
        </w:r>
        <w:r w:rsidR="00083C5D">
          <w:rPr>
            <w:rFonts w:ascii="Garamond" w:hAnsi="Garamond"/>
            <w:noProof/>
          </w:rPr>
          <w:t>SOMAH Budget Guidance Memo</w:t>
        </w:r>
        <w:r w:rsidRPr="00BE6882">
          <w:rPr>
            <w:rFonts w:ascii="Garamond" w:hAnsi="Garamond"/>
          </w:rPr>
          <w:fldChar w:fldCharType="end"/>
        </w:r>
        <w:r w:rsidRPr="00BE6882">
          <w:rPr>
            <w:rFonts w:ascii="Garamond" w:hAnsi="Garamond"/>
          </w:rPr>
          <w:t xml:space="preserve">; Page </w:t>
        </w:r>
        <w:r w:rsidRPr="00BE6882">
          <w:rPr>
            <w:rFonts w:ascii="Garamond" w:hAnsi="Garamond"/>
          </w:rPr>
          <w:fldChar w:fldCharType="begin"/>
        </w:r>
        <w:r w:rsidRPr="00BE6882">
          <w:rPr>
            <w:rFonts w:ascii="Garamond" w:hAnsi="Garamond"/>
          </w:rPr>
          <w:instrText xml:space="preserve"> PAGE   \* MERGEFORMAT </w:instrText>
        </w:r>
        <w:r w:rsidRPr="00BE6882">
          <w:rPr>
            <w:rFonts w:ascii="Garamond" w:hAnsi="Garamond"/>
          </w:rPr>
          <w:fldChar w:fldCharType="separate"/>
        </w:r>
        <w:r w:rsidRPr="00BE6882">
          <w:rPr>
            <w:rFonts w:ascii="Garamond" w:hAnsi="Garamond"/>
            <w:noProof/>
          </w:rPr>
          <w:t>2</w:t>
        </w:r>
        <w:r w:rsidRPr="00BE6882">
          <w:rPr>
            <w:rFonts w:ascii="Garamond" w:hAnsi="Garamond"/>
            <w:noProof/>
          </w:rPr>
          <w:fldChar w:fldCharType="end"/>
        </w:r>
      </w:p>
    </w:sdtContent>
  </w:sdt>
  <w:p w14:paraId="25B748D4" w14:textId="70EC1462" w:rsidR="00BE6882" w:rsidRPr="00BE6882" w:rsidRDefault="00BE6882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31FE" w14:textId="77777777" w:rsidR="003D61AB" w:rsidRDefault="003D61AB" w:rsidP="00BE6882">
      <w:pPr>
        <w:spacing w:after="0" w:line="240" w:lineRule="auto"/>
      </w:pPr>
      <w:r>
        <w:separator/>
      </w:r>
    </w:p>
  </w:footnote>
  <w:footnote w:type="continuationSeparator" w:id="0">
    <w:p w14:paraId="6F1E352F" w14:textId="77777777" w:rsidR="003D61AB" w:rsidRDefault="003D61AB" w:rsidP="00BE6882">
      <w:pPr>
        <w:spacing w:after="0" w:line="240" w:lineRule="auto"/>
      </w:pPr>
      <w:r>
        <w:continuationSeparator/>
      </w:r>
    </w:p>
  </w:footnote>
  <w:footnote w:type="continuationNotice" w:id="1">
    <w:p w14:paraId="00F41BE4" w14:textId="77777777" w:rsidR="003D61AB" w:rsidRDefault="003D61AB">
      <w:pPr>
        <w:spacing w:after="0" w:line="240" w:lineRule="auto"/>
      </w:pPr>
    </w:p>
  </w:footnote>
  <w:footnote w:id="2">
    <w:p w14:paraId="4C4E8A3E" w14:textId="6189BAFE" w:rsidR="00794E74" w:rsidRDefault="00794E74">
      <w:pPr>
        <w:pStyle w:val="FootnoteText"/>
      </w:pPr>
      <w:r>
        <w:rPr>
          <w:rStyle w:val="FootnoteReference"/>
        </w:rPr>
        <w:footnoteRef/>
      </w:r>
      <w:r>
        <w:t xml:space="preserve"> “Each utility shall include a SOMAH forecast set-aside amount as a separate line item in its applicable filings</w:t>
      </w:r>
      <w:r w:rsidR="00F52854">
        <w:t xml:space="preserve"> [specifically, Template D-1 (originally adopted in D.14-10-033)]</w:t>
      </w:r>
      <w:r>
        <w:t>, distinguished from other programs funded pursuant to Public Utilities Code Section 748.5(c)”</w:t>
      </w:r>
      <w:r w:rsidR="00574457">
        <w:t xml:space="preserve"> D.20-04-012 at page </w:t>
      </w:r>
      <w:r w:rsidR="00D5135B">
        <w:t>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D4A"/>
    <w:multiLevelType w:val="hybridMultilevel"/>
    <w:tmpl w:val="F642D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F2B16"/>
    <w:multiLevelType w:val="hybridMultilevel"/>
    <w:tmpl w:val="062E6588"/>
    <w:lvl w:ilvl="0" w:tplc="C568A8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A705A"/>
    <w:multiLevelType w:val="hybridMultilevel"/>
    <w:tmpl w:val="60D6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3965"/>
    <w:multiLevelType w:val="hybridMultilevel"/>
    <w:tmpl w:val="4366F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C330E1"/>
    <w:multiLevelType w:val="hybridMultilevel"/>
    <w:tmpl w:val="1FD0B5A6"/>
    <w:lvl w:ilvl="0" w:tplc="65947D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0AB6"/>
    <w:multiLevelType w:val="hybridMultilevel"/>
    <w:tmpl w:val="4B02ECC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7CBF6C67"/>
    <w:multiLevelType w:val="hybridMultilevel"/>
    <w:tmpl w:val="681C626A"/>
    <w:lvl w:ilvl="0" w:tplc="582E5A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75252">
    <w:abstractNumId w:val="3"/>
  </w:num>
  <w:num w:numId="2" w16cid:durableId="14771375">
    <w:abstractNumId w:val="2"/>
  </w:num>
  <w:num w:numId="3" w16cid:durableId="1390424131">
    <w:abstractNumId w:val="5"/>
  </w:num>
  <w:num w:numId="4" w16cid:durableId="1457260709">
    <w:abstractNumId w:val="0"/>
  </w:num>
  <w:num w:numId="5" w16cid:durableId="1873498096">
    <w:abstractNumId w:val="4"/>
  </w:num>
  <w:num w:numId="6" w16cid:durableId="1381519558">
    <w:abstractNumId w:val="1"/>
  </w:num>
  <w:num w:numId="7" w16cid:durableId="1786656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4F"/>
    <w:rsid w:val="00001179"/>
    <w:rsid w:val="00003BD4"/>
    <w:rsid w:val="00004C49"/>
    <w:rsid w:val="00005D84"/>
    <w:rsid w:val="00024493"/>
    <w:rsid w:val="00045728"/>
    <w:rsid w:val="000458B3"/>
    <w:rsid w:val="000527F2"/>
    <w:rsid w:val="0006267D"/>
    <w:rsid w:val="00083C5D"/>
    <w:rsid w:val="0009747C"/>
    <w:rsid w:val="000A3774"/>
    <w:rsid w:val="000A46E2"/>
    <w:rsid w:val="000A5B08"/>
    <w:rsid w:val="000A7CA8"/>
    <w:rsid w:val="000B4FDA"/>
    <w:rsid w:val="000C1C26"/>
    <w:rsid w:val="000C69F7"/>
    <w:rsid w:val="000D6C6B"/>
    <w:rsid w:val="00121728"/>
    <w:rsid w:val="00123F03"/>
    <w:rsid w:val="00124ACE"/>
    <w:rsid w:val="00141AC1"/>
    <w:rsid w:val="00156728"/>
    <w:rsid w:val="00171D5A"/>
    <w:rsid w:val="00177D28"/>
    <w:rsid w:val="001A02F8"/>
    <w:rsid w:val="001A1DEF"/>
    <w:rsid w:val="001B4F3E"/>
    <w:rsid w:val="001C02A1"/>
    <w:rsid w:val="001C1FFF"/>
    <w:rsid w:val="001C3A0B"/>
    <w:rsid w:val="001C4DD8"/>
    <w:rsid w:val="00211B38"/>
    <w:rsid w:val="0023693D"/>
    <w:rsid w:val="00246136"/>
    <w:rsid w:val="00247E40"/>
    <w:rsid w:val="00253035"/>
    <w:rsid w:val="00253495"/>
    <w:rsid w:val="00265F92"/>
    <w:rsid w:val="00273382"/>
    <w:rsid w:val="00290A64"/>
    <w:rsid w:val="00297768"/>
    <w:rsid w:val="002A422B"/>
    <w:rsid w:val="002B7A2A"/>
    <w:rsid w:val="002C083F"/>
    <w:rsid w:val="002C6D2D"/>
    <w:rsid w:val="002E1232"/>
    <w:rsid w:val="002E136D"/>
    <w:rsid w:val="00307297"/>
    <w:rsid w:val="00316F76"/>
    <w:rsid w:val="00327ED1"/>
    <w:rsid w:val="0035760E"/>
    <w:rsid w:val="0036621F"/>
    <w:rsid w:val="00366D44"/>
    <w:rsid w:val="0038376C"/>
    <w:rsid w:val="003A2FFC"/>
    <w:rsid w:val="003A6402"/>
    <w:rsid w:val="003D2F5D"/>
    <w:rsid w:val="003D5531"/>
    <w:rsid w:val="003D61AB"/>
    <w:rsid w:val="003D7DFE"/>
    <w:rsid w:val="003E1545"/>
    <w:rsid w:val="003E5728"/>
    <w:rsid w:val="00407434"/>
    <w:rsid w:val="004119D5"/>
    <w:rsid w:val="00413ADE"/>
    <w:rsid w:val="00417F6A"/>
    <w:rsid w:val="0043064A"/>
    <w:rsid w:val="00430E24"/>
    <w:rsid w:val="00445812"/>
    <w:rsid w:val="004502F3"/>
    <w:rsid w:val="00451355"/>
    <w:rsid w:val="00453894"/>
    <w:rsid w:val="00467B16"/>
    <w:rsid w:val="00476A6D"/>
    <w:rsid w:val="00480E7D"/>
    <w:rsid w:val="00490AE9"/>
    <w:rsid w:val="004A06D2"/>
    <w:rsid w:val="004E62E6"/>
    <w:rsid w:val="0050036D"/>
    <w:rsid w:val="00504CE1"/>
    <w:rsid w:val="00512438"/>
    <w:rsid w:val="005230FA"/>
    <w:rsid w:val="00523B09"/>
    <w:rsid w:val="00535268"/>
    <w:rsid w:val="005379F3"/>
    <w:rsid w:val="00542BE5"/>
    <w:rsid w:val="00543F15"/>
    <w:rsid w:val="00545594"/>
    <w:rsid w:val="00552002"/>
    <w:rsid w:val="00554FA5"/>
    <w:rsid w:val="00570B8B"/>
    <w:rsid w:val="00574457"/>
    <w:rsid w:val="005921B0"/>
    <w:rsid w:val="005A6443"/>
    <w:rsid w:val="005C62B3"/>
    <w:rsid w:val="005D5A2F"/>
    <w:rsid w:val="005E43E1"/>
    <w:rsid w:val="005F3773"/>
    <w:rsid w:val="005F5143"/>
    <w:rsid w:val="00610911"/>
    <w:rsid w:val="00611DB1"/>
    <w:rsid w:val="006204E7"/>
    <w:rsid w:val="00621FE9"/>
    <w:rsid w:val="00632D99"/>
    <w:rsid w:val="0063614A"/>
    <w:rsid w:val="00640B86"/>
    <w:rsid w:val="00651865"/>
    <w:rsid w:val="006536F5"/>
    <w:rsid w:val="00655536"/>
    <w:rsid w:val="0067082F"/>
    <w:rsid w:val="006769AA"/>
    <w:rsid w:val="006810AF"/>
    <w:rsid w:val="00681B85"/>
    <w:rsid w:val="006A5C98"/>
    <w:rsid w:val="006B32F6"/>
    <w:rsid w:val="006C0FD7"/>
    <w:rsid w:val="006C4276"/>
    <w:rsid w:val="006C5937"/>
    <w:rsid w:val="006E0E34"/>
    <w:rsid w:val="006E4FAD"/>
    <w:rsid w:val="006F5AB6"/>
    <w:rsid w:val="0071093F"/>
    <w:rsid w:val="00710C27"/>
    <w:rsid w:val="007166EF"/>
    <w:rsid w:val="007169D4"/>
    <w:rsid w:val="007336E6"/>
    <w:rsid w:val="007409C4"/>
    <w:rsid w:val="007438C1"/>
    <w:rsid w:val="007543D1"/>
    <w:rsid w:val="007741A5"/>
    <w:rsid w:val="00794E74"/>
    <w:rsid w:val="00796538"/>
    <w:rsid w:val="00796EEA"/>
    <w:rsid w:val="007A23DE"/>
    <w:rsid w:val="007A252C"/>
    <w:rsid w:val="007A3CAC"/>
    <w:rsid w:val="007B48C9"/>
    <w:rsid w:val="007C695A"/>
    <w:rsid w:val="007D39B5"/>
    <w:rsid w:val="007D753A"/>
    <w:rsid w:val="007E5BA6"/>
    <w:rsid w:val="007F089E"/>
    <w:rsid w:val="007F3CDA"/>
    <w:rsid w:val="008065A2"/>
    <w:rsid w:val="0080729B"/>
    <w:rsid w:val="008126C5"/>
    <w:rsid w:val="00814505"/>
    <w:rsid w:val="008175D7"/>
    <w:rsid w:val="008249DD"/>
    <w:rsid w:val="008569E5"/>
    <w:rsid w:val="00866D2F"/>
    <w:rsid w:val="00867A33"/>
    <w:rsid w:val="00872B92"/>
    <w:rsid w:val="00891500"/>
    <w:rsid w:val="008A0EDC"/>
    <w:rsid w:val="008B114F"/>
    <w:rsid w:val="008B6280"/>
    <w:rsid w:val="008C226A"/>
    <w:rsid w:val="008D1B75"/>
    <w:rsid w:val="008D7573"/>
    <w:rsid w:val="008F19AA"/>
    <w:rsid w:val="008F6507"/>
    <w:rsid w:val="009005F3"/>
    <w:rsid w:val="009122AB"/>
    <w:rsid w:val="009253EC"/>
    <w:rsid w:val="00926484"/>
    <w:rsid w:val="0096244A"/>
    <w:rsid w:val="009846C9"/>
    <w:rsid w:val="009855FC"/>
    <w:rsid w:val="009A7069"/>
    <w:rsid w:val="009C26B3"/>
    <w:rsid w:val="009C2D6A"/>
    <w:rsid w:val="009C4547"/>
    <w:rsid w:val="009E503F"/>
    <w:rsid w:val="009E56CF"/>
    <w:rsid w:val="009F424B"/>
    <w:rsid w:val="009F53E7"/>
    <w:rsid w:val="009F6E92"/>
    <w:rsid w:val="00A1260A"/>
    <w:rsid w:val="00A13C7B"/>
    <w:rsid w:val="00A14B4D"/>
    <w:rsid w:val="00A32946"/>
    <w:rsid w:val="00A5143A"/>
    <w:rsid w:val="00A5707E"/>
    <w:rsid w:val="00A73F96"/>
    <w:rsid w:val="00A74ECF"/>
    <w:rsid w:val="00A777C9"/>
    <w:rsid w:val="00A81443"/>
    <w:rsid w:val="00A87AFB"/>
    <w:rsid w:val="00A923D7"/>
    <w:rsid w:val="00AA2A1B"/>
    <w:rsid w:val="00AC2A81"/>
    <w:rsid w:val="00B035D0"/>
    <w:rsid w:val="00B04722"/>
    <w:rsid w:val="00B0508A"/>
    <w:rsid w:val="00B060A3"/>
    <w:rsid w:val="00B138EC"/>
    <w:rsid w:val="00B2117F"/>
    <w:rsid w:val="00B212A1"/>
    <w:rsid w:val="00B37098"/>
    <w:rsid w:val="00B473A5"/>
    <w:rsid w:val="00B723F7"/>
    <w:rsid w:val="00B77C5E"/>
    <w:rsid w:val="00B96B18"/>
    <w:rsid w:val="00BA32CB"/>
    <w:rsid w:val="00BA72F9"/>
    <w:rsid w:val="00BB42BC"/>
    <w:rsid w:val="00BC7B0B"/>
    <w:rsid w:val="00BD1233"/>
    <w:rsid w:val="00BD5AA9"/>
    <w:rsid w:val="00BE5EA8"/>
    <w:rsid w:val="00BE663C"/>
    <w:rsid w:val="00BE6882"/>
    <w:rsid w:val="00C03071"/>
    <w:rsid w:val="00C0387A"/>
    <w:rsid w:val="00C04C2B"/>
    <w:rsid w:val="00C170E9"/>
    <w:rsid w:val="00C41D76"/>
    <w:rsid w:val="00C516C4"/>
    <w:rsid w:val="00C600E6"/>
    <w:rsid w:val="00C60C86"/>
    <w:rsid w:val="00C96D71"/>
    <w:rsid w:val="00C96E0B"/>
    <w:rsid w:val="00CA1986"/>
    <w:rsid w:val="00CA7E47"/>
    <w:rsid w:val="00CD4C1C"/>
    <w:rsid w:val="00CD6169"/>
    <w:rsid w:val="00CD716F"/>
    <w:rsid w:val="00CE2375"/>
    <w:rsid w:val="00D01B88"/>
    <w:rsid w:val="00D06477"/>
    <w:rsid w:val="00D178E9"/>
    <w:rsid w:val="00D2632A"/>
    <w:rsid w:val="00D3513B"/>
    <w:rsid w:val="00D5101F"/>
    <w:rsid w:val="00D5135B"/>
    <w:rsid w:val="00D51E05"/>
    <w:rsid w:val="00D61CBA"/>
    <w:rsid w:val="00D70D4F"/>
    <w:rsid w:val="00D7331F"/>
    <w:rsid w:val="00D745CB"/>
    <w:rsid w:val="00D74A67"/>
    <w:rsid w:val="00D81465"/>
    <w:rsid w:val="00D86AA0"/>
    <w:rsid w:val="00DA07D9"/>
    <w:rsid w:val="00DB58F8"/>
    <w:rsid w:val="00DB6CB5"/>
    <w:rsid w:val="00DB7FD7"/>
    <w:rsid w:val="00DC54CF"/>
    <w:rsid w:val="00DD32E0"/>
    <w:rsid w:val="00DE1E36"/>
    <w:rsid w:val="00DE202E"/>
    <w:rsid w:val="00DE3670"/>
    <w:rsid w:val="00E12D5C"/>
    <w:rsid w:val="00E4249E"/>
    <w:rsid w:val="00E44055"/>
    <w:rsid w:val="00E5256E"/>
    <w:rsid w:val="00E556A1"/>
    <w:rsid w:val="00E6371E"/>
    <w:rsid w:val="00E84B3C"/>
    <w:rsid w:val="00E935C5"/>
    <w:rsid w:val="00E939EC"/>
    <w:rsid w:val="00EA2805"/>
    <w:rsid w:val="00EB4FCF"/>
    <w:rsid w:val="00EC0866"/>
    <w:rsid w:val="00EC15AB"/>
    <w:rsid w:val="00EC4789"/>
    <w:rsid w:val="00ED1806"/>
    <w:rsid w:val="00ED5ADC"/>
    <w:rsid w:val="00EE3C44"/>
    <w:rsid w:val="00EF05B4"/>
    <w:rsid w:val="00EF54FE"/>
    <w:rsid w:val="00F12804"/>
    <w:rsid w:val="00F230A5"/>
    <w:rsid w:val="00F27079"/>
    <w:rsid w:val="00F27EC1"/>
    <w:rsid w:val="00F30911"/>
    <w:rsid w:val="00F351D0"/>
    <w:rsid w:val="00F52854"/>
    <w:rsid w:val="00F66095"/>
    <w:rsid w:val="00F661C1"/>
    <w:rsid w:val="00F7224C"/>
    <w:rsid w:val="00F90C65"/>
    <w:rsid w:val="00F95EB4"/>
    <w:rsid w:val="00F977B2"/>
    <w:rsid w:val="00FA2B6D"/>
    <w:rsid w:val="00FA50C5"/>
    <w:rsid w:val="00FB659F"/>
    <w:rsid w:val="00FB7A14"/>
    <w:rsid w:val="00FB7E9E"/>
    <w:rsid w:val="00FC3EB6"/>
    <w:rsid w:val="00FE637B"/>
    <w:rsid w:val="56944813"/>
    <w:rsid w:val="62CABDAD"/>
    <w:rsid w:val="659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B339"/>
  <w15:chartTrackingRefBased/>
  <w15:docId w15:val="{80917831-CA8B-4F42-81FD-2E18344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071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3071"/>
    <w:rPr>
      <w:rFonts w:ascii="Century Gothic" w:eastAsiaTheme="majorEastAsia" w:hAnsi="Century Gothic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E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82"/>
  </w:style>
  <w:style w:type="paragraph" w:styleId="Footer">
    <w:name w:val="footer"/>
    <w:basedOn w:val="Normal"/>
    <w:link w:val="FooterChar"/>
    <w:uiPriority w:val="99"/>
    <w:unhideWhenUsed/>
    <w:rsid w:val="00BE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82"/>
  </w:style>
  <w:style w:type="paragraph" w:styleId="FootnoteText">
    <w:name w:val="footnote text"/>
    <w:basedOn w:val="Normal"/>
    <w:link w:val="FootnoteTextChar"/>
    <w:uiPriority w:val="99"/>
    <w:semiHidden/>
    <w:unhideWhenUsed/>
    <w:rsid w:val="00794E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E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E74"/>
    <w:rPr>
      <w:vertAlign w:val="superscript"/>
    </w:rPr>
  </w:style>
  <w:style w:type="paragraph" w:styleId="Revision">
    <w:name w:val="Revision"/>
    <w:hidden/>
    <w:uiPriority w:val="99"/>
    <w:semiHidden/>
    <w:rsid w:val="003A64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2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3388-09EA-4BE9-A83A-55935D3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1522</Words>
  <Characters>7979</Characters>
  <Application>Microsoft Office Word</Application>
  <DocSecurity>0</DocSecurity>
  <Lines>275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Lerhaupt, Sarah</dc:creator>
  <cp:keywords/>
  <dc:description/>
  <cp:lastModifiedBy>Lerhaupt, Sarah</cp:lastModifiedBy>
  <cp:revision>258</cp:revision>
  <dcterms:created xsi:type="dcterms:W3CDTF">2021-12-30T23:18:00Z</dcterms:created>
  <dcterms:modified xsi:type="dcterms:W3CDTF">2022-10-28T20:16:00Z</dcterms:modified>
</cp:coreProperties>
</file>