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D7" w:rsidRDefault="003A60D7"/>
    <w:p w:rsidR="003A60D7" w:rsidRDefault="003A60D7">
      <w:r>
        <w:t>Challenges to the Timely Processing of GRCs Within the current RCP</w:t>
      </w:r>
    </w:p>
    <w:p w:rsidR="003A60D7" w:rsidRPr="003A60D7" w:rsidRDefault="003A60D7" w:rsidP="003A60D7">
      <w:pPr>
        <w:rPr>
          <w:rFonts w:asciiTheme="majorHAnsi" w:hAnsiTheme="majorHAnsi"/>
        </w:rPr>
      </w:pPr>
      <w:r w:rsidRPr="0013055C">
        <w:rPr>
          <w:rFonts w:asciiTheme="majorHAnsi" w:hAnsiTheme="majorHAnsi"/>
        </w:rPr>
        <w:t>Discussions</w:t>
      </w:r>
    </w:p>
    <w:p w:rsidR="003A60D7" w:rsidRDefault="003A60D7" w:rsidP="003A60D7">
      <w:pPr>
        <w:numPr>
          <w:ilvl w:val="0"/>
          <w:numId w:val="1"/>
        </w:numPr>
        <w:spacing w:after="0" w:line="240" w:lineRule="auto"/>
        <w:ind w:left="360"/>
        <w:rPr>
          <w:rFonts w:asciiTheme="majorHAnsi" w:eastAsia="Times New Roman" w:hAnsiTheme="majorHAnsi" w:cs="Book Antiqua"/>
          <w:color w:val="000000"/>
        </w:rPr>
      </w:pPr>
      <w:r w:rsidRPr="003A60D7">
        <w:rPr>
          <w:rFonts w:asciiTheme="majorHAnsi" w:eastAsia="Times New Roman" w:hAnsiTheme="majorHAnsi" w:cs="Book Antiqua"/>
          <w:color w:val="000000"/>
        </w:rPr>
        <w:t xml:space="preserve">Does the current Rate Case Plan schedule allow sufficient time for the utilities, all intervening parties, and Commission staff to process GRC proceedings in a timely manner?  If not, why not? </w:t>
      </w:r>
    </w:p>
    <w:p w:rsidR="0013055C" w:rsidRDefault="0013055C" w:rsidP="0013055C">
      <w:pPr>
        <w:spacing w:after="0" w:line="240" w:lineRule="auto"/>
        <w:ind w:left="360"/>
        <w:rPr>
          <w:rFonts w:asciiTheme="majorHAnsi" w:eastAsia="Times New Roman" w:hAnsiTheme="majorHAnsi" w:cs="Book Antiqua"/>
          <w:color w:val="000000"/>
        </w:rPr>
      </w:pPr>
    </w:p>
    <w:p w:rsidR="0013055C" w:rsidRDefault="0013055C" w:rsidP="0013055C">
      <w:pPr>
        <w:pStyle w:val="ListParagraph"/>
        <w:numPr>
          <w:ilvl w:val="0"/>
          <w:numId w:val="3"/>
        </w:numPr>
        <w:spacing w:after="0" w:line="240" w:lineRule="auto"/>
        <w:rPr>
          <w:rFonts w:asciiTheme="majorHAnsi" w:eastAsia="Times New Roman" w:hAnsiTheme="majorHAnsi" w:cs="Book Antiqua"/>
          <w:color w:val="000000"/>
        </w:rPr>
      </w:pPr>
      <w:r w:rsidRPr="0013055C">
        <w:rPr>
          <w:rFonts w:asciiTheme="majorHAnsi" w:eastAsia="Times New Roman" w:hAnsiTheme="majorHAnsi" w:cs="Book Antiqua"/>
          <w:color w:val="000000"/>
        </w:rPr>
        <w:t xml:space="preserve">Current </w:t>
      </w:r>
      <w:r w:rsidR="00F00273">
        <w:rPr>
          <w:rFonts w:asciiTheme="majorHAnsi" w:eastAsia="Times New Roman" w:hAnsiTheme="majorHAnsi" w:cs="Book Antiqua"/>
          <w:color w:val="000000"/>
        </w:rPr>
        <w:t xml:space="preserve">GRC </w:t>
      </w:r>
      <w:r w:rsidRPr="0013055C">
        <w:rPr>
          <w:rFonts w:asciiTheme="majorHAnsi" w:eastAsia="Times New Roman" w:hAnsiTheme="majorHAnsi" w:cs="Book Antiqua"/>
          <w:color w:val="000000"/>
        </w:rPr>
        <w:t>schedule provides insufficient time for ORA to file its testimony</w:t>
      </w:r>
      <w:r w:rsidR="00FD543F">
        <w:rPr>
          <w:rFonts w:asciiTheme="majorHAnsi" w:eastAsia="Times New Roman" w:hAnsiTheme="majorHAnsi" w:cs="Book Antiqua"/>
          <w:color w:val="000000"/>
        </w:rPr>
        <w:t>.</w:t>
      </w:r>
      <w:r w:rsidRPr="0013055C">
        <w:rPr>
          <w:rFonts w:asciiTheme="majorHAnsi" w:eastAsia="Times New Roman" w:hAnsiTheme="majorHAnsi" w:cs="Book Antiqua"/>
          <w:color w:val="000000"/>
        </w:rPr>
        <w:t xml:space="preserve"> </w:t>
      </w:r>
    </w:p>
    <w:p w:rsidR="00FD543F" w:rsidRPr="0013055C" w:rsidRDefault="00FD543F" w:rsidP="00FD543F">
      <w:pPr>
        <w:pStyle w:val="ListParagraph"/>
        <w:numPr>
          <w:ilvl w:val="1"/>
          <w:numId w:val="3"/>
        </w:numPr>
        <w:spacing w:after="0" w:line="240" w:lineRule="auto"/>
        <w:rPr>
          <w:rFonts w:asciiTheme="majorHAnsi" w:eastAsia="Times New Roman" w:hAnsiTheme="majorHAnsi" w:cs="Book Antiqua"/>
          <w:color w:val="000000"/>
        </w:rPr>
      </w:pPr>
      <w:r>
        <w:rPr>
          <w:rFonts w:asciiTheme="majorHAnsi" w:eastAsia="Times New Roman" w:hAnsiTheme="majorHAnsi" w:cs="Book Antiqua"/>
          <w:color w:val="000000"/>
        </w:rPr>
        <w:t xml:space="preserve">April date for ORA testimony is manageable and consistent with past GRC schedules and latest GRC schedules. </w:t>
      </w:r>
    </w:p>
    <w:p w:rsidR="0013055C" w:rsidRDefault="0013055C" w:rsidP="0013055C">
      <w:pPr>
        <w:pStyle w:val="ListParagraph"/>
        <w:numPr>
          <w:ilvl w:val="0"/>
          <w:numId w:val="3"/>
        </w:numPr>
        <w:spacing w:after="0" w:line="240" w:lineRule="auto"/>
        <w:rPr>
          <w:rFonts w:asciiTheme="majorHAnsi" w:eastAsia="Times New Roman" w:hAnsiTheme="majorHAnsi" w:cs="Book Antiqua"/>
          <w:color w:val="000000"/>
        </w:rPr>
      </w:pPr>
      <w:r w:rsidRPr="0013055C">
        <w:rPr>
          <w:rFonts w:asciiTheme="majorHAnsi" w:eastAsia="Times New Roman" w:hAnsiTheme="majorHAnsi" w:cs="Book Antiqua"/>
          <w:color w:val="000000"/>
        </w:rPr>
        <w:t>I</w:t>
      </w:r>
      <w:r w:rsidR="00FD543F">
        <w:rPr>
          <w:rFonts w:asciiTheme="majorHAnsi" w:eastAsia="Times New Roman" w:hAnsiTheme="majorHAnsi" w:cs="Book Antiqua"/>
          <w:color w:val="000000"/>
        </w:rPr>
        <w:t>n past GRCs, ORA typically filed</w:t>
      </w:r>
      <w:r w:rsidRPr="0013055C">
        <w:rPr>
          <w:rFonts w:asciiTheme="majorHAnsi" w:eastAsia="Times New Roman" w:hAnsiTheme="majorHAnsi" w:cs="Book Antiqua"/>
          <w:color w:val="000000"/>
        </w:rPr>
        <w:t xml:space="preserve"> its testimony in April.</w:t>
      </w:r>
    </w:p>
    <w:p w:rsidR="00F00273" w:rsidRDefault="00F00273" w:rsidP="00F00273">
      <w:pPr>
        <w:pStyle w:val="ListParagraph"/>
        <w:numPr>
          <w:ilvl w:val="1"/>
          <w:numId w:val="3"/>
        </w:numPr>
        <w:spacing w:after="0" w:line="240" w:lineRule="auto"/>
        <w:rPr>
          <w:rFonts w:asciiTheme="majorHAnsi" w:eastAsia="Times New Roman" w:hAnsiTheme="majorHAnsi" w:cs="Book Antiqua"/>
          <w:color w:val="000000"/>
        </w:rPr>
      </w:pPr>
      <w:r w:rsidRPr="0013055C">
        <w:rPr>
          <w:rFonts w:asciiTheme="majorHAnsi" w:eastAsia="Times New Roman" w:hAnsiTheme="majorHAnsi" w:cs="Book Antiqua"/>
          <w:color w:val="000000"/>
        </w:rPr>
        <w:t xml:space="preserve">In recent PG&amp;E GRC </w:t>
      </w:r>
      <w:r w:rsidR="00FD543F">
        <w:rPr>
          <w:rFonts w:asciiTheme="majorHAnsi" w:eastAsia="Times New Roman" w:hAnsiTheme="majorHAnsi" w:cs="Book Antiqua"/>
          <w:color w:val="000000"/>
        </w:rPr>
        <w:t xml:space="preserve">(A.15-09-001) </w:t>
      </w:r>
      <w:r w:rsidRPr="0013055C">
        <w:rPr>
          <w:rFonts w:asciiTheme="majorHAnsi" w:eastAsia="Times New Roman" w:hAnsiTheme="majorHAnsi" w:cs="Book Antiqua"/>
          <w:color w:val="000000"/>
        </w:rPr>
        <w:t>and SCE GRC</w:t>
      </w:r>
      <w:r w:rsidR="00FD543F">
        <w:rPr>
          <w:rFonts w:asciiTheme="majorHAnsi" w:eastAsia="Times New Roman" w:hAnsiTheme="majorHAnsi" w:cs="Book Antiqua"/>
          <w:color w:val="000000"/>
        </w:rPr>
        <w:t xml:space="preserve"> (A.16-09-001)</w:t>
      </w:r>
      <w:r w:rsidRPr="0013055C">
        <w:rPr>
          <w:rFonts w:asciiTheme="majorHAnsi" w:eastAsia="Times New Roman" w:hAnsiTheme="majorHAnsi" w:cs="Book Antiqua"/>
          <w:color w:val="000000"/>
        </w:rPr>
        <w:t xml:space="preserve">, the ALJ has adopted schedules which have afforded ORA sufficient time to file its testimony in early April.  </w:t>
      </w:r>
    </w:p>
    <w:p w:rsidR="0013055C" w:rsidRDefault="00F00273" w:rsidP="00F00273">
      <w:pPr>
        <w:pStyle w:val="ListParagraph"/>
        <w:numPr>
          <w:ilvl w:val="0"/>
          <w:numId w:val="3"/>
        </w:numPr>
        <w:spacing w:after="0" w:line="240" w:lineRule="auto"/>
        <w:rPr>
          <w:rFonts w:asciiTheme="majorHAnsi" w:eastAsia="Times New Roman" w:hAnsiTheme="majorHAnsi" w:cs="Book Antiqua"/>
          <w:color w:val="000000"/>
        </w:rPr>
      </w:pPr>
      <w:r w:rsidRPr="00F00273">
        <w:rPr>
          <w:rFonts w:asciiTheme="majorHAnsi" w:eastAsia="Times New Roman" w:hAnsiTheme="majorHAnsi" w:cs="Book Antiqua"/>
          <w:color w:val="000000"/>
        </w:rPr>
        <w:t>The current GRCs overlap the</w:t>
      </w:r>
      <w:r>
        <w:rPr>
          <w:rFonts w:asciiTheme="majorHAnsi" w:eastAsia="Times New Roman" w:hAnsiTheme="majorHAnsi" w:cs="Book Antiqua"/>
          <w:color w:val="000000"/>
        </w:rPr>
        <w:t xml:space="preserve"> Risk Assessment and Mitig</w:t>
      </w:r>
      <w:r w:rsidRPr="00F00273">
        <w:rPr>
          <w:rFonts w:asciiTheme="majorHAnsi" w:eastAsia="Times New Roman" w:hAnsiTheme="majorHAnsi" w:cs="Book Antiqua"/>
          <w:color w:val="000000"/>
        </w:rPr>
        <w:t>ation Phases (RAMPs) which may impact parties’ ability to fully examine issues in both cases.</w:t>
      </w:r>
    </w:p>
    <w:p w:rsidR="00FD543F" w:rsidRPr="00F00273" w:rsidRDefault="00FD543F" w:rsidP="00FD543F">
      <w:pPr>
        <w:pStyle w:val="ListParagraph"/>
        <w:numPr>
          <w:ilvl w:val="1"/>
          <w:numId w:val="3"/>
        </w:numPr>
        <w:spacing w:after="0" w:line="240" w:lineRule="auto"/>
        <w:rPr>
          <w:rFonts w:asciiTheme="majorHAnsi" w:eastAsia="Times New Roman" w:hAnsiTheme="majorHAnsi" w:cs="Book Antiqua"/>
          <w:color w:val="000000"/>
        </w:rPr>
      </w:pPr>
      <w:r>
        <w:rPr>
          <w:rFonts w:asciiTheme="majorHAnsi" w:eastAsia="Times New Roman" w:hAnsiTheme="majorHAnsi" w:cs="Book Antiqua"/>
          <w:color w:val="000000"/>
        </w:rPr>
        <w:t xml:space="preserve">Any delays in SMAP and RAMP processes could impact GRCs.  </w:t>
      </w:r>
    </w:p>
    <w:p w:rsidR="0013055C" w:rsidRPr="0013055C" w:rsidRDefault="0013055C" w:rsidP="0013055C">
      <w:pPr>
        <w:spacing w:after="0" w:line="240" w:lineRule="auto"/>
        <w:ind w:left="360"/>
        <w:rPr>
          <w:rFonts w:asciiTheme="majorHAnsi" w:eastAsia="Times New Roman" w:hAnsiTheme="majorHAnsi" w:cs="Book Antiqua"/>
          <w:color w:val="000000"/>
        </w:rPr>
      </w:pPr>
    </w:p>
    <w:p w:rsidR="003A60D7" w:rsidRDefault="003A60D7" w:rsidP="003A60D7">
      <w:pPr>
        <w:numPr>
          <w:ilvl w:val="0"/>
          <w:numId w:val="1"/>
        </w:numPr>
        <w:spacing w:after="0" w:line="240" w:lineRule="auto"/>
        <w:ind w:left="360"/>
        <w:rPr>
          <w:rFonts w:asciiTheme="majorHAnsi" w:eastAsia="Times New Roman" w:hAnsiTheme="majorHAnsi" w:cs="Book Antiqua"/>
          <w:color w:val="000000"/>
        </w:rPr>
      </w:pPr>
      <w:r w:rsidRPr="003A60D7">
        <w:rPr>
          <w:rFonts w:asciiTheme="majorHAnsi" w:eastAsia="Times New Roman" w:hAnsiTheme="majorHAnsi" w:cs="Book Antiqua"/>
          <w:color w:val="000000"/>
        </w:rPr>
        <w:t>Are there ways to reduce the complexity of GRC proceedings and streamline GRC filings?  What are they?</w:t>
      </w:r>
    </w:p>
    <w:p w:rsidR="00FD543F" w:rsidRDefault="00FD543F" w:rsidP="00F00273">
      <w:pPr>
        <w:pStyle w:val="ListParagraph"/>
        <w:numPr>
          <w:ilvl w:val="0"/>
          <w:numId w:val="6"/>
        </w:numPr>
        <w:spacing w:after="0" w:line="240" w:lineRule="auto"/>
        <w:rPr>
          <w:rFonts w:asciiTheme="majorHAnsi" w:eastAsia="Times New Roman" w:hAnsiTheme="majorHAnsi" w:cs="Book Antiqua"/>
          <w:color w:val="000000"/>
        </w:rPr>
      </w:pPr>
      <w:r>
        <w:rPr>
          <w:rFonts w:asciiTheme="majorHAnsi" w:eastAsia="Times New Roman" w:hAnsiTheme="majorHAnsi" w:cs="Book Antiqua"/>
          <w:color w:val="000000"/>
        </w:rPr>
        <w:t>Complexity is dependent on the specific application and request.</w:t>
      </w:r>
    </w:p>
    <w:p w:rsidR="00FD543F" w:rsidRDefault="00FD543F" w:rsidP="00FD543F">
      <w:pPr>
        <w:pStyle w:val="ListParagraph"/>
        <w:numPr>
          <w:ilvl w:val="1"/>
          <w:numId w:val="6"/>
        </w:numPr>
        <w:spacing w:after="0" w:line="240" w:lineRule="auto"/>
        <w:rPr>
          <w:rFonts w:asciiTheme="majorHAnsi" w:eastAsia="Times New Roman" w:hAnsiTheme="majorHAnsi" w:cs="Book Antiqua"/>
          <w:color w:val="000000"/>
        </w:rPr>
      </w:pPr>
      <w:r>
        <w:rPr>
          <w:rFonts w:asciiTheme="majorHAnsi" w:eastAsia="Times New Roman" w:hAnsiTheme="majorHAnsi" w:cs="Book Antiqua"/>
          <w:color w:val="000000"/>
        </w:rPr>
        <w:t xml:space="preserve">It may be inevitable given proposed capital investment and the need to support any new programs.  </w:t>
      </w:r>
    </w:p>
    <w:p w:rsidR="00F00273" w:rsidRPr="00F00273" w:rsidRDefault="00F00273" w:rsidP="00F00273">
      <w:pPr>
        <w:pStyle w:val="ListParagraph"/>
        <w:numPr>
          <w:ilvl w:val="0"/>
          <w:numId w:val="6"/>
        </w:numPr>
        <w:spacing w:after="0" w:line="240" w:lineRule="auto"/>
        <w:rPr>
          <w:rFonts w:asciiTheme="majorHAnsi" w:eastAsia="Times New Roman" w:hAnsiTheme="majorHAnsi" w:cs="Book Antiqua"/>
          <w:color w:val="000000"/>
        </w:rPr>
      </w:pPr>
      <w:r w:rsidRPr="00F00273">
        <w:rPr>
          <w:rFonts w:asciiTheme="majorHAnsi" w:eastAsia="Times New Roman" w:hAnsiTheme="majorHAnsi" w:cs="Book Antiqua"/>
          <w:color w:val="000000"/>
        </w:rPr>
        <w:t xml:space="preserve">PG&amp;E could be required to provide one RAMP that covers both the GRC and the Gas Transmission &amp; Storage (GT&amp;S) proceeding.  This would reduce complexity and overlap for </w:t>
      </w:r>
      <w:r w:rsidR="00FD543F">
        <w:rPr>
          <w:rFonts w:asciiTheme="majorHAnsi" w:eastAsia="Times New Roman" w:hAnsiTheme="majorHAnsi" w:cs="Book Antiqua"/>
          <w:color w:val="000000"/>
        </w:rPr>
        <w:t xml:space="preserve">the </w:t>
      </w:r>
      <w:r w:rsidRPr="00F00273">
        <w:rPr>
          <w:rFonts w:asciiTheme="majorHAnsi" w:eastAsia="Times New Roman" w:hAnsiTheme="majorHAnsi" w:cs="Book Antiqua"/>
          <w:color w:val="000000"/>
        </w:rPr>
        <w:t>PG&amp;E</w:t>
      </w:r>
      <w:r w:rsidR="00FD543F">
        <w:rPr>
          <w:rFonts w:asciiTheme="majorHAnsi" w:eastAsia="Times New Roman" w:hAnsiTheme="majorHAnsi" w:cs="Book Antiqua"/>
          <w:color w:val="000000"/>
        </w:rPr>
        <w:t xml:space="preserve"> RAMP</w:t>
      </w:r>
      <w:r w:rsidRPr="00F00273">
        <w:rPr>
          <w:rFonts w:asciiTheme="majorHAnsi" w:eastAsia="Times New Roman" w:hAnsiTheme="majorHAnsi" w:cs="Book Antiqua"/>
          <w:color w:val="000000"/>
        </w:rPr>
        <w:t xml:space="preserve">.  </w:t>
      </w:r>
    </w:p>
    <w:p w:rsidR="00F00273" w:rsidRDefault="00F00273" w:rsidP="00F00273">
      <w:pPr>
        <w:spacing w:after="0" w:line="240" w:lineRule="auto"/>
        <w:ind w:left="360"/>
        <w:rPr>
          <w:rFonts w:asciiTheme="majorHAnsi" w:eastAsia="Times New Roman" w:hAnsiTheme="majorHAnsi" w:cs="Book Antiqua"/>
          <w:color w:val="000000"/>
        </w:rPr>
      </w:pPr>
    </w:p>
    <w:p w:rsidR="00F00273" w:rsidRPr="0013055C" w:rsidRDefault="00F00273" w:rsidP="00F00273">
      <w:pPr>
        <w:spacing w:after="0" w:line="240" w:lineRule="auto"/>
        <w:ind w:left="360"/>
        <w:rPr>
          <w:rFonts w:asciiTheme="majorHAnsi" w:eastAsia="Times New Roman" w:hAnsiTheme="majorHAnsi" w:cs="Book Antiqua"/>
          <w:color w:val="000000"/>
        </w:rPr>
      </w:pPr>
    </w:p>
    <w:p w:rsidR="003A60D7" w:rsidRDefault="003A60D7" w:rsidP="003A60D7">
      <w:pPr>
        <w:numPr>
          <w:ilvl w:val="0"/>
          <w:numId w:val="1"/>
        </w:numPr>
        <w:spacing w:after="0" w:line="240" w:lineRule="auto"/>
        <w:ind w:left="360"/>
        <w:rPr>
          <w:rFonts w:asciiTheme="majorHAnsi" w:eastAsia="Times New Roman" w:hAnsiTheme="majorHAnsi" w:cs="Book Antiqua"/>
          <w:color w:val="000000"/>
        </w:rPr>
      </w:pPr>
      <w:r w:rsidRPr="003A60D7">
        <w:rPr>
          <w:rFonts w:asciiTheme="majorHAnsi" w:eastAsia="Times New Roman" w:hAnsiTheme="majorHAnsi" w:cs="Book Antiqua"/>
          <w:color w:val="000000"/>
        </w:rPr>
        <w:t>What are other areas needing improvement within the current Rate Case Plan?</w:t>
      </w:r>
    </w:p>
    <w:p w:rsidR="00FD543F" w:rsidRDefault="00FD543F" w:rsidP="00FD543F">
      <w:pPr>
        <w:pStyle w:val="ListParagraph"/>
        <w:numPr>
          <w:ilvl w:val="0"/>
          <w:numId w:val="8"/>
        </w:numPr>
        <w:spacing w:after="0" w:line="240" w:lineRule="auto"/>
        <w:rPr>
          <w:rFonts w:asciiTheme="majorHAnsi" w:eastAsia="Times New Roman" w:hAnsiTheme="majorHAnsi" w:cs="Book Antiqua"/>
          <w:color w:val="000000"/>
        </w:rPr>
      </w:pPr>
      <w:r>
        <w:rPr>
          <w:rFonts w:asciiTheme="majorHAnsi" w:eastAsia="Times New Roman" w:hAnsiTheme="majorHAnsi" w:cs="Book Antiqua"/>
          <w:color w:val="000000"/>
        </w:rPr>
        <w:t xml:space="preserve">There is evidence that eliminating the NOI may be problematic. </w:t>
      </w:r>
    </w:p>
    <w:p w:rsidR="00FD543F" w:rsidRPr="00FD543F" w:rsidRDefault="00FD543F" w:rsidP="00FD543F">
      <w:pPr>
        <w:pStyle w:val="ListParagraph"/>
        <w:numPr>
          <w:ilvl w:val="1"/>
          <w:numId w:val="8"/>
        </w:numPr>
        <w:spacing w:after="0" w:line="240" w:lineRule="auto"/>
        <w:rPr>
          <w:rFonts w:asciiTheme="majorHAnsi" w:eastAsia="Times New Roman" w:hAnsiTheme="majorHAnsi" w:cs="Book Antiqua"/>
          <w:color w:val="000000"/>
        </w:rPr>
      </w:pPr>
      <w:r>
        <w:rPr>
          <w:rFonts w:asciiTheme="majorHAnsi" w:eastAsia="Times New Roman" w:hAnsiTheme="majorHAnsi" w:cs="Book Antiqua"/>
          <w:color w:val="000000"/>
        </w:rPr>
        <w:t xml:space="preserve">Must use discovery </w:t>
      </w:r>
      <w:r w:rsidR="005A4F26">
        <w:rPr>
          <w:rFonts w:asciiTheme="majorHAnsi" w:eastAsia="Times New Roman" w:hAnsiTheme="majorHAnsi" w:cs="Book Antiqua"/>
          <w:color w:val="000000"/>
        </w:rPr>
        <w:t>(within a shorter time frame) to obtain basic historical data</w:t>
      </w:r>
      <w:r>
        <w:rPr>
          <w:rFonts w:asciiTheme="majorHAnsi" w:eastAsia="Times New Roman" w:hAnsiTheme="majorHAnsi" w:cs="Book Antiqua"/>
          <w:color w:val="000000"/>
        </w:rPr>
        <w:t xml:space="preserve"> and appropriate support </w:t>
      </w:r>
      <w:r w:rsidR="005A4F26">
        <w:rPr>
          <w:rFonts w:asciiTheme="majorHAnsi" w:eastAsia="Times New Roman" w:hAnsiTheme="majorHAnsi" w:cs="Book Antiqua"/>
          <w:color w:val="000000"/>
        </w:rPr>
        <w:t xml:space="preserve">for programs / forecasts </w:t>
      </w:r>
      <w:r>
        <w:rPr>
          <w:rFonts w:asciiTheme="majorHAnsi" w:eastAsia="Times New Roman" w:hAnsiTheme="majorHAnsi" w:cs="Book Antiqua"/>
          <w:color w:val="000000"/>
        </w:rPr>
        <w:t xml:space="preserve">which had been circumvented through the NOI process. </w:t>
      </w:r>
    </w:p>
    <w:p w:rsidR="00F00273" w:rsidRPr="0013055C" w:rsidRDefault="00F00273" w:rsidP="00F00273">
      <w:pPr>
        <w:spacing w:after="0" w:line="240" w:lineRule="auto"/>
        <w:ind w:left="360"/>
        <w:rPr>
          <w:rFonts w:asciiTheme="majorHAnsi" w:eastAsia="Times New Roman" w:hAnsiTheme="majorHAnsi" w:cs="Book Antiqua"/>
          <w:color w:val="000000"/>
        </w:rPr>
      </w:pPr>
    </w:p>
    <w:p w:rsidR="003A60D7" w:rsidRDefault="003A60D7" w:rsidP="003A60D7">
      <w:pPr>
        <w:numPr>
          <w:ilvl w:val="0"/>
          <w:numId w:val="1"/>
        </w:numPr>
        <w:spacing w:after="0" w:line="240" w:lineRule="auto"/>
        <w:ind w:left="360"/>
        <w:rPr>
          <w:rFonts w:asciiTheme="majorHAnsi" w:eastAsia="Times New Roman" w:hAnsiTheme="majorHAnsi" w:cs="Book Antiqua"/>
          <w:color w:val="000000"/>
        </w:rPr>
      </w:pPr>
      <w:r w:rsidRPr="003A60D7">
        <w:rPr>
          <w:rFonts w:asciiTheme="majorHAnsi" w:eastAsia="Times New Roman" w:hAnsiTheme="majorHAnsi" w:cs="Book Antiqua"/>
          <w:color w:val="000000"/>
        </w:rPr>
        <w:t>Are there things the utilities or parties can do to assist the Commission to review GRC filings more efficiently?  If so, what are they?</w:t>
      </w:r>
    </w:p>
    <w:p w:rsidR="00F00273" w:rsidRDefault="00F00273" w:rsidP="00F00273">
      <w:pPr>
        <w:pStyle w:val="ListParagraph"/>
        <w:numPr>
          <w:ilvl w:val="0"/>
          <w:numId w:val="4"/>
        </w:numPr>
        <w:spacing w:after="0" w:line="240" w:lineRule="auto"/>
        <w:rPr>
          <w:rFonts w:asciiTheme="majorHAnsi" w:eastAsia="Times New Roman" w:hAnsiTheme="majorHAnsi" w:cs="Book Antiqua"/>
          <w:color w:val="000000"/>
        </w:rPr>
      </w:pPr>
      <w:r w:rsidRPr="00F00273">
        <w:rPr>
          <w:rFonts w:asciiTheme="majorHAnsi" w:eastAsia="Times New Roman" w:hAnsiTheme="majorHAnsi" w:cs="Book Antiqua"/>
          <w:color w:val="000000"/>
        </w:rPr>
        <w:t xml:space="preserve">The filing of ORA testimony in April allows ORA to obtain recorded data for capital investments in one of the three capital investment forecast years.  The ability to produce this information, incorporate the data into its testimony and present the data to the Commission provides some efficiency since it allows for consideration of additional capital investment recorded data for the record.   </w:t>
      </w:r>
    </w:p>
    <w:p w:rsidR="005A4F26" w:rsidRPr="00F00273" w:rsidRDefault="005A4F26" w:rsidP="00F00273">
      <w:pPr>
        <w:pStyle w:val="ListParagraph"/>
        <w:numPr>
          <w:ilvl w:val="0"/>
          <w:numId w:val="4"/>
        </w:numPr>
        <w:spacing w:after="0" w:line="240" w:lineRule="auto"/>
        <w:rPr>
          <w:rFonts w:asciiTheme="majorHAnsi" w:eastAsia="Times New Roman" w:hAnsiTheme="majorHAnsi" w:cs="Book Antiqua"/>
          <w:color w:val="000000"/>
        </w:rPr>
      </w:pPr>
      <w:r>
        <w:rPr>
          <w:rFonts w:asciiTheme="majorHAnsi" w:eastAsia="Times New Roman" w:hAnsiTheme="majorHAnsi" w:cs="Book Antiqua"/>
          <w:color w:val="000000"/>
        </w:rPr>
        <w:t xml:space="preserve">Utilities are holding informational workshops to inform and educate parties and ALJ/Commission staff.  </w:t>
      </w:r>
    </w:p>
    <w:p w:rsidR="003A60D7" w:rsidRPr="003A60D7" w:rsidRDefault="003A60D7" w:rsidP="003A60D7">
      <w:pPr>
        <w:spacing w:after="0" w:line="240" w:lineRule="auto"/>
        <w:rPr>
          <w:rFonts w:ascii="Book Antiqua" w:eastAsia="Times New Roman" w:hAnsi="Book Antiqua" w:cs="Book Antiqua"/>
          <w:color w:val="000000"/>
          <w:sz w:val="18"/>
          <w:szCs w:val="19"/>
        </w:rPr>
      </w:pPr>
    </w:p>
    <w:p w:rsidR="00770227" w:rsidRDefault="00770227">
      <w:r>
        <w:br w:type="page"/>
      </w:r>
    </w:p>
    <w:p w:rsidR="003A60D7" w:rsidRDefault="003A60D7"/>
    <w:p w:rsidR="003A60D7" w:rsidRDefault="003A60D7">
      <w:r>
        <w:t>Exploring the pros and cons of a 3-year vs 4-year GRC cycle</w:t>
      </w:r>
    </w:p>
    <w:p w:rsidR="003A60D7" w:rsidRDefault="003A60D7">
      <w:r>
        <w:t>Discussions</w:t>
      </w:r>
    </w:p>
    <w:p w:rsidR="003A60D7" w:rsidRDefault="003A60D7" w:rsidP="003A60D7">
      <w:pPr>
        <w:numPr>
          <w:ilvl w:val="0"/>
          <w:numId w:val="2"/>
        </w:numPr>
        <w:spacing w:after="0" w:line="240" w:lineRule="auto"/>
        <w:ind w:left="360"/>
        <w:rPr>
          <w:rFonts w:eastAsia="Times New Roman" w:cs="Book Antiqua"/>
          <w:color w:val="000000"/>
        </w:rPr>
      </w:pPr>
      <w:r w:rsidRPr="003A60D7">
        <w:rPr>
          <w:rFonts w:eastAsia="Times New Roman" w:cs="Book Antiqua"/>
          <w:color w:val="000000"/>
        </w:rPr>
        <w:t xml:space="preserve">Does a 4-year GRC cycle relieve constrained resources issues (Commission staff – ALJ, ED, SED, ORA, </w:t>
      </w:r>
      <w:proofErr w:type="gramStart"/>
      <w:r w:rsidRPr="003A60D7">
        <w:rPr>
          <w:rFonts w:eastAsia="Times New Roman" w:cs="Book Antiqua"/>
          <w:color w:val="000000"/>
        </w:rPr>
        <w:t>parties</w:t>
      </w:r>
      <w:proofErr w:type="gramEnd"/>
      <w:r w:rsidRPr="003A60D7">
        <w:rPr>
          <w:rFonts w:eastAsia="Times New Roman" w:cs="Book Antiqua"/>
          <w:color w:val="000000"/>
        </w:rPr>
        <w:t xml:space="preserve">)?  What resources would be freed up with the 4-year </w:t>
      </w:r>
      <w:proofErr w:type="gramStart"/>
      <w:r w:rsidRPr="003A60D7">
        <w:rPr>
          <w:rFonts w:eastAsia="Times New Roman" w:cs="Book Antiqua"/>
          <w:color w:val="000000"/>
        </w:rPr>
        <w:t>cycle that are</w:t>
      </w:r>
      <w:proofErr w:type="gramEnd"/>
      <w:r w:rsidRPr="003A60D7">
        <w:rPr>
          <w:rFonts w:eastAsia="Times New Roman" w:cs="Book Antiqua"/>
          <w:color w:val="000000"/>
        </w:rPr>
        <w:t xml:space="preserve"> currently constrained by the 3-year GRC cycle?</w:t>
      </w:r>
    </w:p>
    <w:p w:rsidR="00F00273" w:rsidRPr="002A495D" w:rsidRDefault="002A495D" w:rsidP="002A495D">
      <w:pPr>
        <w:pStyle w:val="ListParagraph"/>
        <w:numPr>
          <w:ilvl w:val="0"/>
          <w:numId w:val="4"/>
        </w:numPr>
        <w:spacing w:after="0" w:line="240" w:lineRule="auto"/>
        <w:rPr>
          <w:rFonts w:eastAsia="Times New Roman" w:cs="Book Antiqua"/>
          <w:color w:val="000000"/>
        </w:rPr>
      </w:pPr>
      <w:r w:rsidRPr="002A495D">
        <w:rPr>
          <w:rFonts w:eastAsia="Times New Roman" w:cs="Book Antiqua"/>
          <w:color w:val="000000"/>
        </w:rPr>
        <w:t xml:space="preserve">Resources are constrained and timing of cases are impacted </w:t>
      </w:r>
      <w:r w:rsidR="005042E5">
        <w:rPr>
          <w:rFonts w:eastAsia="Times New Roman" w:cs="Book Antiqua"/>
          <w:color w:val="000000"/>
        </w:rPr>
        <w:t xml:space="preserve">when there is overlap among </w:t>
      </w:r>
      <w:r w:rsidRPr="002A495D">
        <w:rPr>
          <w:rFonts w:eastAsia="Times New Roman" w:cs="Book Antiqua"/>
          <w:color w:val="000000"/>
        </w:rPr>
        <w:t xml:space="preserve">GRC </w:t>
      </w:r>
      <w:r w:rsidR="005042E5">
        <w:rPr>
          <w:rFonts w:eastAsia="Times New Roman" w:cs="Book Antiqua"/>
          <w:color w:val="000000"/>
        </w:rPr>
        <w:t>proceedings</w:t>
      </w:r>
      <w:r w:rsidRPr="002A495D">
        <w:rPr>
          <w:rFonts w:eastAsia="Times New Roman" w:cs="Book Antiqua"/>
          <w:color w:val="000000"/>
        </w:rPr>
        <w:t xml:space="preserve"> (i.e. TY 2015 SCE GRC and PG&amp;E GT&amp;S) </w:t>
      </w:r>
    </w:p>
    <w:p w:rsidR="002A495D" w:rsidRDefault="002A495D" w:rsidP="002A495D">
      <w:pPr>
        <w:pStyle w:val="ListParagraph"/>
        <w:numPr>
          <w:ilvl w:val="0"/>
          <w:numId w:val="4"/>
        </w:numPr>
        <w:spacing w:after="0" w:line="240" w:lineRule="auto"/>
        <w:rPr>
          <w:rFonts w:eastAsia="Times New Roman" w:cs="Book Antiqua"/>
          <w:color w:val="000000"/>
        </w:rPr>
      </w:pPr>
      <w:r w:rsidRPr="002A495D">
        <w:rPr>
          <w:rFonts w:eastAsia="Times New Roman" w:cs="Book Antiqua"/>
          <w:color w:val="000000"/>
        </w:rPr>
        <w:t xml:space="preserve">It will reduce overlap in the various processes – the Safety Model Assessment Proceedings (SMAP), the RAMPs and the GRCs. </w:t>
      </w:r>
    </w:p>
    <w:p w:rsidR="005A4F26" w:rsidRPr="002A495D" w:rsidRDefault="005A4F26" w:rsidP="002A495D">
      <w:pPr>
        <w:pStyle w:val="ListParagraph"/>
        <w:numPr>
          <w:ilvl w:val="0"/>
          <w:numId w:val="4"/>
        </w:numPr>
        <w:spacing w:after="0" w:line="240" w:lineRule="auto"/>
        <w:rPr>
          <w:rFonts w:eastAsia="Times New Roman" w:cs="Book Antiqua"/>
          <w:color w:val="000000"/>
        </w:rPr>
      </w:pPr>
      <w:r>
        <w:rPr>
          <w:rFonts w:eastAsia="Times New Roman" w:cs="Book Antiqua"/>
          <w:color w:val="000000"/>
        </w:rPr>
        <w:t>Current example: TY 2019 GRCs will be filed in late 201</w:t>
      </w:r>
      <w:r w:rsidR="005042E5">
        <w:rPr>
          <w:rFonts w:eastAsia="Times New Roman" w:cs="Book Antiqua"/>
          <w:color w:val="000000"/>
        </w:rPr>
        <w:t>7</w:t>
      </w:r>
      <w:r>
        <w:rPr>
          <w:rFonts w:eastAsia="Times New Roman" w:cs="Book Antiqua"/>
          <w:color w:val="000000"/>
        </w:rPr>
        <w:t xml:space="preserve"> for PG&amp;E GT&amp;S; Sempra utilities (</w:t>
      </w:r>
      <w:proofErr w:type="spellStart"/>
      <w:r>
        <w:rPr>
          <w:rFonts w:eastAsia="Times New Roman" w:cs="Book Antiqua"/>
          <w:color w:val="000000"/>
        </w:rPr>
        <w:t>SoCalGas</w:t>
      </w:r>
      <w:proofErr w:type="spellEnd"/>
      <w:r>
        <w:rPr>
          <w:rFonts w:eastAsia="Times New Roman" w:cs="Book Antiqua"/>
          <w:color w:val="000000"/>
        </w:rPr>
        <w:t xml:space="preserve"> and SDG&amp;E) and PacifiCorp.  Also possibly Southwest Gas.  This equates to constrained resources at every level of the Commission, but especially acute for ORA.  If a 4-year rate case cycle had been adopted for Sempra utilities GRC then it would have a TY 2020 thereby alleviating the current constrained resources situation for late 2018 – 2019.   </w:t>
      </w:r>
      <w:r w:rsidR="001E5435">
        <w:rPr>
          <w:rFonts w:eastAsia="Times New Roman" w:cs="Book Antiqua"/>
          <w:color w:val="000000"/>
        </w:rPr>
        <w:t>Note that t</w:t>
      </w:r>
      <w:r>
        <w:rPr>
          <w:rFonts w:eastAsia="Times New Roman" w:cs="Book Antiqua"/>
          <w:color w:val="000000"/>
        </w:rPr>
        <w:t xml:space="preserve">his example, does not consider the additional RAMP and SMAP responsibilities.  </w:t>
      </w:r>
    </w:p>
    <w:p w:rsidR="002A495D" w:rsidRPr="0013055C" w:rsidRDefault="002A495D" w:rsidP="00F00273">
      <w:pPr>
        <w:spacing w:after="0" w:line="240" w:lineRule="auto"/>
        <w:rPr>
          <w:rFonts w:eastAsia="Times New Roman" w:cs="Book Antiqua"/>
          <w:color w:val="000000"/>
        </w:rPr>
      </w:pPr>
    </w:p>
    <w:p w:rsidR="003A60D7" w:rsidRPr="003A60D7" w:rsidRDefault="003A60D7" w:rsidP="0013055C">
      <w:pPr>
        <w:numPr>
          <w:ilvl w:val="0"/>
          <w:numId w:val="2"/>
        </w:numPr>
        <w:spacing w:after="0" w:line="240" w:lineRule="auto"/>
        <w:ind w:left="360"/>
        <w:rPr>
          <w:rFonts w:eastAsia="Times New Roman" w:cs="Book Antiqua"/>
          <w:color w:val="000000"/>
        </w:rPr>
      </w:pPr>
      <w:r w:rsidRPr="003A60D7">
        <w:rPr>
          <w:rFonts w:eastAsia="Times New Roman" w:cs="Book Antiqua"/>
          <w:color w:val="000000"/>
        </w:rPr>
        <w:t xml:space="preserve">What processes and/or procedures are improved with a 4-year GRC cycle?  </w:t>
      </w:r>
    </w:p>
    <w:p w:rsidR="003A60D7" w:rsidRDefault="0013055C" w:rsidP="0013055C">
      <w:pPr>
        <w:spacing w:after="0" w:line="240" w:lineRule="auto"/>
        <w:rPr>
          <w:rFonts w:eastAsia="Times New Roman" w:cs="Book Antiqua"/>
          <w:color w:val="000000"/>
        </w:rPr>
      </w:pPr>
      <w:r w:rsidRPr="0013055C">
        <w:rPr>
          <w:rFonts w:eastAsia="Times New Roman" w:cs="Book Antiqua"/>
          <w:color w:val="000000"/>
        </w:rPr>
        <w:t xml:space="preserve">       </w:t>
      </w:r>
      <w:r w:rsidR="003A60D7" w:rsidRPr="003A60D7">
        <w:rPr>
          <w:rFonts w:eastAsia="Times New Roman" w:cs="Book Antiqua"/>
          <w:color w:val="000000"/>
        </w:rPr>
        <w:t xml:space="preserve">What other benefits does a 4-year GRC cycle bring? </w:t>
      </w:r>
    </w:p>
    <w:p w:rsidR="00D476C2" w:rsidRDefault="00D476C2" w:rsidP="00770227">
      <w:pPr>
        <w:pStyle w:val="ListParagraph"/>
        <w:numPr>
          <w:ilvl w:val="0"/>
          <w:numId w:val="10"/>
        </w:numPr>
        <w:spacing w:after="0" w:line="240" w:lineRule="auto"/>
        <w:rPr>
          <w:rFonts w:eastAsia="Times New Roman" w:cs="Book Antiqua"/>
          <w:b/>
          <w:color w:val="000000"/>
        </w:rPr>
      </w:pPr>
      <w:r w:rsidRPr="00770227">
        <w:rPr>
          <w:rFonts w:eastAsia="Times New Roman" w:cs="Book Antiqua"/>
          <w:b/>
          <w:color w:val="000000"/>
        </w:rPr>
        <w:t xml:space="preserve">Elimination of Overlapping </w:t>
      </w:r>
      <w:r w:rsidR="002A495D" w:rsidRPr="00770227">
        <w:rPr>
          <w:rFonts w:eastAsia="Times New Roman" w:cs="Book Antiqua"/>
          <w:b/>
          <w:color w:val="000000"/>
        </w:rPr>
        <w:t xml:space="preserve">Major </w:t>
      </w:r>
      <w:r w:rsidR="005042E5">
        <w:rPr>
          <w:rFonts w:eastAsia="Times New Roman" w:cs="Book Antiqua"/>
          <w:b/>
          <w:color w:val="000000"/>
        </w:rPr>
        <w:t xml:space="preserve">Energy </w:t>
      </w:r>
      <w:r w:rsidR="002A495D" w:rsidRPr="00770227">
        <w:rPr>
          <w:rFonts w:eastAsia="Times New Roman" w:cs="Book Antiqua"/>
          <w:b/>
          <w:color w:val="000000"/>
        </w:rPr>
        <w:t xml:space="preserve">GRC </w:t>
      </w:r>
      <w:r w:rsidR="005042E5">
        <w:rPr>
          <w:rFonts w:eastAsia="Times New Roman" w:cs="Book Antiqua"/>
          <w:b/>
          <w:color w:val="000000"/>
        </w:rPr>
        <w:t>Proceedings</w:t>
      </w:r>
    </w:p>
    <w:p w:rsidR="00D62A72" w:rsidRPr="00770227" w:rsidRDefault="00F00273" w:rsidP="00770227">
      <w:pPr>
        <w:pStyle w:val="ListParagraph"/>
        <w:numPr>
          <w:ilvl w:val="0"/>
          <w:numId w:val="10"/>
        </w:numPr>
        <w:spacing w:after="0" w:line="240" w:lineRule="auto"/>
        <w:rPr>
          <w:rFonts w:eastAsia="Times New Roman" w:cs="Book Antiqua"/>
          <w:b/>
          <w:color w:val="000000"/>
        </w:rPr>
      </w:pPr>
      <w:r w:rsidRPr="00770227">
        <w:rPr>
          <w:rFonts w:eastAsia="Times New Roman" w:cs="Book Antiqua"/>
          <w:b/>
          <w:color w:val="000000"/>
        </w:rPr>
        <w:t xml:space="preserve">Evaluation of one major energy utility rate case per year: </w:t>
      </w:r>
    </w:p>
    <w:p w:rsidR="00D62A72" w:rsidRPr="00D62A72" w:rsidRDefault="00F00273" w:rsidP="00770227">
      <w:pPr>
        <w:pStyle w:val="ListParagraph"/>
        <w:numPr>
          <w:ilvl w:val="0"/>
          <w:numId w:val="11"/>
        </w:numPr>
        <w:spacing w:after="0" w:line="240" w:lineRule="auto"/>
        <w:rPr>
          <w:rFonts w:eastAsia="Times New Roman" w:cs="Book Antiqua"/>
          <w:color w:val="000000"/>
        </w:rPr>
      </w:pPr>
      <w:r w:rsidRPr="00D62A72">
        <w:rPr>
          <w:rFonts w:eastAsia="Times New Roman" w:cs="Book Antiqua"/>
          <w:color w:val="000000"/>
        </w:rPr>
        <w:t>PG&amp;E</w:t>
      </w:r>
      <w:r w:rsidR="00D62A72" w:rsidRPr="00D62A72">
        <w:rPr>
          <w:rFonts w:eastAsia="Times New Roman" w:cs="Book Antiqua"/>
          <w:color w:val="000000"/>
        </w:rPr>
        <w:t xml:space="preserve"> (Gas &amp; Electric Dist. </w:t>
      </w:r>
      <w:r w:rsidR="00770227">
        <w:rPr>
          <w:rFonts w:eastAsia="Times New Roman" w:cs="Book Antiqua"/>
          <w:color w:val="000000"/>
        </w:rPr>
        <w:t>a</w:t>
      </w:r>
      <w:r w:rsidR="00D62A72" w:rsidRPr="00D62A72">
        <w:rPr>
          <w:rFonts w:eastAsia="Times New Roman" w:cs="Book Antiqua"/>
          <w:color w:val="000000"/>
        </w:rPr>
        <w:t xml:space="preserve">nd Gen.); </w:t>
      </w:r>
    </w:p>
    <w:p w:rsidR="00D62A72" w:rsidRPr="00D62A72" w:rsidRDefault="00D62A72" w:rsidP="00770227">
      <w:pPr>
        <w:pStyle w:val="ListParagraph"/>
        <w:numPr>
          <w:ilvl w:val="0"/>
          <w:numId w:val="11"/>
        </w:numPr>
        <w:spacing w:after="0" w:line="240" w:lineRule="auto"/>
        <w:rPr>
          <w:rFonts w:eastAsia="Times New Roman" w:cs="Book Antiqua"/>
          <w:color w:val="000000"/>
        </w:rPr>
      </w:pPr>
      <w:r w:rsidRPr="00D62A72">
        <w:rPr>
          <w:rFonts w:eastAsia="Times New Roman" w:cs="Book Antiqua"/>
          <w:color w:val="000000"/>
        </w:rPr>
        <w:t xml:space="preserve">PG&amp;E Gas Transmission &amp; Storage; </w:t>
      </w:r>
    </w:p>
    <w:p w:rsidR="00F00273" w:rsidRPr="00D62A72" w:rsidRDefault="00D62A72" w:rsidP="00770227">
      <w:pPr>
        <w:pStyle w:val="ListParagraph"/>
        <w:numPr>
          <w:ilvl w:val="0"/>
          <w:numId w:val="11"/>
        </w:numPr>
        <w:spacing w:after="0" w:line="240" w:lineRule="auto"/>
        <w:rPr>
          <w:rFonts w:eastAsia="Times New Roman" w:cs="Book Antiqua"/>
          <w:color w:val="000000"/>
        </w:rPr>
      </w:pPr>
      <w:r w:rsidRPr="00D62A72">
        <w:rPr>
          <w:rFonts w:eastAsia="Times New Roman" w:cs="Book Antiqua"/>
          <w:color w:val="000000"/>
        </w:rPr>
        <w:t>Sempra Utilities (</w:t>
      </w:r>
      <w:proofErr w:type="spellStart"/>
      <w:r w:rsidRPr="00D62A72">
        <w:rPr>
          <w:rFonts w:eastAsia="Times New Roman" w:cs="Book Antiqua"/>
          <w:color w:val="000000"/>
        </w:rPr>
        <w:t>SoCalGas</w:t>
      </w:r>
      <w:proofErr w:type="spellEnd"/>
      <w:r w:rsidRPr="00D62A72">
        <w:rPr>
          <w:rFonts w:eastAsia="Times New Roman" w:cs="Book Antiqua"/>
          <w:color w:val="000000"/>
        </w:rPr>
        <w:t xml:space="preserve"> &amp; SDG&amp;E Gas and Electric Operations)</w:t>
      </w:r>
    </w:p>
    <w:p w:rsidR="00D62A72" w:rsidRPr="00D62A72" w:rsidRDefault="00D62A72" w:rsidP="00770227">
      <w:pPr>
        <w:pStyle w:val="ListParagraph"/>
        <w:numPr>
          <w:ilvl w:val="0"/>
          <w:numId w:val="11"/>
        </w:numPr>
        <w:spacing w:after="0" w:line="240" w:lineRule="auto"/>
        <w:rPr>
          <w:rFonts w:eastAsia="Times New Roman" w:cs="Book Antiqua"/>
          <w:color w:val="000000"/>
        </w:rPr>
      </w:pPr>
      <w:r w:rsidRPr="00D62A72">
        <w:rPr>
          <w:rFonts w:eastAsia="Times New Roman" w:cs="Book Antiqua"/>
          <w:color w:val="000000"/>
        </w:rPr>
        <w:t xml:space="preserve">Southern California Edison Company </w:t>
      </w:r>
    </w:p>
    <w:p w:rsidR="00F00273" w:rsidRDefault="00F00273" w:rsidP="0013055C">
      <w:pPr>
        <w:spacing w:after="0" w:line="240" w:lineRule="auto"/>
        <w:rPr>
          <w:rFonts w:eastAsia="Times New Roman" w:cs="Book Antiqua"/>
          <w:color w:val="000000"/>
        </w:rPr>
      </w:pPr>
    </w:p>
    <w:p w:rsidR="001E5435" w:rsidRPr="001E5435" w:rsidRDefault="00D476C2" w:rsidP="001E5435">
      <w:pPr>
        <w:pStyle w:val="ListParagraph"/>
        <w:numPr>
          <w:ilvl w:val="0"/>
          <w:numId w:val="4"/>
        </w:numPr>
        <w:spacing w:after="0" w:line="240" w:lineRule="auto"/>
        <w:rPr>
          <w:rFonts w:eastAsia="Times New Roman" w:cs="Book Antiqua"/>
          <w:b/>
          <w:color w:val="000000"/>
        </w:rPr>
      </w:pPr>
      <w:r w:rsidRPr="001E5435">
        <w:rPr>
          <w:rFonts w:eastAsia="Times New Roman" w:cs="Book Antiqua"/>
          <w:b/>
          <w:color w:val="000000"/>
        </w:rPr>
        <w:t>In a 3-</w:t>
      </w:r>
      <w:r w:rsidR="00D62A72" w:rsidRPr="001E5435">
        <w:rPr>
          <w:rFonts w:eastAsia="Times New Roman" w:cs="Book Antiqua"/>
          <w:b/>
          <w:color w:val="000000"/>
        </w:rPr>
        <w:t>year GRC cycle the Current Test Year is the Base Year for the following GRC</w:t>
      </w:r>
      <w:r w:rsidR="001E5435" w:rsidRPr="001E5435">
        <w:rPr>
          <w:rFonts w:eastAsia="Times New Roman" w:cs="Book Antiqua"/>
          <w:b/>
          <w:color w:val="000000"/>
        </w:rPr>
        <w:t xml:space="preserve">. </w:t>
      </w:r>
      <w:r w:rsidR="00D62A72" w:rsidRPr="001E5435">
        <w:rPr>
          <w:rFonts w:eastAsia="Times New Roman" w:cs="Book Antiqua"/>
          <w:b/>
          <w:color w:val="000000"/>
        </w:rPr>
        <w:t xml:space="preserve"> </w:t>
      </w:r>
    </w:p>
    <w:p w:rsidR="001E5435" w:rsidRDefault="001E5435" w:rsidP="00770227">
      <w:pPr>
        <w:pStyle w:val="ListParagraph"/>
        <w:numPr>
          <w:ilvl w:val="1"/>
          <w:numId w:val="4"/>
        </w:numPr>
        <w:spacing w:after="0" w:line="240" w:lineRule="auto"/>
        <w:ind w:left="1440"/>
        <w:rPr>
          <w:rFonts w:eastAsia="Times New Roman" w:cs="Book Antiqua"/>
          <w:color w:val="000000"/>
        </w:rPr>
      </w:pPr>
      <w:r w:rsidRPr="00770227">
        <w:rPr>
          <w:rFonts w:eastAsia="Times New Roman" w:cs="Book Antiqua"/>
          <w:color w:val="000000"/>
        </w:rPr>
        <w:t>Recorded test year costs may not be representative of future costs as utilities are often initiating new programs during the test year and initial costs may not reflect a more stable level of expenditures and expenses.  (Utilities have often commented on h</w:t>
      </w:r>
      <w:r w:rsidR="005042E5">
        <w:rPr>
          <w:rFonts w:eastAsia="Times New Roman" w:cs="Book Antiqua"/>
          <w:color w:val="000000"/>
        </w:rPr>
        <w:t>ow the delays impact test-year recorded</w:t>
      </w:r>
      <w:r w:rsidRPr="00770227">
        <w:rPr>
          <w:rFonts w:eastAsia="Times New Roman" w:cs="Book Antiqua"/>
          <w:color w:val="000000"/>
        </w:rPr>
        <w:t xml:space="preserve"> costs.)</w:t>
      </w:r>
    </w:p>
    <w:p w:rsidR="00770227" w:rsidRPr="00770227" w:rsidRDefault="00770227" w:rsidP="00770227">
      <w:pPr>
        <w:pStyle w:val="ListParagraph"/>
        <w:spacing w:after="0" w:line="240" w:lineRule="auto"/>
        <w:ind w:left="1440"/>
        <w:rPr>
          <w:rFonts w:eastAsia="Times New Roman" w:cs="Book Antiqua"/>
          <w:color w:val="000000"/>
        </w:rPr>
      </w:pPr>
    </w:p>
    <w:p w:rsidR="001E5435" w:rsidRPr="001E5435" w:rsidRDefault="00D476C2" w:rsidP="001E5435">
      <w:pPr>
        <w:pStyle w:val="ListParagraph"/>
        <w:numPr>
          <w:ilvl w:val="0"/>
          <w:numId w:val="4"/>
        </w:numPr>
        <w:spacing w:after="0" w:line="240" w:lineRule="auto"/>
        <w:rPr>
          <w:rFonts w:eastAsia="Times New Roman" w:cs="Book Antiqua"/>
          <w:b/>
          <w:color w:val="000000"/>
        </w:rPr>
      </w:pPr>
      <w:r w:rsidRPr="002A495D">
        <w:rPr>
          <w:rFonts w:eastAsia="Times New Roman" w:cs="Book Antiqua"/>
          <w:b/>
          <w:color w:val="000000"/>
        </w:rPr>
        <w:t xml:space="preserve">A 4-year GRC cycle </w:t>
      </w:r>
      <w:r w:rsidR="002A495D" w:rsidRPr="002A495D">
        <w:rPr>
          <w:rFonts w:eastAsia="Times New Roman" w:cs="Book Antiqua"/>
          <w:b/>
          <w:color w:val="000000"/>
        </w:rPr>
        <w:t>will use the year after the test year as the Base Year for the ensuing GRC</w:t>
      </w:r>
      <w:r w:rsidR="001E5435">
        <w:rPr>
          <w:rFonts w:eastAsia="Times New Roman" w:cs="Book Antiqua"/>
          <w:b/>
          <w:color w:val="000000"/>
        </w:rPr>
        <w:t xml:space="preserve">. </w:t>
      </w:r>
    </w:p>
    <w:p w:rsidR="001E5435" w:rsidRPr="00770227" w:rsidRDefault="001E5435" w:rsidP="00770227">
      <w:pPr>
        <w:pStyle w:val="ListParagraph"/>
        <w:numPr>
          <w:ilvl w:val="1"/>
          <w:numId w:val="4"/>
        </w:numPr>
        <w:spacing w:after="0" w:line="240" w:lineRule="auto"/>
        <w:ind w:left="1440"/>
        <w:rPr>
          <w:rFonts w:eastAsia="Times New Roman" w:cs="Book Antiqua"/>
          <w:color w:val="000000"/>
        </w:rPr>
      </w:pPr>
      <w:r w:rsidRPr="00770227">
        <w:rPr>
          <w:rFonts w:eastAsia="Times New Roman" w:cs="Book Antiqua"/>
          <w:color w:val="000000"/>
        </w:rPr>
        <w:t xml:space="preserve">Allows utilities time to implement </w:t>
      </w:r>
      <w:r w:rsidR="005042E5">
        <w:rPr>
          <w:rFonts w:eastAsia="Times New Roman" w:cs="Book Antiqua"/>
          <w:color w:val="000000"/>
        </w:rPr>
        <w:t xml:space="preserve">and deploy </w:t>
      </w:r>
      <w:r w:rsidRPr="00770227">
        <w:rPr>
          <w:rFonts w:eastAsia="Times New Roman" w:cs="Book Antiqua"/>
          <w:color w:val="000000"/>
        </w:rPr>
        <w:t xml:space="preserve">new programs/projects; and to develop and present adequate recorded data pertaining to the programs in future GRCs.    </w:t>
      </w:r>
      <w:r w:rsidR="002A495D" w:rsidRPr="00770227">
        <w:rPr>
          <w:rFonts w:eastAsia="Times New Roman" w:cs="Book Antiqua"/>
          <w:color w:val="000000"/>
        </w:rPr>
        <w:t xml:space="preserve"> </w:t>
      </w:r>
    </w:p>
    <w:p w:rsidR="00D476C2" w:rsidRPr="00770227" w:rsidRDefault="00D476C2" w:rsidP="00770227">
      <w:pPr>
        <w:spacing w:after="0" w:line="240" w:lineRule="auto"/>
        <w:rPr>
          <w:rFonts w:eastAsia="Times New Roman" w:cs="Book Antiqua"/>
          <w:b/>
          <w:color w:val="000000"/>
        </w:rPr>
      </w:pPr>
    </w:p>
    <w:p w:rsidR="002A495D" w:rsidRDefault="002A495D" w:rsidP="002A495D">
      <w:pPr>
        <w:pStyle w:val="ListParagraph"/>
        <w:numPr>
          <w:ilvl w:val="0"/>
          <w:numId w:val="4"/>
        </w:numPr>
        <w:spacing w:after="0" w:line="240" w:lineRule="auto"/>
        <w:rPr>
          <w:rFonts w:eastAsia="Times New Roman" w:cs="Book Antiqua"/>
          <w:b/>
          <w:color w:val="000000"/>
        </w:rPr>
      </w:pPr>
      <w:r w:rsidRPr="002A495D">
        <w:rPr>
          <w:rFonts w:eastAsia="Times New Roman" w:cs="Book Antiqua"/>
          <w:b/>
          <w:color w:val="000000"/>
        </w:rPr>
        <w:t>Allows for more development and understanding of both the SMAP and RAMP proceeding.</w:t>
      </w:r>
    </w:p>
    <w:p w:rsidR="002A495D" w:rsidRPr="00770227" w:rsidRDefault="002A495D" w:rsidP="00770227">
      <w:pPr>
        <w:pStyle w:val="ListParagraph"/>
        <w:numPr>
          <w:ilvl w:val="1"/>
          <w:numId w:val="4"/>
        </w:numPr>
        <w:spacing w:after="0" w:line="240" w:lineRule="auto"/>
        <w:ind w:left="1440"/>
        <w:rPr>
          <w:rFonts w:eastAsia="Times New Roman" w:cs="Book Antiqua"/>
          <w:color w:val="000000"/>
        </w:rPr>
      </w:pPr>
      <w:r w:rsidRPr="00770227">
        <w:rPr>
          <w:rFonts w:eastAsia="Times New Roman" w:cs="Book Antiqua"/>
          <w:color w:val="000000"/>
        </w:rPr>
        <w:t xml:space="preserve">While timing issues will always exist between SMAP and GRC process, spacing out the GRCs will allow the Commission and intervenors to better develop and understand the risk showings. </w:t>
      </w:r>
    </w:p>
    <w:p w:rsidR="00D476C2" w:rsidRPr="00D476C2" w:rsidRDefault="00D476C2" w:rsidP="00D62A72">
      <w:pPr>
        <w:spacing w:after="0" w:line="240" w:lineRule="auto"/>
        <w:ind w:left="720"/>
        <w:rPr>
          <w:rFonts w:eastAsia="Times New Roman" w:cs="Book Antiqua"/>
          <w:b/>
          <w:color w:val="000000"/>
        </w:rPr>
      </w:pPr>
    </w:p>
    <w:p w:rsidR="00D62A72" w:rsidRPr="0013055C" w:rsidRDefault="00D62A72" w:rsidP="00D62A72">
      <w:pPr>
        <w:spacing w:after="0" w:line="240" w:lineRule="auto"/>
        <w:ind w:left="720"/>
        <w:rPr>
          <w:rFonts w:eastAsia="Times New Roman" w:cs="Book Antiqua"/>
          <w:color w:val="000000"/>
        </w:rPr>
      </w:pPr>
    </w:p>
    <w:p w:rsidR="0013055C" w:rsidRDefault="0013055C" w:rsidP="0013055C">
      <w:pPr>
        <w:spacing w:after="0" w:line="240" w:lineRule="auto"/>
        <w:rPr>
          <w:rFonts w:eastAsia="Times New Roman" w:cs="Book Antiqua"/>
          <w:color w:val="000000"/>
        </w:rPr>
      </w:pPr>
      <w:r w:rsidRPr="0013055C">
        <w:rPr>
          <w:rFonts w:eastAsia="Times New Roman" w:cs="Book Antiqua"/>
          <w:color w:val="000000"/>
        </w:rPr>
        <w:t xml:space="preserve">3)    </w:t>
      </w:r>
      <w:r w:rsidR="003A60D7" w:rsidRPr="003A60D7">
        <w:rPr>
          <w:rFonts w:eastAsia="Times New Roman" w:cs="Book Antiqua"/>
          <w:color w:val="000000"/>
        </w:rPr>
        <w:t>What issues does a 4-year cycle create that would not occur in a 3-year cycle?</w:t>
      </w:r>
    </w:p>
    <w:p w:rsidR="00D62A72" w:rsidRDefault="00D62A72" w:rsidP="0013055C">
      <w:pPr>
        <w:spacing w:after="0" w:line="240" w:lineRule="auto"/>
        <w:rPr>
          <w:rFonts w:eastAsia="Times New Roman" w:cs="Book Antiqua"/>
          <w:color w:val="000000"/>
        </w:rPr>
      </w:pPr>
    </w:p>
    <w:p w:rsidR="003A60D7" w:rsidRPr="0013055C" w:rsidRDefault="0013055C" w:rsidP="0013055C">
      <w:pPr>
        <w:spacing w:after="0" w:line="240" w:lineRule="auto"/>
        <w:ind w:left="360" w:hanging="360"/>
        <w:rPr>
          <w:rFonts w:eastAsia="Times New Roman" w:cs="Book Antiqua"/>
          <w:color w:val="000000"/>
        </w:rPr>
      </w:pPr>
      <w:r w:rsidRPr="0013055C">
        <w:rPr>
          <w:rFonts w:eastAsia="Times New Roman" w:cs="Book Antiqua"/>
          <w:color w:val="000000"/>
        </w:rPr>
        <w:t xml:space="preserve">4)    </w:t>
      </w:r>
      <w:r w:rsidR="003A60D7" w:rsidRPr="0013055C">
        <w:rPr>
          <w:rFonts w:eastAsia="Times New Roman" w:cs="Book Antiqua"/>
          <w:color w:val="000000"/>
        </w:rPr>
        <w:t xml:space="preserve">Why should the Commission pursue or not pursue a 4-year GRC cycle?  </w:t>
      </w:r>
      <w:r w:rsidR="003A60D7" w:rsidRPr="0013055C">
        <w:rPr>
          <w:rFonts w:eastAsia="Times New Roman" w:cs="Times New Roman"/>
          <w:color w:val="000000"/>
        </w:rPr>
        <w:t>What assurances are there that a 4-year cycle wouldn’t suffer the same delays as the 3-year cycle currently experience? </w:t>
      </w:r>
    </w:p>
    <w:p w:rsidR="003A60D7" w:rsidRDefault="002A495D" w:rsidP="00085AEC">
      <w:pPr>
        <w:pStyle w:val="ListParagraph"/>
        <w:numPr>
          <w:ilvl w:val="0"/>
          <w:numId w:val="7"/>
        </w:numPr>
      </w:pPr>
      <w:r>
        <w:t>The Commission and intervenors are resource constrained with the additional processes of the SMAP and RAMP</w:t>
      </w:r>
      <w:r w:rsidR="00085AEC">
        <w:t>.</w:t>
      </w:r>
    </w:p>
    <w:p w:rsidR="00770227" w:rsidRDefault="00770227" w:rsidP="00085AEC">
      <w:pPr>
        <w:pStyle w:val="ListParagraph"/>
        <w:numPr>
          <w:ilvl w:val="0"/>
          <w:numId w:val="7"/>
        </w:numPr>
      </w:pPr>
      <w:r>
        <w:t xml:space="preserve">The 4-year rate case cycle is more efficient with one major energy GRC application per year. </w:t>
      </w:r>
    </w:p>
    <w:p w:rsidR="001E5435" w:rsidRDefault="00085AEC" w:rsidP="001E5435">
      <w:pPr>
        <w:pStyle w:val="ListParagraph"/>
        <w:numPr>
          <w:ilvl w:val="0"/>
          <w:numId w:val="7"/>
        </w:numPr>
      </w:pPr>
      <w:r>
        <w:t xml:space="preserve">The 4-year cycle will not completely eliminate all </w:t>
      </w:r>
      <w:proofErr w:type="gramStart"/>
      <w:r>
        <w:t>overlap,</w:t>
      </w:r>
      <w:proofErr w:type="gramEnd"/>
      <w:r>
        <w:t xml:space="preserve"> it will eliminate the primary GRC overlap. </w:t>
      </w:r>
    </w:p>
    <w:p w:rsidR="00085AEC" w:rsidRDefault="00085AEC" w:rsidP="00085AEC">
      <w:pPr>
        <w:pStyle w:val="ListParagraph"/>
        <w:numPr>
          <w:ilvl w:val="0"/>
          <w:numId w:val="7"/>
        </w:numPr>
      </w:pPr>
      <w:r>
        <w:t>While it may not entirely eliminate delays, it should result in shorter delay and an ability to target major energy GRC decisions to be issued within the first quarter of the test year</w:t>
      </w:r>
    </w:p>
    <w:p w:rsidR="00D62A72" w:rsidRDefault="00D62A72" w:rsidP="00085AEC">
      <w:pPr>
        <w:pStyle w:val="ListParagraph"/>
        <w:numPr>
          <w:ilvl w:val="1"/>
          <w:numId w:val="7"/>
        </w:numPr>
      </w:pPr>
      <w:r>
        <w:t xml:space="preserve">It should avoid and alleviate substantial delays such as those that occurred in the last PG&amp;E GT&amp;S case (A.13-12-012) and in the Sempra utilities 2012 GRCs (A.10-12-005; A.10-12-006) which were litigated simultaneous with other GRCs. </w:t>
      </w:r>
    </w:p>
    <w:p w:rsidR="001E5435" w:rsidRPr="0013055C" w:rsidRDefault="001E5435" w:rsidP="00085AEC">
      <w:pPr>
        <w:pStyle w:val="ListParagraph"/>
        <w:numPr>
          <w:ilvl w:val="1"/>
          <w:numId w:val="7"/>
        </w:numPr>
      </w:pPr>
      <w:r>
        <w:t xml:space="preserve">There will always be many issues, some complexity and voluminous utility showings associated with GRCs. </w:t>
      </w:r>
    </w:p>
    <w:p w:rsidR="003A60D7" w:rsidRDefault="003A60D7"/>
    <w:p w:rsidR="003A60D7" w:rsidRDefault="003A60D7"/>
    <w:p w:rsidR="00D51BB1" w:rsidRDefault="003A60D7">
      <w:r>
        <w:t xml:space="preserve"> </w:t>
      </w:r>
    </w:p>
    <w:sectPr w:rsidR="00D51B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61" w:rsidRDefault="00FE0F61" w:rsidP="003A60D7">
      <w:pPr>
        <w:spacing w:after="0" w:line="240" w:lineRule="auto"/>
      </w:pPr>
      <w:r>
        <w:separator/>
      </w:r>
    </w:p>
  </w:endnote>
  <w:endnote w:type="continuationSeparator" w:id="0">
    <w:p w:rsidR="00FE0F61" w:rsidRDefault="00FE0F61" w:rsidP="003A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61" w:rsidRDefault="00FE0F61" w:rsidP="003A60D7">
      <w:pPr>
        <w:spacing w:after="0" w:line="240" w:lineRule="auto"/>
      </w:pPr>
      <w:r>
        <w:separator/>
      </w:r>
    </w:p>
  </w:footnote>
  <w:footnote w:type="continuationSeparator" w:id="0">
    <w:p w:rsidR="00FE0F61" w:rsidRDefault="00FE0F61" w:rsidP="003A6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D7" w:rsidRDefault="003A60D7" w:rsidP="003A60D7">
    <w:pPr>
      <w:pStyle w:val="Header"/>
      <w:jc w:val="center"/>
    </w:pPr>
    <w:r>
      <w:t xml:space="preserve">WORKSHOP: General Rate Case Cycle </w:t>
    </w:r>
  </w:p>
  <w:p w:rsidR="003A60D7" w:rsidRDefault="003A60D7" w:rsidP="003A60D7">
    <w:pPr>
      <w:pStyle w:val="Header"/>
      <w:jc w:val="center"/>
    </w:pPr>
    <w:r>
      <w:t>ORA SUMMARY OF POSITIONS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5CB"/>
    <w:multiLevelType w:val="hybridMultilevel"/>
    <w:tmpl w:val="0BB8F7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1510A"/>
    <w:multiLevelType w:val="hybridMultilevel"/>
    <w:tmpl w:val="6FB4C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945ACF"/>
    <w:multiLevelType w:val="hybridMultilevel"/>
    <w:tmpl w:val="8AEAD00E"/>
    <w:lvl w:ilvl="0" w:tplc="297023F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DE961F3"/>
    <w:multiLevelType w:val="hybridMultilevel"/>
    <w:tmpl w:val="E3D4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7B1965"/>
    <w:multiLevelType w:val="hybridMultilevel"/>
    <w:tmpl w:val="E87456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074FD7"/>
    <w:multiLevelType w:val="hybridMultilevel"/>
    <w:tmpl w:val="8E54C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C87FCC"/>
    <w:multiLevelType w:val="hybridMultilevel"/>
    <w:tmpl w:val="D4C07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B6755"/>
    <w:multiLevelType w:val="hybridMultilevel"/>
    <w:tmpl w:val="0B0AE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CA01C0"/>
    <w:multiLevelType w:val="hybridMultilevel"/>
    <w:tmpl w:val="A76A07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B80A65"/>
    <w:multiLevelType w:val="hybridMultilevel"/>
    <w:tmpl w:val="F7727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5A29B5"/>
    <w:multiLevelType w:val="hybridMultilevel"/>
    <w:tmpl w:val="A91882D0"/>
    <w:lvl w:ilvl="0" w:tplc="50BEFE5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2"/>
  </w:num>
  <w:num w:numId="3">
    <w:abstractNumId w:val="4"/>
  </w:num>
  <w:num w:numId="4">
    <w:abstractNumId w:val="7"/>
  </w:num>
  <w:num w:numId="5">
    <w:abstractNumId w:val="8"/>
  </w:num>
  <w:num w:numId="6">
    <w:abstractNumId w:val="5"/>
  </w:num>
  <w:num w:numId="7">
    <w:abstractNumId w:val="6"/>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D7"/>
    <w:rsid w:val="00085AEC"/>
    <w:rsid w:val="0013055C"/>
    <w:rsid w:val="001E5435"/>
    <w:rsid w:val="002A495D"/>
    <w:rsid w:val="003A60D7"/>
    <w:rsid w:val="005042E5"/>
    <w:rsid w:val="005A4F26"/>
    <w:rsid w:val="00770227"/>
    <w:rsid w:val="00970477"/>
    <w:rsid w:val="00A01083"/>
    <w:rsid w:val="00B405BA"/>
    <w:rsid w:val="00D476C2"/>
    <w:rsid w:val="00D51BB1"/>
    <w:rsid w:val="00D62A72"/>
    <w:rsid w:val="00F00273"/>
    <w:rsid w:val="00FD543F"/>
    <w:rsid w:val="00FE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0D7"/>
  </w:style>
  <w:style w:type="paragraph" w:styleId="Footer">
    <w:name w:val="footer"/>
    <w:basedOn w:val="Normal"/>
    <w:link w:val="FooterChar"/>
    <w:uiPriority w:val="99"/>
    <w:unhideWhenUsed/>
    <w:rsid w:val="003A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D7"/>
  </w:style>
  <w:style w:type="paragraph" w:styleId="ListParagraph">
    <w:name w:val="List Paragraph"/>
    <w:basedOn w:val="Normal"/>
    <w:uiPriority w:val="34"/>
    <w:qFormat/>
    <w:rsid w:val="00130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0D7"/>
  </w:style>
  <w:style w:type="paragraph" w:styleId="Footer">
    <w:name w:val="footer"/>
    <w:basedOn w:val="Normal"/>
    <w:link w:val="FooterChar"/>
    <w:uiPriority w:val="99"/>
    <w:unhideWhenUsed/>
    <w:rsid w:val="003A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D7"/>
  </w:style>
  <w:style w:type="paragraph" w:styleId="ListParagraph">
    <w:name w:val="List Paragraph"/>
    <w:basedOn w:val="Normal"/>
    <w:uiPriority w:val="34"/>
    <w:qFormat/>
    <w:rsid w:val="0013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0AB7-784F-441E-A0F5-A053C8B6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Pocta, Robert M.</dc:creator>
  <cp:lastModifiedBy>Pocta, Robert M.</cp:lastModifiedBy>
  <cp:revision>2</cp:revision>
  <cp:lastPrinted>2017-01-04T02:06:00Z</cp:lastPrinted>
  <dcterms:created xsi:type="dcterms:W3CDTF">2017-01-04T23:37:00Z</dcterms:created>
  <dcterms:modified xsi:type="dcterms:W3CDTF">2017-01-04T23:37:00Z</dcterms:modified>
</cp:coreProperties>
</file>