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C7AED" w14:textId="1306733A" w:rsidR="00197E77" w:rsidRDefault="001758EF" w:rsidP="000741FB">
      <w:pPr>
        <w:jc w:val="center"/>
      </w:pPr>
      <w:r>
        <w:rPr>
          <w:b/>
          <w:bCs/>
          <w:noProof/>
          <w:color w:val="0070C0"/>
          <w:sz w:val="52"/>
          <w:szCs w:val="52"/>
        </w:rPr>
        <w:drawing>
          <wp:anchor distT="0" distB="0" distL="114300" distR="114300" simplePos="0" relativeHeight="251658241" behindDoc="1" locked="0" layoutInCell="1" allowOverlap="1" wp14:anchorId="2EB8F93F" wp14:editId="50A657DB">
            <wp:simplePos x="0" y="0"/>
            <wp:positionH relativeFrom="column">
              <wp:posOffset>-762423</wp:posOffset>
            </wp:positionH>
            <wp:positionV relativeFrom="paragraph">
              <wp:posOffset>-1235931</wp:posOffset>
            </wp:positionV>
            <wp:extent cx="7863840" cy="10176784"/>
            <wp:effectExtent l="0" t="0" r="0" b="0"/>
            <wp:wrapNone/>
            <wp:docPr id="2" name="Picture 2" descr="Safety and Enforcement Division &#10;Monthly Performance Report&#10;California Public Utilitie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Dmonthly_cover_062320.png"/>
                    <pic:cNvPicPr/>
                  </pic:nvPicPr>
                  <pic:blipFill>
                    <a:blip r:embed="rId11"/>
                    <a:stretch>
                      <a:fillRect/>
                    </a:stretch>
                  </pic:blipFill>
                  <pic:spPr>
                    <a:xfrm>
                      <a:off x="0" y="0"/>
                      <a:ext cx="7863840" cy="10176784"/>
                    </a:xfrm>
                    <a:prstGeom prst="rect">
                      <a:avLst/>
                    </a:prstGeom>
                  </pic:spPr>
                </pic:pic>
              </a:graphicData>
            </a:graphic>
            <wp14:sizeRelH relativeFrom="page">
              <wp14:pctWidth>0</wp14:pctWidth>
            </wp14:sizeRelH>
            <wp14:sizeRelV relativeFrom="page">
              <wp14:pctHeight>0</wp14:pctHeight>
            </wp14:sizeRelV>
          </wp:anchor>
        </w:drawing>
      </w:r>
    </w:p>
    <w:p w14:paraId="4744AF30" w14:textId="77777777" w:rsidR="00197E77" w:rsidRDefault="00197E77" w:rsidP="000741FB">
      <w:pPr>
        <w:jc w:val="center"/>
      </w:pPr>
    </w:p>
    <w:p w14:paraId="3101AB8A" w14:textId="77777777" w:rsidR="00197E77" w:rsidRDefault="00197E77" w:rsidP="000741FB">
      <w:pPr>
        <w:jc w:val="center"/>
      </w:pPr>
    </w:p>
    <w:p w14:paraId="281EA493" w14:textId="77777777" w:rsidR="00197E77" w:rsidRDefault="00197E77" w:rsidP="000741FB">
      <w:pPr>
        <w:jc w:val="center"/>
      </w:pPr>
    </w:p>
    <w:p w14:paraId="3A9C7445" w14:textId="77777777" w:rsidR="00197E77" w:rsidRDefault="00197E77" w:rsidP="000741FB">
      <w:pPr>
        <w:jc w:val="center"/>
      </w:pPr>
    </w:p>
    <w:p w14:paraId="1F253EE1" w14:textId="77777777" w:rsidR="00197E77" w:rsidRDefault="00197E77" w:rsidP="000741FB">
      <w:pPr>
        <w:jc w:val="center"/>
      </w:pPr>
    </w:p>
    <w:p w14:paraId="72E9FFF9" w14:textId="77777777" w:rsidR="00197E77" w:rsidRDefault="00197E77" w:rsidP="000741FB">
      <w:pPr>
        <w:jc w:val="center"/>
      </w:pPr>
    </w:p>
    <w:p w14:paraId="160DE32E" w14:textId="77777777" w:rsidR="00197E77" w:rsidRDefault="00197E77" w:rsidP="000741FB">
      <w:pPr>
        <w:jc w:val="center"/>
      </w:pPr>
    </w:p>
    <w:p w14:paraId="2DD10898" w14:textId="77777777" w:rsidR="00197E77" w:rsidRDefault="00197E77" w:rsidP="000741FB">
      <w:pPr>
        <w:jc w:val="center"/>
      </w:pPr>
    </w:p>
    <w:p w14:paraId="4743817D" w14:textId="77777777" w:rsidR="00197E77" w:rsidRDefault="00197E77" w:rsidP="000741FB">
      <w:pPr>
        <w:jc w:val="center"/>
      </w:pPr>
    </w:p>
    <w:p w14:paraId="03CB8330" w14:textId="77777777" w:rsidR="00197E77" w:rsidRDefault="00197E77" w:rsidP="000741FB">
      <w:pPr>
        <w:jc w:val="center"/>
      </w:pPr>
    </w:p>
    <w:p w14:paraId="317475B2" w14:textId="77777777" w:rsidR="00197E77" w:rsidRDefault="00197E77" w:rsidP="000741FB">
      <w:pPr>
        <w:jc w:val="center"/>
      </w:pPr>
    </w:p>
    <w:p w14:paraId="5BD3FC6A" w14:textId="77777777" w:rsidR="00197E77" w:rsidRDefault="00197E77" w:rsidP="000741FB">
      <w:pPr>
        <w:jc w:val="center"/>
      </w:pPr>
    </w:p>
    <w:p w14:paraId="6E8744AC" w14:textId="77777777" w:rsidR="00197E77" w:rsidRDefault="00197E77" w:rsidP="000741FB">
      <w:pPr>
        <w:jc w:val="center"/>
      </w:pPr>
    </w:p>
    <w:p w14:paraId="56627657" w14:textId="77777777" w:rsidR="00197E77" w:rsidRDefault="00197E77" w:rsidP="000741FB">
      <w:pPr>
        <w:jc w:val="center"/>
      </w:pPr>
    </w:p>
    <w:p w14:paraId="1A62CB30" w14:textId="77777777" w:rsidR="00197E77" w:rsidRDefault="00197E77" w:rsidP="000741FB">
      <w:pPr>
        <w:jc w:val="center"/>
      </w:pPr>
    </w:p>
    <w:p w14:paraId="4592D5B1" w14:textId="77777777" w:rsidR="00945645" w:rsidRDefault="00945645" w:rsidP="0003229C">
      <w:pPr>
        <w:rPr>
          <w:sz w:val="36"/>
          <w:szCs w:val="36"/>
        </w:rPr>
      </w:pPr>
    </w:p>
    <w:p w14:paraId="2EF8B5F9" w14:textId="77777777" w:rsidR="0003229C" w:rsidRPr="00F82BBB" w:rsidRDefault="0003229C" w:rsidP="00F82BBB">
      <w:pPr>
        <w:spacing w:line="360" w:lineRule="auto"/>
        <w:rPr>
          <w:sz w:val="36"/>
          <w:szCs w:val="36"/>
        </w:rPr>
      </w:pPr>
    </w:p>
    <w:p w14:paraId="0B356088" w14:textId="77777777" w:rsidR="00945645" w:rsidRPr="00F82BBB" w:rsidRDefault="00945645" w:rsidP="00F82BBB">
      <w:pPr>
        <w:rPr>
          <w:sz w:val="36"/>
          <w:szCs w:val="36"/>
        </w:rPr>
      </w:pPr>
    </w:p>
    <w:p w14:paraId="32159C8E" w14:textId="77777777" w:rsidR="0003229C" w:rsidRDefault="0003229C" w:rsidP="00197E77">
      <w:pPr>
        <w:pStyle w:val="CoverDate"/>
      </w:pPr>
    </w:p>
    <w:p w14:paraId="3078D832" w14:textId="77777777" w:rsidR="0003229C" w:rsidRDefault="0003229C" w:rsidP="004A78A2">
      <w:pPr>
        <w:pStyle w:val="CoverDate"/>
        <w:spacing w:line="276" w:lineRule="auto"/>
      </w:pPr>
    </w:p>
    <w:p w14:paraId="6A542784" w14:textId="5DE8F58C" w:rsidR="00945645" w:rsidRPr="0053284A" w:rsidRDefault="0003229C" w:rsidP="0053284A">
      <w:pPr>
        <w:spacing w:line="360" w:lineRule="auto"/>
        <w:jc w:val="center"/>
        <w:rPr>
          <w:b/>
          <w:bCs/>
        </w:rPr>
      </w:pPr>
      <w:r>
        <w:t xml:space="preserve"> </w:t>
      </w:r>
    </w:p>
    <w:p w14:paraId="5B19B346" w14:textId="7453B5E1" w:rsidR="000741FB" w:rsidRPr="0053284A" w:rsidRDefault="00184367" w:rsidP="0053284A">
      <w:pPr>
        <w:pStyle w:val="CoverDate"/>
        <w:spacing w:line="360" w:lineRule="auto"/>
        <w:rPr>
          <w:b/>
          <w:bCs/>
        </w:rPr>
      </w:pPr>
      <w:r w:rsidRPr="0053284A">
        <w:rPr>
          <w:b/>
          <w:bCs/>
        </w:rPr>
        <w:t>O</w:t>
      </w:r>
      <w:r w:rsidR="007D1718">
        <w:rPr>
          <w:b/>
          <w:bCs/>
        </w:rPr>
        <w:t>CTOBER</w:t>
      </w:r>
      <w:r w:rsidR="00197E77" w:rsidRPr="0053284A">
        <w:rPr>
          <w:b/>
          <w:bCs/>
        </w:rPr>
        <w:t xml:space="preserve"> 2020</w:t>
      </w:r>
      <w:r w:rsidR="000741FB" w:rsidRPr="0053284A">
        <w:rPr>
          <w:b/>
          <w:bCs/>
        </w:rPr>
        <w:t xml:space="preserve"> </w:t>
      </w:r>
    </w:p>
    <w:sdt>
      <w:sdtPr>
        <w:rPr>
          <w:rFonts w:ascii="Garamond" w:eastAsiaTheme="minorEastAsia" w:hAnsi="Garamond"/>
          <w:color w:val="auto"/>
          <w:spacing w:val="0"/>
          <w:sz w:val="24"/>
          <w:szCs w:val="22"/>
        </w:rPr>
        <w:id w:val="-806003869"/>
        <w:docPartObj>
          <w:docPartGallery w:val="Table of Contents"/>
          <w:docPartUnique/>
        </w:docPartObj>
      </w:sdtPr>
      <w:sdtEndPr>
        <w:rPr>
          <w:b/>
          <w:bCs/>
          <w:noProof/>
        </w:rPr>
      </w:sdtEndPr>
      <w:sdtContent>
        <w:p w14:paraId="5CAFCCA1" w14:textId="39ED845A" w:rsidR="00BF6F03" w:rsidRDefault="00BF6F03">
          <w:pPr>
            <w:pStyle w:val="TOCHeading"/>
          </w:pPr>
          <w:r>
            <w:t>Contents</w:t>
          </w:r>
        </w:p>
        <w:p w14:paraId="388C07E5" w14:textId="07952955" w:rsidR="00B324E3" w:rsidRDefault="00BF6F03">
          <w:pPr>
            <w:pStyle w:val="TOC2"/>
            <w:rPr>
              <w:spacing w:val="0"/>
              <w:sz w:val="22"/>
            </w:rPr>
          </w:pPr>
          <w:r>
            <w:fldChar w:fldCharType="begin"/>
          </w:r>
          <w:r>
            <w:instrText xml:space="preserve"> TOC \o "1-3" \h \z \u </w:instrText>
          </w:r>
          <w:r>
            <w:fldChar w:fldCharType="separate"/>
          </w:r>
          <w:hyperlink w:anchor="_Toc58401330" w:history="1">
            <w:r w:rsidR="00B324E3" w:rsidRPr="00A54B4B">
              <w:rPr>
                <w:rStyle w:val="Hyperlink"/>
                <w:b/>
                <w:bCs/>
              </w:rPr>
              <w:t>INTRODUCTION</w:t>
            </w:r>
            <w:r w:rsidR="00B324E3">
              <w:rPr>
                <w:webHidden/>
              </w:rPr>
              <w:tab/>
            </w:r>
            <w:r w:rsidR="00B324E3">
              <w:rPr>
                <w:webHidden/>
              </w:rPr>
              <w:fldChar w:fldCharType="begin"/>
            </w:r>
            <w:r w:rsidR="00B324E3">
              <w:rPr>
                <w:webHidden/>
              </w:rPr>
              <w:instrText xml:space="preserve"> PAGEREF _Toc58401330 \h </w:instrText>
            </w:r>
            <w:r w:rsidR="00B324E3">
              <w:rPr>
                <w:webHidden/>
              </w:rPr>
            </w:r>
            <w:r w:rsidR="00B324E3">
              <w:rPr>
                <w:webHidden/>
              </w:rPr>
              <w:fldChar w:fldCharType="separate"/>
            </w:r>
            <w:r w:rsidR="00B324E3">
              <w:rPr>
                <w:webHidden/>
              </w:rPr>
              <w:t>3</w:t>
            </w:r>
            <w:r w:rsidR="00B324E3">
              <w:rPr>
                <w:webHidden/>
              </w:rPr>
              <w:fldChar w:fldCharType="end"/>
            </w:r>
          </w:hyperlink>
        </w:p>
        <w:p w14:paraId="6F17C038" w14:textId="2E4BAFC5" w:rsidR="00B324E3" w:rsidRDefault="00522922">
          <w:pPr>
            <w:pStyle w:val="TOC2"/>
            <w:rPr>
              <w:spacing w:val="0"/>
              <w:sz w:val="22"/>
            </w:rPr>
          </w:pPr>
          <w:hyperlink w:anchor="_Toc58401331" w:history="1">
            <w:r w:rsidR="00B324E3" w:rsidRPr="00A54B4B">
              <w:rPr>
                <w:rStyle w:val="Hyperlink"/>
              </w:rPr>
              <w:t>COMPLIANCE WITH ORDERING PARAGRAPHS (COPS)</w:t>
            </w:r>
            <w:r w:rsidR="00B324E3">
              <w:rPr>
                <w:webHidden/>
              </w:rPr>
              <w:tab/>
            </w:r>
            <w:r w:rsidR="00B324E3">
              <w:rPr>
                <w:webHidden/>
              </w:rPr>
              <w:fldChar w:fldCharType="begin"/>
            </w:r>
            <w:r w:rsidR="00B324E3">
              <w:rPr>
                <w:webHidden/>
              </w:rPr>
              <w:instrText xml:space="preserve"> PAGEREF _Toc58401331 \h </w:instrText>
            </w:r>
            <w:r w:rsidR="00B324E3">
              <w:rPr>
                <w:webHidden/>
              </w:rPr>
            </w:r>
            <w:r w:rsidR="00B324E3">
              <w:rPr>
                <w:webHidden/>
              </w:rPr>
              <w:fldChar w:fldCharType="separate"/>
            </w:r>
            <w:r w:rsidR="00B324E3">
              <w:rPr>
                <w:webHidden/>
              </w:rPr>
              <w:t>4</w:t>
            </w:r>
            <w:r w:rsidR="00B324E3">
              <w:rPr>
                <w:webHidden/>
              </w:rPr>
              <w:fldChar w:fldCharType="end"/>
            </w:r>
          </w:hyperlink>
        </w:p>
        <w:p w14:paraId="7D3610FD" w14:textId="3EE44D6E" w:rsidR="00B324E3" w:rsidRDefault="00522922">
          <w:pPr>
            <w:pStyle w:val="TOC2"/>
            <w:rPr>
              <w:spacing w:val="0"/>
              <w:sz w:val="22"/>
            </w:rPr>
          </w:pPr>
          <w:hyperlink w:anchor="_Toc58401332" w:history="1">
            <w:r w:rsidR="00B324E3" w:rsidRPr="00A54B4B">
              <w:rPr>
                <w:rStyle w:val="Hyperlink"/>
                <w:rFonts w:asciiTheme="majorHAnsi" w:eastAsia="Garamond" w:hAnsiTheme="majorHAnsi" w:cs="Garamond"/>
                <w:b/>
                <w:bCs/>
              </w:rPr>
              <w:t>GAS SAFETY AND RELIABILITY BRANCH (GSRB)</w:t>
            </w:r>
            <w:r w:rsidR="00B324E3">
              <w:rPr>
                <w:webHidden/>
              </w:rPr>
              <w:tab/>
            </w:r>
            <w:r w:rsidR="00B324E3">
              <w:rPr>
                <w:webHidden/>
              </w:rPr>
              <w:fldChar w:fldCharType="begin"/>
            </w:r>
            <w:r w:rsidR="00B324E3">
              <w:rPr>
                <w:webHidden/>
              </w:rPr>
              <w:instrText xml:space="preserve"> PAGEREF _Toc58401332 \h </w:instrText>
            </w:r>
            <w:r w:rsidR="00B324E3">
              <w:rPr>
                <w:webHidden/>
              </w:rPr>
            </w:r>
            <w:r w:rsidR="00B324E3">
              <w:rPr>
                <w:webHidden/>
              </w:rPr>
              <w:fldChar w:fldCharType="separate"/>
            </w:r>
            <w:r w:rsidR="00B324E3">
              <w:rPr>
                <w:webHidden/>
              </w:rPr>
              <w:t>5</w:t>
            </w:r>
            <w:r w:rsidR="00B324E3">
              <w:rPr>
                <w:webHidden/>
              </w:rPr>
              <w:fldChar w:fldCharType="end"/>
            </w:r>
          </w:hyperlink>
        </w:p>
        <w:p w14:paraId="1E36A270" w14:textId="1111A0EF" w:rsidR="00B324E3" w:rsidRDefault="00522922">
          <w:pPr>
            <w:pStyle w:val="TOC3"/>
            <w:rPr>
              <w:spacing w:val="0"/>
              <w:sz w:val="22"/>
            </w:rPr>
          </w:pPr>
          <w:hyperlink w:anchor="_Toc58401333" w:history="1">
            <w:r w:rsidR="00B324E3" w:rsidRPr="00A54B4B">
              <w:rPr>
                <w:rStyle w:val="Hyperlink"/>
              </w:rPr>
              <w:t>Natural Gas Citations</w:t>
            </w:r>
            <w:r w:rsidR="00B324E3">
              <w:rPr>
                <w:webHidden/>
              </w:rPr>
              <w:tab/>
            </w:r>
            <w:r w:rsidR="00B324E3">
              <w:rPr>
                <w:webHidden/>
              </w:rPr>
              <w:fldChar w:fldCharType="begin"/>
            </w:r>
            <w:r w:rsidR="00B324E3">
              <w:rPr>
                <w:webHidden/>
              </w:rPr>
              <w:instrText xml:space="preserve"> PAGEREF _Toc58401333 \h </w:instrText>
            </w:r>
            <w:r w:rsidR="00B324E3">
              <w:rPr>
                <w:webHidden/>
              </w:rPr>
            </w:r>
            <w:r w:rsidR="00B324E3">
              <w:rPr>
                <w:webHidden/>
              </w:rPr>
              <w:fldChar w:fldCharType="separate"/>
            </w:r>
            <w:r w:rsidR="00B324E3">
              <w:rPr>
                <w:webHidden/>
              </w:rPr>
              <w:t>5</w:t>
            </w:r>
            <w:r w:rsidR="00B324E3">
              <w:rPr>
                <w:webHidden/>
              </w:rPr>
              <w:fldChar w:fldCharType="end"/>
            </w:r>
          </w:hyperlink>
        </w:p>
        <w:p w14:paraId="31026526" w14:textId="7F7BA726" w:rsidR="00B324E3" w:rsidRDefault="00522922">
          <w:pPr>
            <w:pStyle w:val="TOC3"/>
            <w:rPr>
              <w:spacing w:val="0"/>
              <w:sz w:val="22"/>
            </w:rPr>
          </w:pPr>
          <w:hyperlink w:anchor="_Toc58401334" w:history="1">
            <w:r w:rsidR="00B324E3" w:rsidRPr="00A54B4B">
              <w:rPr>
                <w:rStyle w:val="Hyperlink"/>
                <w:rFonts w:asciiTheme="majorHAnsi" w:eastAsia="Garamond" w:hAnsiTheme="majorHAnsi" w:cs="Garamond"/>
              </w:rPr>
              <w:t>Natural Gas Inspections (Year to Date)</w:t>
            </w:r>
            <w:r w:rsidR="00B324E3">
              <w:rPr>
                <w:webHidden/>
              </w:rPr>
              <w:tab/>
            </w:r>
            <w:r w:rsidR="00B324E3">
              <w:rPr>
                <w:webHidden/>
              </w:rPr>
              <w:fldChar w:fldCharType="begin"/>
            </w:r>
            <w:r w:rsidR="00B324E3">
              <w:rPr>
                <w:webHidden/>
              </w:rPr>
              <w:instrText xml:space="preserve"> PAGEREF _Toc58401334 \h </w:instrText>
            </w:r>
            <w:r w:rsidR="00B324E3">
              <w:rPr>
                <w:webHidden/>
              </w:rPr>
            </w:r>
            <w:r w:rsidR="00B324E3">
              <w:rPr>
                <w:webHidden/>
              </w:rPr>
              <w:fldChar w:fldCharType="separate"/>
            </w:r>
            <w:r w:rsidR="00B324E3">
              <w:rPr>
                <w:webHidden/>
              </w:rPr>
              <w:t>6</w:t>
            </w:r>
            <w:r w:rsidR="00B324E3">
              <w:rPr>
                <w:webHidden/>
              </w:rPr>
              <w:fldChar w:fldCharType="end"/>
            </w:r>
          </w:hyperlink>
        </w:p>
        <w:p w14:paraId="43EF4111" w14:textId="631B4F51" w:rsidR="00B324E3" w:rsidRDefault="00522922">
          <w:pPr>
            <w:pStyle w:val="TOC3"/>
            <w:rPr>
              <w:spacing w:val="0"/>
              <w:sz w:val="22"/>
            </w:rPr>
          </w:pPr>
          <w:hyperlink w:anchor="_Toc58401335" w:history="1">
            <w:r w:rsidR="00B324E3" w:rsidRPr="00A54B4B">
              <w:rPr>
                <w:rStyle w:val="Hyperlink"/>
              </w:rPr>
              <w:t>Natural Gas Incident Reports and Investigations through October 31, 2020</w:t>
            </w:r>
            <w:r w:rsidR="00B324E3">
              <w:rPr>
                <w:webHidden/>
              </w:rPr>
              <w:tab/>
            </w:r>
            <w:r w:rsidR="00B324E3">
              <w:rPr>
                <w:webHidden/>
              </w:rPr>
              <w:fldChar w:fldCharType="begin"/>
            </w:r>
            <w:r w:rsidR="00B324E3">
              <w:rPr>
                <w:webHidden/>
              </w:rPr>
              <w:instrText xml:space="preserve"> PAGEREF _Toc58401335 \h </w:instrText>
            </w:r>
            <w:r w:rsidR="00B324E3">
              <w:rPr>
                <w:webHidden/>
              </w:rPr>
            </w:r>
            <w:r w:rsidR="00B324E3">
              <w:rPr>
                <w:webHidden/>
              </w:rPr>
              <w:fldChar w:fldCharType="separate"/>
            </w:r>
            <w:r w:rsidR="00B324E3">
              <w:rPr>
                <w:webHidden/>
              </w:rPr>
              <w:t>6</w:t>
            </w:r>
            <w:r w:rsidR="00B324E3">
              <w:rPr>
                <w:webHidden/>
              </w:rPr>
              <w:fldChar w:fldCharType="end"/>
            </w:r>
          </w:hyperlink>
        </w:p>
        <w:p w14:paraId="4C9FEFFC" w14:textId="2BF909C0" w:rsidR="00B324E3" w:rsidRDefault="00522922">
          <w:pPr>
            <w:pStyle w:val="TOC3"/>
            <w:rPr>
              <w:spacing w:val="0"/>
              <w:sz w:val="22"/>
            </w:rPr>
          </w:pPr>
          <w:hyperlink w:anchor="_Toc58401336" w:history="1">
            <w:r w:rsidR="00B324E3" w:rsidRPr="00A54B4B">
              <w:rPr>
                <w:rStyle w:val="Hyperlink"/>
              </w:rPr>
              <w:t>Natural Gas Utility Self-Identified Violation (SIV) Investigations</w:t>
            </w:r>
            <w:r w:rsidR="00B324E3">
              <w:rPr>
                <w:webHidden/>
              </w:rPr>
              <w:tab/>
            </w:r>
            <w:r w:rsidR="00B324E3">
              <w:rPr>
                <w:webHidden/>
              </w:rPr>
              <w:fldChar w:fldCharType="begin"/>
            </w:r>
            <w:r w:rsidR="00B324E3">
              <w:rPr>
                <w:webHidden/>
              </w:rPr>
              <w:instrText xml:space="preserve"> PAGEREF _Toc58401336 \h </w:instrText>
            </w:r>
            <w:r w:rsidR="00B324E3">
              <w:rPr>
                <w:webHidden/>
              </w:rPr>
            </w:r>
            <w:r w:rsidR="00B324E3">
              <w:rPr>
                <w:webHidden/>
              </w:rPr>
              <w:fldChar w:fldCharType="separate"/>
            </w:r>
            <w:r w:rsidR="00B324E3">
              <w:rPr>
                <w:webHidden/>
              </w:rPr>
              <w:t>8</w:t>
            </w:r>
            <w:r w:rsidR="00B324E3">
              <w:rPr>
                <w:webHidden/>
              </w:rPr>
              <w:fldChar w:fldCharType="end"/>
            </w:r>
          </w:hyperlink>
        </w:p>
        <w:p w14:paraId="2EC662FA" w14:textId="73E3FF00" w:rsidR="00B324E3" w:rsidRDefault="00522922">
          <w:pPr>
            <w:pStyle w:val="TOC3"/>
            <w:rPr>
              <w:spacing w:val="0"/>
              <w:sz w:val="22"/>
            </w:rPr>
          </w:pPr>
          <w:hyperlink w:anchor="_Toc58401337" w:history="1">
            <w:r w:rsidR="00B324E3" w:rsidRPr="00A54B4B">
              <w:rPr>
                <w:rStyle w:val="Hyperlink"/>
              </w:rPr>
              <w:t>Customer Safety Complaints</w:t>
            </w:r>
            <w:r w:rsidR="00B324E3">
              <w:rPr>
                <w:webHidden/>
              </w:rPr>
              <w:tab/>
            </w:r>
            <w:r w:rsidR="00B324E3">
              <w:rPr>
                <w:webHidden/>
              </w:rPr>
              <w:fldChar w:fldCharType="begin"/>
            </w:r>
            <w:r w:rsidR="00B324E3">
              <w:rPr>
                <w:webHidden/>
              </w:rPr>
              <w:instrText xml:space="preserve"> PAGEREF _Toc58401337 \h </w:instrText>
            </w:r>
            <w:r w:rsidR="00B324E3">
              <w:rPr>
                <w:webHidden/>
              </w:rPr>
            </w:r>
            <w:r w:rsidR="00B324E3">
              <w:rPr>
                <w:webHidden/>
              </w:rPr>
              <w:fldChar w:fldCharType="separate"/>
            </w:r>
            <w:r w:rsidR="00B324E3">
              <w:rPr>
                <w:webHidden/>
              </w:rPr>
              <w:t>8</w:t>
            </w:r>
            <w:r w:rsidR="00B324E3">
              <w:rPr>
                <w:webHidden/>
              </w:rPr>
              <w:fldChar w:fldCharType="end"/>
            </w:r>
          </w:hyperlink>
        </w:p>
        <w:p w14:paraId="0BCFCECA" w14:textId="34BFB7E8" w:rsidR="00B324E3" w:rsidRDefault="00522922">
          <w:pPr>
            <w:pStyle w:val="TOC3"/>
            <w:rPr>
              <w:spacing w:val="0"/>
              <w:sz w:val="22"/>
            </w:rPr>
          </w:pPr>
          <w:hyperlink w:anchor="_Toc58401338" w:history="1">
            <w:r w:rsidR="00B324E3" w:rsidRPr="00A54B4B">
              <w:rPr>
                <w:rStyle w:val="Hyperlink"/>
              </w:rPr>
              <w:t>Notice of Probable Violation Letters (NOPV)</w:t>
            </w:r>
            <w:r w:rsidR="00B324E3">
              <w:rPr>
                <w:webHidden/>
              </w:rPr>
              <w:tab/>
            </w:r>
            <w:r w:rsidR="00B324E3">
              <w:rPr>
                <w:webHidden/>
              </w:rPr>
              <w:fldChar w:fldCharType="begin"/>
            </w:r>
            <w:r w:rsidR="00B324E3">
              <w:rPr>
                <w:webHidden/>
              </w:rPr>
              <w:instrText xml:space="preserve"> PAGEREF _Toc58401338 \h </w:instrText>
            </w:r>
            <w:r w:rsidR="00B324E3">
              <w:rPr>
                <w:webHidden/>
              </w:rPr>
            </w:r>
            <w:r w:rsidR="00B324E3">
              <w:rPr>
                <w:webHidden/>
              </w:rPr>
              <w:fldChar w:fldCharType="separate"/>
            </w:r>
            <w:r w:rsidR="00B324E3">
              <w:rPr>
                <w:webHidden/>
              </w:rPr>
              <w:t>8</w:t>
            </w:r>
            <w:r w:rsidR="00B324E3">
              <w:rPr>
                <w:webHidden/>
              </w:rPr>
              <w:fldChar w:fldCharType="end"/>
            </w:r>
          </w:hyperlink>
        </w:p>
        <w:p w14:paraId="3E3CD72D" w14:textId="4BD1DB18" w:rsidR="00B324E3" w:rsidRDefault="00522922">
          <w:pPr>
            <w:pStyle w:val="TOC3"/>
            <w:rPr>
              <w:spacing w:val="0"/>
              <w:sz w:val="22"/>
            </w:rPr>
          </w:pPr>
          <w:hyperlink w:anchor="_Toc58401339" w:history="1">
            <w:r w:rsidR="00B324E3" w:rsidRPr="00A54B4B">
              <w:rPr>
                <w:rStyle w:val="Hyperlink"/>
              </w:rPr>
              <w:t>Natural Gas Safety and Reliability: Proceedings</w:t>
            </w:r>
            <w:r w:rsidR="00B324E3">
              <w:rPr>
                <w:webHidden/>
              </w:rPr>
              <w:tab/>
            </w:r>
            <w:r w:rsidR="00B324E3">
              <w:rPr>
                <w:webHidden/>
              </w:rPr>
              <w:fldChar w:fldCharType="begin"/>
            </w:r>
            <w:r w:rsidR="00B324E3">
              <w:rPr>
                <w:webHidden/>
              </w:rPr>
              <w:instrText xml:space="preserve"> PAGEREF _Toc58401339 \h </w:instrText>
            </w:r>
            <w:r w:rsidR="00B324E3">
              <w:rPr>
                <w:webHidden/>
              </w:rPr>
            </w:r>
            <w:r w:rsidR="00B324E3">
              <w:rPr>
                <w:webHidden/>
              </w:rPr>
              <w:fldChar w:fldCharType="separate"/>
            </w:r>
            <w:r w:rsidR="00B324E3">
              <w:rPr>
                <w:webHidden/>
              </w:rPr>
              <w:t>8</w:t>
            </w:r>
            <w:r w:rsidR="00B324E3">
              <w:rPr>
                <w:webHidden/>
              </w:rPr>
              <w:fldChar w:fldCharType="end"/>
            </w:r>
          </w:hyperlink>
        </w:p>
        <w:p w14:paraId="3F17B13D" w14:textId="73136EB4" w:rsidR="00B324E3" w:rsidRDefault="00522922">
          <w:pPr>
            <w:pStyle w:val="TOC2"/>
            <w:rPr>
              <w:spacing w:val="0"/>
              <w:sz w:val="22"/>
            </w:rPr>
          </w:pPr>
          <w:hyperlink w:anchor="_Toc58401340" w:history="1">
            <w:r w:rsidR="00B324E3" w:rsidRPr="00A54B4B">
              <w:rPr>
                <w:rStyle w:val="Hyperlink"/>
                <w:rFonts w:asciiTheme="majorHAnsi" w:eastAsia="Garamond" w:hAnsiTheme="majorHAnsi" w:cs="Garamond"/>
                <w:b/>
                <w:bCs/>
              </w:rPr>
              <w:t>ELECTRIC SAFETY AND RELIABILITY BRANCH (ESRB)</w:t>
            </w:r>
            <w:r w:rsidR="00B324E3">
              <w:rPr>
                <w:webHidden/>
              </w:rPr>
              <w:tab/>
            </w:r>
            <w:r w:rsidR="00B324E3">
              <w:rPr>
                <w:webHidden/>
              </w:rPr>
              <w:fldChar w:fldCharType="begin"/>
            </w:r>
            <w:r w:rsidR="00B324E3">
              <w:rPr>
                <w:webHidden/>
              </w:rPr>
              <w:instrText xml:space="preserve"> PAGEREF _Toc58401340 \h </w:instrText>
            </w:r>
            <w:r w:rsidR="00B324E3">
              <w:rPr>
                <w:webHidden/>
              </w:rPr>
            </w:r>
            <w:r w:rsidR="00B324E3">
              <w:rPr>
                <w:webHidden/>
              </w:rPr>
              <w:fldChar w:fldCharType="separate"/>
            </w:r>
            <w:r w:rsidR="00B324E3">
              <w:rPr>
                <w:webHidden/>
              </w:rPr>
              <w:t>10</w:t>
            </w:r>
            <w:r w:rsidR="00B324E3">
              <w:rPr>
                <w:webHidden/>
              </w:rPr>
              <w:fldChar w:fldCharType="end"/>
            </w:r>
          </w:hyperlink>
        </w:p>
        <w:p w14:paraId="0AF74D7A" w14:textId="63CC668C" w:rsidR="00B324E3" w:rsidRDefault="00522922">
          <w:pPr>
            <w:pStyle w:val="TOC3"/>
            <w:rPr>
              <w:spacing w:val="0"/>
              <w:sz w:val="22"/>
            </w:rPr>
          </w:pPr>
          <w:hyperlink w:anchor="_Toc58401341" w:history="1">
            <w:r w:rsidR="00B324E3" w:rsidRPr="00A54B4B">
              <w:rPr>
                <w:rStyle w:val="Hyperlink"/>
              </w:rPr>
              <w:t>Electric Incidents Reported through October 31, 2020</w:t>
            </w:r>
            <w:r w:rsidR="00B324E3">
              <w:rPr>
                <w:webHidden/>
              </w:rPr>
              <w:tab/>
            </w:r>
            <w:r w:rsidR="00B324E3">
              <w:rPr>
                <w:webHidden/>
              </w:rPr>
              <w:fldChar w:fldCharType="begin"/>
            </w:r>
            <w:r w:rsidR="00B324E3">
              <w:rPr>
                <w:webHidden/>
              </w:rPr>
              <w:instrText xml:space="preserve"> PAGEREF _Toc58401341 \h </w:instrText>
            </w:r>
            <w:r w:rsidR="00B324E3">
              <w:rPr>
                <w:webHidden/>
              </w:rPr>
            </w:r>
            <w:r w:rsidR="00B324E3">
              <w:rPr>
                <w:webHidden/>
              </w:rPr>
              <w:fldChar w:fldCharType="separate"/>
            </w:r>
            <w:r w:rsidR="00B324E3">
              <w:rPr>
                <w:webHidden/>
              </w:rPr>
              <w:t>10</w:t>
            </w:r>
            <w:r w:rsidR="00B324E3">
              <w:rPr>
                <w:webHidden/>
              </w:rPr>
              <w:fldChar w:fldCharType="end"/>
            </w:r>
          </w:hyperlink>
        </w:p>
        <w:p w14:paraId="4C63EC67" w14:textId="4D892802" w:rsidR="00B324E3" w:rsidRDefault="00522922">
          <w:pPr>
            <w:pStyle w:val="TOC3"/>
            <w:rPr>
              <w:spacing w:val="0"/>
              <w:sz w:val="22"/>
            </w:rPr>
          </w:pPr>
          <w:hyperlink w:anchor="_Toc58401342" w:history="1">
            <w:r w:rsidR="00B324E3" w:rsidRPr="00A54B4B">
              <w:rPr>
                <w:rStyle w:val="Hyperlink"/>
              </w:rPr>
              <w:t>Electric Facilities and Power Plant/Generation Incident Investigations</w:t>
            </w:r>
            <w:r w:rsidR="00B324E3">
              <w:rPr>
                <w:webHidden/>
              </w:rPr>
              <w:tab/>
            </w:r>
            <w:r w:rsidR="00B324E3">
              <w:rPr>
                <w:webHidden/>
              </w:rPr>
              <w:fldChar w:fldCharType="begin"/>
            </w:r>
            <w:r w:rsidR="00B324E3">
              <w:rPr>
                <w:webHidden/>
              </w:rPr>
              <w:instrText xml:space="preserve"> PAGEREF _Toc58401342 \h </w:instrText>
            </w:r>
            <w:r w:rsidR="00B324E3">
              <w:rPr>
                <w:webHidden/>
              </w:rPr>
            </w:r>
            <w:r w:rsidR="00B324E3">
              <w:rPr>
                <w:webHidden/>
              </w:rPr>
              <w:fldChar w:fldCharType="separate"/>
            </w:r>
            <w:r w:rsidR="00B324E3">
              <w:rPr>
                <w:webHidden/>
              </w:rPr>
              <w:t>11</w:t>
            </w:r>
            <w:r w:rsidR="00B324E3">
              <w:rPr>
                <w:webHidden/>
              </w:rPr>
              <w:fldChar w:fldCharType="end"/>
            </w:r>
          </w:hyperlink>
        </w:p>
        <w:p w14:paraId="30711644" w14:textId="21891E9B" w:rsidR="00B324E3" w:rsidRDefault="00522922">
          <w:pPr>
            <w:pStyle w:val="TOC3"/>
            <w:rPr>
              <w:spacing w:val="0"/>
              <w:sz w:val="22"/>
            </w:rPr>
          </w:pPr>
          <w:hyperlink w:anchor="_Toc58401343" w:history="1">
            <w:r w:rsidR="00B324E3" w:rsidRPr="00A54B4B">
              <w:rPr>
                <w:rStyle w:val="Hyperlink"/>
              </w:rPr>
              <w:t>Customer Safety Complaints</w:t>
            </w:r>
            <w:r w:rsidR="00B324E3">
              <w:rPr>
                <w:webHidden/>
              </w:rPr>
              <w:tab/>
            </w:r>
            <w:r w:rsidR="00B324E3">
              <w:rPr>
                <w:webHidden/>
              </w:rPr>
              <w:fldChar w:fldCharType="begin"/>
            </w:r>
            <w:r w:rsidR="00B324E3">
              <w:rPr>
                <w:webHidden/>
              </w:rPr>
              <w:instrText xml:space="preserve"> PAGEREF _Toc58401343 \h </w:instrText>
            </w:r>
            <w:r w:rsidR="00B324E3">
              <w:rPr>
                <w:webHidden/>
              </w:rPr>
            </w:r>
            <w:r w:rsidR="00B324E3">
              <w:rPr>
                <w:webHidden/>
              </w:rPr>
              <w:fldChar w:fldCharType="separate"/>
            </w:r>
            <w:r w:rsidR="00B324E3">
              <w:rPr>
                <w:webHidden/>
              </w:rPr>
              <w:t>11</w:t>
            </w:r>
            <w:r w:rsidR="00B324E3">
              <w:rPr>
                <w:webHidden/>
              </w:rPr>
              <w:fldChar w:fldCharType="end"/>
            </w:r>
          </w:hyperlink>
        </w:p>
        <w:p w14:paraId="7D70094A" w14:textId="70C3D479" w:rsidR="00B324E3" w:rsidRDefault="00522922">
          <w:pPr>
            <w:pStyle w:val="TOC3"/>
            <w:rPr>
              <w:spacing w:val="0"/>
              <w:sz w:val="22"/>
            </w:rPr>
          </w:pPr>
          <w:hyperlink w:anchor="_Toc58401344" w:history="1">
            <w:r w:rsidR="00B324E3" w:rsidRPr="00A54B4B">
              <w:rPr>
                <w:rStyle w:val="Hyperlink"/>
              </w:rPr>
              <w:t>Notice of Probable Violation Letters</w:t>
            </w:r>
            <w:r w:rsidR="00B324E3">
              <w:rPr>
                <w:webHidden/>
              </w:rPr>
              <w:tab/>
            </w:r>
            <w:r w:rsidR="00B324E3">
              <w:rPr>
                <w:webHidden/>
              </w:rPr>
              <w:fldChar w:fldCharType="begin"/>
            </w:r>
            <w:r w:rsidR="00B324E3">
              <w:rPr>
                <w:webHidden/>
              </w:rPr>
              <w:instrText xml:space="preserve"> PAGEREF _Toc58401344 \h </w:instrText>
            </w:r>
            <w:r w:rsidR="00B324E3">
              <w:rPr>
                <w:webHidden/>
              </w:rPr>
            </w:r>
            <w:r w:rsidR="00B324E3">
              <w:rPr>
                <w:webHidden/>
              </w:rPr>
              <w:fldChar w:fldCharType="separate"/>
            </w:r>
            <w:r w:rsidR="00B324E3">
              <w:rPr>
                <w:webHidden/>
              </w:rPr>
              <w:t>11</w:t>
            </w:r>
            <w:r w:rsidR="00B324E3">
              <w:rPr>
                <w:webHidden/>
              </w:rPr>
              <w:fldChar w:fldCharType="end"/>
            </w:r>
          </w:hyperlink>
        </w:p>
        <w:p w14:paraId="4E214CE0" w14:textId="44B46A04" w:rsidR="00B324E3" w:rsidRDefault="00522922">
          <w:pPr>
            <w:pStyle w:val="TOC3"/>
            <w:rPr>
              <w:spacing w:val="0"/>
              <w:sz w:val="22"/>
            </w:rPr>
          </w:pPr>
          <w:hyperlink w:anchor="_Toc58401345" w:history="1">
            <w:r w:rsidR="00B324E3" w:rsidRPr="00A54B4B">
              <w:rPr>
                <w:rStyle w:val="Hyperlink"/>
              </w:rPr>
              <w:t>Electric Safety and Reliability: Proceedings</w:t>
            </w:r>
            <w:r w:rsidR="00B324E3">
              <w:rPr>
                <w:webHidden/>
              </w:rPr>
              <w:tab/>
            </w:r>
            <w:r w:rsidR="00B324E3">
              <w:rPr>
                <w:webHidden/>
              </w:rPr>
              <w:fldChar w:fldCharType="begin"/>
            </w:r>
            <w:r w:rsidR="00B324E3">
              <w:rPr>
                <w:webHidden/>
              </w:rPr>
              <w:instrText xml:space="preserve"> PAGEREF _Toc58401345 \h </w:instrText>
            </w:r>
            <w:r w:rsidR="00B324E3">
              <w:rPr>
                <w:webHidden/>
              </w:rPr>
            </w:r>
            <w:r w:rsidR="00B324E3">
              <w:rPr>
                <w:webHidden/>
              </w:rPr>
              <w:fldChar w:fldCharType="separate"/>
            </w:r>
            <w:r w:rsidR="00B324E3">
              <w:rPr>
                <w:webHidden/>
              </w:rPr>
              <w:t>11</w:t>
            </w:r>
            <w:r w:rsidR="00B324E3">
              <w:rPr>
                <w:webHidden/>
              </w:rPr>
              <w:fldChar w:fldCharType="end"/>
            </w:r>
          </w:hyperlink>
        </w:p>
        <w:p w14:paraId="6E8F03EA" w14:textId="407C9533" w:rsidR="00B324E3" w:rsidRDefault="00522922">
          <w:pPr>
            <w:pStyle w:val="TOC3"/>
            <w:rPr>
              <w:spacing w:val="0"/>
              <w:sz w:val="22"/>
            </w:rPr>
          </w:pPr>
          <w:hyperlink w:anchor="_Toc58401346" w:history="1">
            <w:r w:rsidR="00B324E3" w:rsidRPr="00A54B4B">
              <w:rPr>
                <w:rStyle w:val="Hyperlink"/>
              </w:rPr>
              <w:t>Other Activities</w:t>
            </w:r>
            <w:r w:rsidR="00B324E3">
              <w:rPr>
                <w:webHidden/>
              </w:rPr>
              <w:tab/>
            </w:r>
            <w:r w:rsidR="00B324E3">
              <w:rPr>
                <w:webHidden/>
              </w:rPr>
              <w:fldChar w:fldCharType="begin"/>
            </w:r>
            <w:r w:rsidR="00B324E3">
              <w:rPr>
                <w:webHidden/>
              </w:rPr>
              <w:instrText xml:space="preserve"> PAGEREF _Toc58401346 \h </w:instrText>
            </w:r>
            <w:r w:rsidR="00B324E3">
              <w:rPr>
                <w:webHidden/>
              </w:rPr>
            </w:r>
            <w:r w:rsidR="00B324E3">
              <w:rPr>
                <w:webHidden/>
              </w:rPr>
              <w:fldChar w:fldCharType="separate"/>
            </w:r>
            <w:r w:rsidR="00B324E3">
              <w:rPr>
                <w:webHidden/>
              </w:rPr>
              <w:t>13</w:t>
            </w:r>
            <w:r w:rsidR="00B324E3">
              <w:rPr>
                <w:webHidden/>
              </w:rPr>
              <w:fldChar w:fldCharType="end"/>
            </w:r>
          </w:hyperlink>
        </w:p>
        <w:p w14:paraId="7F962057" w14:textId="3FCBA2A3" w:rsidR="00B324E3" w:rsidRDefault="00522922">
          <w:pPr>
            <w:pStyle w:val="TOC2"/>
            <w:rPr>
              <w:spacing w:val="0"/>
              <w:sz w:val="22"/>
            </w:rPr>
          </w:pPr>
          <w:hyperlink w:anchor="_Toc58401347" w:history="1">
            <w:r w:rsidR="00B324E3" w:rsidRPr="00A54B4B">
              <w:rPr>
                <w:rStyle w:val="Hyperlink"/>
                <w:b/>
                <w:bCs/>
              </w:rPr>
              <w:t>Wildfire Safety and Enforcement Branch (WSEB)</w:t>
            </w:r>
            <w:r w:rsidR="00B324E3">
              <w:rPr>
                <w:webHidden/>
              </w:rPr>
              <w:tab/>
            </w:r>
            <w:r w:rsidR="00B324E3">
              <w:rPr>
                <w:webHidden/>
              </w:rPr>
              <w:fldChar w:fldCharType="begin"/>
            </w:r>
            <w:r w:rsidR="00B324E3">
              <w:rPr>
                <w:webHidden/>
              </w:rPr>
              <w:instrText xml:space="preserve"> PAGEREF _Toc58401347 \h </w:instrText>
            </w:r>
            <w:r w:rsidR="00B324E3">
              <w:rPr>
                <w:webHidden/>
              </w:rPr>
            </w:r>
            <w:r w:rsidR="00B324E3">
              <w:rPr>
                <w:webHidden/>
              </w:rPr>
              <w:fldChar w:fldCharType="separate"/>
            </w:r>
            <w:r w:rsidR="00B324E3">
              <w:rPr>
                <w:webHidden/>
              </w:rPr>
              <w:t>15</w:t>
            </w:r>
            <w:r w:rsidR="00B324E3">
              <w:rPr>
                <w:webHidden/>
              </w:rPr>
              <w:fldChar w:fldCharType="end"/>
            </w:r>
          </w:hyperlink>
        </w:p>
        <w:p w14:paraId="3D639F05" w14:textId="0DA381D8" w:rsidR="00B324E3" w:rsidRDefault="00522922">
          <w:pPr>
            <w:pStyle w:val="TOC3"/>
            <w:rPr>
              <w:spacing w:val="0"/>
              <w:sz w:val="22"/>
            </w:rPr>
          </w:pPr>
          <w:hyperlink w:anchor="_Toc58401348" w:history="1">
            <w:r w:rsidR="00B324E3" w:rsidRPr="00A54B4B">
              <w:rPr>
                <w:rStyle w:val="Hyperlink"/>
              </w:rPr>
              <w:t>PSPS Activations, De-energizations &amp; Post Event Reports Reviewed in October</w:t>
            </w:r>
            <w:r w:rsidR="00B324E3">
              <w:rPr>
                <w:webHidden/>
              </w:rPr>
              <w:tab/>
            </w:r>
            <w:r w:rsidR="00B324E3">
              <w:rPr>
                <w:webHidden/>
              </w:rPr>
              <w:fldChar w:fldCharType="begin"/>
            </w:r>
            <w:r w:rsidR="00B324E3">
              <w:rPr>
                <w:webHidden/>
              </w:rPr>
              <w:instrText xml:space="preserve"> PAGEREF _Toc58401348 \h </w:instrText>
            </w:r>
            <w:r w:rsidR="00B324E3">
              <w:rPr>
                <w:webHidden/>
              </w:rPr>
            </w:r>
            <w:r w:rsidR="00B324E3">
              <w:rPr>
                <w:webHidden/>
              </w:rPr>
              <w:fldChar w:fldCharType="separate"/>
            </w:r>
            <w:r w:rsidR="00B324E3">
              <w:rPr>
                <w:webHidden/>
              </w:rPr>
              <w:t>15</w:t>
            </w:r>
            <w:r w:rsidR="00B324E3">
              <w:rPr>
                <w:webHidden/>
              </w:rPr>
              <w:fldChar w:fldCharType="end"/>
            </w:r>
          </w:hyperlink>
        </w:p>
        <w:p w14:paraId="31D84E92" w14:textId="4BC7A09A" w:rsidR="00B324E3" w:rsidRDefault="00522922">
          <w:pPr>
            <w:pStyle w:val="TOC3"/>
            <w:rPr>
              <w:spacing w:val="0"/>
              <w:sz w:val="22"/>
            </w:rPr>
          </w:pPr>
          <w:hyperlink w:anchor="_Toc58401349" w:history="1">
            <w:r w:rsidR="00B324E3" w:rsidRPr="00A54B4B">
              <w:rPr>
                <w:rStyle w:val="Hyperlink"/>
              </w:rPr>
              <w:t>Summary of PSPS Events in October</w:t>
            </w:r>
            <w:r w:rsidR="00B324E3">
              <w:rPr>
                <w:webHidden/>
              </w:rPr>
              <w:tab/>
            </w:r>
            <w:r w:rsidR="00B324E3">
              <w:rPr>
                <w:webHidden/>
              </w:rPr>
              <w:fldChar w:fldCharType="begin"/>
            </w:r>
            <w:r w:rsidR="00B324E3">
              <w:rPr>
                <w:webHidden/>
              </w:rPr>
              <w:instrText xml:space="preserve"> PAGEREF _Toc58401349 \h </w:instrText>
            </w:r>
            <w:r w:rsidR="00B324E3">
              <w:rPr>
                <w:webHidden/>
              </w:rPr>
            </w:r>
            <w:r w:rsidR="00B324E3">
              <w:rPr>
                <w:webHidden/>
              </w:rPr>
              <w:fldChar w:fldCharType="separate"/>
            </w:r>
            <w:r w:rsidR="00B324E3">
              <w:rPr>
                <w:webHidden/>
              </w:rPr>
              <w:t>15</w:t>
            </w:r>
            <w:r w:rsidR="00B324E3">
              <w:rPr>
                <w:webHidden/>
              </w:rPr>
              <w:fldChar w:fldCharType="end"/>
            </w:r>
          </w:hyperlink>
        </w:p>
        <w:p w14:paraId="524B0304" w14:textId="0EE0B64C" w:rsidR="00B324E3" w:rsidRDefault="00522922">
          <w:pPr>
            <w:pStyle w:val="TOC3"/>
            <w:rPr>
              <w:spacing w:val="0"/>
              <w:sz w:val="22"/>
            </w:rPr>
          </w:pPr>
          <w:hyperlink w:anchor="_Toc58401350" w:history="1">
            <w:r w:rsidR="00B324E3" w:rsidRPr="00A54B4B">
              <w:rPr>
                <w:rStyle w:val="Hyperlink"/>
              </w:rPr>
              <w:t>PSPS Related Proceedings</w:t>
            </w:r>
            <w:r w:rsidR="00B324E3">
              <w:rPr>
                <w:webHidden/>
              </w:rPr>
              <w:tab/>
            </w:r>
            <w:r w:rsidR="00B324E3">
              <w:rPr>
                <w:webHidden/>
              </w:rPr>
              <w:fldChar w:fldCharType="begin"/>
            </w:r>
            <w:r w:rsidR="00B324E3">
              <w:rPr>
                <w:webHidden/>
              </w:rPr>
              <w:instrText xml:space="preserve"> PAGEREF _Toc58401350 \h </w:instrText>
            </w:r>
            <w:r w:rsidR="00B324E3">
              <w:rPr>
                <w:webHidden/>
              </w:rPr>
            </w:r>
            <w:r w:rsidR="00B324E3">
              <w:rPr>
                <w:webHidden/>
              </w:rPr>
              <w:fldChar w:fldCharType="separate"/>
            </w:r>
            <w:r w:rsidR="00B324E3">
              <w:rPr>
                <w:webHidden/>
              </w:rPr>
              <w:t>16</w:t>
            </w:r>
            <w:r w:rsidR="00B324E3">
              <w:rPr>
                <w:webHidden/>
              </w:rPr>
              <w:fldChar w:fldCharType="end"/>
            </w:r>
          </w:hyperlink>
        </w:p>
        <w:p w14:paraId="22BF9156" w14:textId="6DDD74AE" w:rsidR="00B324E3" w:rsidRDefault="00522922">
          <w:pPr>
            <w:pStyle w:val="TOC2"/>
            <w:rPr>
              <w:spacing w:val="0"/>
              <w:sz w:val="22"/>
            </w:rPr>
          </w:pPr>
          <w:hyperlink w:anchor="_Toc58401351" w:history="1">
            <w:r w:rsidR="00B324E3" w:rsidRPr="00A54B4B">
              <w:rPr>
                <w:rStyle w:val="Hyperlink"/>
                <w:b/>
                <w:bCs/>
              </w:rPr>
              <w:t>Monitoring the Whistleblower Website</w:t>
            </w:r>
            <w:r w:rsidR="00B324E3">
              <w:rPr>
                <w:webHidden/>
              </w:rPr>
              <w:tab/>
            </w:r>
            <w:r w:rsidR="00B324E3">
              <w:rPr>
                <w:webHidden/>
              </w:rPr>
              <w:fldChar w:fldCharType="begin"/>
            </w:r>
            <w:r w:rsidR="00B324E3">
              <w:rPr>
                <w:webHidden/>
              </w:rPr>
              <w:instrText xml:space="preserve"> PAGEREF _Toc58401351 \h </w:instrText>
            </w:r>
            <w:r w:rsidR="00B324E3">
              <w:rPr>
                <w:webHidden/>
              </w:rPr>
            </w:r>
            <w:r w:rsidR="00B324E3">
              <w:rPr>
                <w:webHidden/>
              </w:rPr>
              <w:fldChar w:fldCharType="separate"/>
            </w:r>
            <w:r w:rsidR="00B324E3">
              <w:rPr>
                <w:webHidden/>
              </w:rPr>
              <w:t>16</w:t>
            </w:r>
            <w:r w:rsidR="00B324E3">
              <w:rPr>
                <w:webHidden/>
              </w:rPr>
              <w:fldChar w:fldCharType="end"/>
            </w:r>
          </w:hyperlink>
        </w:p>
        <w:p w14:paraId="2A3764C3" w14:textId="51AD4D02" w:rsidR="00B324E3" w:rsidRDefault="00522922">
          <w:pPr>
            <w:pStyle w:val="TOC3"/>
            <w:rPr>
              <w:spacing w:val="0"/>
              <w:sz w:val="22"/>
            </w:rPr>
          </w:pPr>
          <w:hyperlink w:anchor="_Toc58401352" w:history="1">
            <w:r w:rsidR="00B324E3" w:rsidRPr="00A54B4B">
              <w:rPr>
                <w:rStyle w:val="Hyperlink"/>
              </w:rPr>
              <w:t>Statistics - 1/01/20 – 10/31/2020</w:t>
            </w:r>
            <w:r w:rsidR="00B324E3">
              <w:rPr>
                <w:webHidden/>
              </w:rPr>
              <w:tab/>
            </w:r>
            <w:r w:rsidR="00B324E3">
              <w:rPr>
                <w:webHidden/>
              </w:rPr>
              <w:fldChar w:fldCharType="begin"/>
            </w:r>
            <w:r w:rsidR="00B324E3">
              <w:rPr>
                <w:webHidden/>
              </w:rPr>
              <w:instrText xml:space="preserve"> PAGEREF _Toc58401352 \h </w:instrText>
            </w:r>
            <w:r w:rsidR="00B324E3">
              <w:rPr>
                <w:webHidden/>
              </w:rPr>
            </w:r>
            <w:r w:rsidR="00B324E3">
              <w:rPr>
                <w:webHidden/>
              </w:rPr>
              <w:fldChar w:fldCharType="separate"/>
            </w:r>
            <w:r w:rsidR="00B324E3">
              <w:rPr>
                <w:webHidden/>
              </w:rPr>
              <w:t>16</w:t>
            </w:r>
            <w:r w:rsidR="00B324E3">
              <w:rPr>
                <w:webHidden/>
              </w:rPr>
              <w:fldChar w:fldCharType="end"/>
            </w:r>
          </w:hyperlink>
        </w:p>
        <w:p w14:paraId="5F4A1EB8" w14:textId="2A21627C" w:rsidR="00BF6F03" w:rsidRDefault="00BF6F03">
          <w:r>
            <w:rPr>
              <w:b/>
              <w:bCs/>
              <w:noProof/>
            </w:rPr>
            <w:fldChar w:fldCharType="end"/>
          </w:r>
        </w:p>
      </w:sdtContent>
    </w:sdt>
    <w:p w14:paraId="4E143354" w14:textId="28DD1FC6" w:rsidR="000741FB" w:rsidRDefault="000741FB" w:rsidP="008C3B62">
      <w:pPr>
        <w:jc w:val="center"/>
      </w:pPr>
    </w:p>
    <w:p w14:paraId="7801F5B4" w14:textId="61B28BD5" w:rsidR="000741FB" w:rsidRDefault="00C93854" w:rsidP="000741FB">
      <w:r>
        <w:rPr>
          <w:noProof/>
        </w:rPr>
        <mc:AlternateContent>
          <mc:Choice Requires="wps">
            <w:drawing>
              <wp:anchor distT="0" distB="0" distL="114300" distR="114300" simplePos="0" relativeHeight="251658242" behindDoc="0" locked="0" layoutInCell="1" allowOverlap="1" wp14:anchorId="4DF4C259" wp14:editId="1CAD3F6B">
                <wp:simplePos x="0" y="0"/>
                <wp:positionH relativeFrom="margin">
                  <wp:posOffset>241300</wp:posOffset>
                </wp:positionH>
                <wp:positionV relativeFrom="paragraph">
                  <wp:posOffset>280035</wp:posOffset>
                </wp:positionV>
                <wp:extent cx="5341620" cy="1985010"/>
                <wp:effectExtent l="0" t="0" r="11430" b="15240"/>
                <wp:wrapSquare wrapText="bothSides"/>
                <wp:docPr id="5" name="Text Box 5"/>
                <wp:cNvGraphicFramePr/>
                <a:graphic xmlns:a="http://schemas.openxmlformats.org/drawingml/2006/main">
                  <a:graphicData uri="http://schemas.microsoft.com/office/word/2010/wordprocessingShape">
                    <wps:wsp>
                      <wps:cNvSpPr txBox="1"/>
                      <wps:spPr>
                        <a:xfrm>
                          <a:off x="0" y="0"/>
                          <a:ext cx="5341620" cy="1985010"/>
                        </a:xfrm>
                        <a:prstGeom prst="rect">
                          <a:avLst/>
                        </a:prstGeom>
                        <a:noFill/>
                        <a:ln>
                          <a:solidFill>
                            <a:schemeClr val="tx1"/>
                          </a:solidFill>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05E8429" w14:textId="77777777" w:rsidR="003576F4" w:rsidRPr="008C3B62" w:rsidRDefault="003576F4" w:rsidP="003576F4">
                            <w:pPr>
                              <w:jc w:val="center"/>
                              <w:rPr>
                                <w:sz w:val="36"/>
                                <w:szCs w:val="36"/>
                              </w:rPr>
                            </w:pPr>
                            <w:r w:rsidRPr="008C3B62">
                              <w:rPr>
                                <w:sz w:val="36"/>
                                <w:szCs w:val="36"/>
                              </w:rPr>
                              <w:t>Disclaimer</w:t>
                            </w:r>
                          </w:p>
                          <w:p w14:paraId="4500D0DE" w14:textId="77777777" w:rsidR="003576F4" w:rsidRPr="008C3B62" w:rsidRDefault="003576F4" w:rsidP="003576F4">
                            <w:pPr>
                              <w:jc w:val="center"/>
                              <w:rPr>
                                <w:sz w:val="22"/>
                              </w:rPr>
                            </w:pPr>
                            <w:r w:rsidRPr="008C3B62">
                              <w:rPr>
                                <w:sz w:val="22"/>
                              </w:rPr>
                              <w:t>This Report was prepared by California Public Utilities Commission (CPUC) staff.  It does not necessarily represent the views of the CPUC, its Commissioners, or the State of California.</w:t>
                            </w:r>
                          </w:p>
                          <w:p w14:paraId="4B59A26D" w14:textId="77777777" w:rsidR="003576F4" w:rsidRDefault="003576F4" w:rsidP="003576F4">
                            <w:pPr>
                              <w:jc w:val="center"/>
                              <w:rPr>
                                <w:sz w:val="22"/>
                              </w:rPr>
                            </w:pPr>
                            <w:r w:rsidRPr="008C3B62">
                              <w:rPr>
                                <w:sz w:val="22"/>
                              </w:rPr>
                              <w:t>The CPUC, the State of California, its employees, contractors, and subcontractors make no warrants, expressed or implied, and assume no legal liability for the information in this Report.</w:t>
                            </w:r>
                          </w:p>
                          <w:p w14:paraId="48B9064A" w14:textId="77777777" w:rsidR="003576F4" w:rsidRPr="000741FB" w:rsidRDefault="003576F4" w:rsidP="003576F4">
                            <w:pPr>
                              <w:jc w:val="center"/>
                            </w:pPr>
                            <w:r w:rsidRPr="008C3B62">
                              <w:rPr>
                                <w:sz w:val="22"/>
                              </w:rPr>
                              <w:t>This Report reflects Safety and Enforcement Branch’s monthly work product. It has not been approved by the Commission rather it is information provided by the</w:t>
                            </w:r>
                            <w:r>
                              <w:t xml:space="preserve"> Division.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C259" id="_x0000_t202" coordsize="21600,21600" o:spt="202" path="m,l,21600r21600,l21600,xe">
                <v:stroke joinstyle="miter"/>
                <v:path gradientshapeok="t" o:connecttype="rect"/>
              </v:shapetype>
              <v:shape id="Text Box 5" o:spid="_x0000_s1026" type="#_x0000_t202" style="position:absolute;margin-left:19pt;margin-top:22.05pt;width:420.6pt;height:156.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" filled="f" strokecolor="#4c4c4c [3213]">
                <v:textbox>
                  <w:txbxContent>
                    <w:p w14:paraId="005E8429" w14:textId="77777777" w:rsidR="003576F4" w:rsidRPr="008C3B62" w:rsidRDefault="003576F4" w:rsidP="003576F4">
                      <w:pPr>
                        <w:jc w:val="center"/>
                        <w:rPr>
                          <w:sz w:val="36"/>
                          <w:szCs w:val="36"/>
                        </w:rPr>
                      </w:pPr>
                      <w:r w:rsidRPr="008C3B62">
                        <w:rPr>
                          <w:sz w:val="36"/>
                          <w:szCs w:val="36"/>
                        </w:rPr>
                        <w:t>Disclaimer</w:t>
                      </w:r>
                    </w:p>
                    <w:p w14:paraId="4500D0DE" w14:textId="77777777" w:rsidR="003576F4" w:rsidRPr="008C3B62" w:rsidRDefault="003576F4" w:rsidP="003576F4">
                      <w:pPr>
                        <w:jc w:val="center"/>
                        <w:rPr>
                          <w:sz w:val="22"/>
                        </w:rPr>
                      </w:pPr>
                      <w:r w:rsidRPr="008C3B62">
                        <w:rPr>
                          <w:sz w:val="22"/>
                        </w:rPr>
                        <w:t>This Report was prepared by California Public Utilities Commission (CPUC) staff.  It does not necessarily represent the views of the CPUC, its Commissioners, or the State of California.</w:t>
                      </w:r>
                    </w:p>
                    <w:p w14:paraId="4B59A26D" w14:textId="77777777" w:rsidR="003576F4" w:rsidRDefault="003576F4" w:rsidP="003576F4">
                      <w:pPr>
                        <w:jc w:val="center"/>
                        <w:rPr>
                          <w:sz w:val="22"/>
                        </w:rPr>
                      </w:pPr>
                      <w:r w:rsidRPr="008C3B62">
                        <w:rPr>
                          <w:sz w:val="22"/>
                        </w:rPr>
                        <w:t>The CPUC, the State of California, its employees, contractors, and subcontractors make no warrants, expressed or implied, and assume no legal liability for the information in this Report.</w:t>
                      </w:r>
                    </w:p>
                    <w:p w14:paraId="48B9064A" w14:textId="77777777" w:rsidR="003576F4" w:rsidRPr="000741FB" w:rsidRDefault="003576F4" w:rsidP="003576F4">
                      <w:pPr>
                        <w:jc w:val="center"/>
                      </w:pPr>
                      <w:r w:rsidRPr="008C3B62">
                        <w:rPr>
                          <w:sz w:val="22"/>
                        </w:rPr>
                        <w:t>This Report reflects Safety and Enforcement Branch’s monthly work product. It has not been approved by the Commission rather it is information provided by the</w:t>
                      </w:r>
                      <w:r>
                        <w:t xml:space="preserve"> Division. </w:t>
                      </w:r>
                    </w:p>
                  </w:txbxContent>
                </v:textbox>
                <w10:wrap type="square" anchorx="margin"/>
              </v:shape>
            </w:pict>
          </mc:Fallback>
        </mc:AlternateContent>
      </w:r>
    </w:p>
    <w:p w14:paraId="3CE32A06" w14:textId="6E94E8C4" w:rsidR="003576F4" w:rsidRDefault="003576F4" w:rsidP="000741FB"/>
    <w:p w14:paraId="4AA75274" w14:textId="101308AE" w:rsidR="003576F4" w:rsidRDefault="003576F4" w:rsidP="000741FB"/>
    <w:p w14:paraId="4540BB33" w14:textId="5F5A7203" w:rsidR="003576F4" w:rsidRDefault="003576F4" w:rsidP="000741FB"/>
    <w:p w14:paraId="2BD4B8CE" w14:textId="1AC276E7" w:rsidR="003576F4" w:rsidRDefault="003576F4" w:rsidP="000741FB"/>
    <w:p w14:paraId="31583B02" w14:textId="20DC9352" w:rsidR="003576F4" w:rsidRDefault="003576F4" w:rsidP="000741FB"/>
    <w:p w14:paraId="490C713A" w14:textId="77777777" w:rsidR="003576F4" w:rsidRDefault="003576F4" w:rsidP="000741FB"/>
    <w:p w14:paraId="1D1BB1B4" w14:textId="77777777" w:rsidR="00DA426A" w:rsidRPr="00DA426A" w:rsidRDefault="00DA426A"/>
    <w:p w14:paraId="7E3BF292" w14:textId="734B65DD" w:rsidR="00AC56BA" w:rsidRDefault="00AC56BA">
      <w:pPr>
        <w:spacing w:after="200" w:line="276" w:lineRule="auto"/>
        <w:rPr>
          <w:rFonts w:ascii="Century Gothic" w:hAnsi="Century Gothic"/>
          <w:color w:val="284A70" w:themeColor="accent1" w:themeShade="80"/>
          <w:spacing w:val="20"/>
          <w:sz w:val="28"/>
          <w:szCs w:val="28"/>
        </w:rPr>
      </w:pPr>
      <w:r>
        <w:br w:type="page"/>
      </w:r>
    </w:p>
    <w:p w14:paraId="72C8ED02" w14:textId="5CA46E28" w:rsidR="000741FB" w:rsidRPr="004069E4" w:rsidRDefault="000741FB" w:rsidP="00467284">
      <w:pPr>
        <w:pStyle w:val="Heading2"/>
      </w:pPr>
      <w:bookmarkStart w:id="0" w:name="_Toc58401330"/>
      <w:bookmarkStart w:id="1" w:name="_Toc448735947"/>
      <w:bookmarkStart w:id="2" w:name="_Toc442956245"/>
      <w:r w:rsidRPr="00467284">
        <w:rPr>
          <w:b/>
          <w:bCs/>
        </w:rPr>
        <w:lastRenderedPageBreak/>
        <w:t>I</w:t>
      </w:r>
      <w:r w:rsidR="00D44141" w:rsidRPr="00467284">
        <w:rPr>
          <w:b/>
          <w:bCs/>
        </w:rPr>
        <w:t>NTRODUCTION</w:t>
      </w:r>
      <w:bookmarkEnd w:id="0"/>
      <w:r w:rsidRPr="0022397F">
        <w:t xml:space="preserve"> </w:t>
      </w:r>
    </w:p>
    <w:p w14:paraId="213967CE" w14:textId="21E83AFB" w:rsidR="000741FB" w:rsidRPr="000741FB" w:rsidRDefault="000741FB" w:rsidP="000741FB">
      <w:r w:rsidRPr="000741FB">
        <w:t xml:space="preserve">The CPUC’s Safety and Enforcement Division (SED) oversees </w:t>
      </w:r>
      <w:r w:rsidR="00E06E38">
        <w:t xml:space="preserve">the </w:t>
      </w:r>
      <w:r w:rsidRPr="000741FB">
        <w:t xml:space="preserve">safety of electric and communication facilities, natural gas infrastructure and propane facilities. SED is comprised of three branches of utility engineers, analysts and investigators that focus on ensuring the safety of utility infrastructure and reducing utility caused wildfires. SED advocates for public safety through performing safety audits, conducting incident investigations, and appearing in CPUC safety proceedings. SED has the authority to issue citations with penalties against utility operators who violate public utility safety codes and requirements. </w:t>
      </w:r>
    </w:p>
    <w:p w14:paraId="56B094B4" w14:textId="7F4D1430" w:rsidR="00A1223D" w:rsidRDefault="00513467" w:rsidP="00D9314F">
      <w:r>
        <w:t>October</w:t>
      </w:r>
      <w:r w:rsidR="00A12370">
        <w:t xml:space="preserve"> </w:t>
      </w:r>
      <w:r w:rsidR="003E454C">
        <w:t xml:space="preserve">experienced many </w:t>
      </w:r>
      <w:r w:rsidR="00A12370">
        <w:t>PSPS</w:t>
      </w:r>
      <w:r w:rsidR="008654AC">
        <w:t xml:space="preserve"> </w:t>
      </w:r>
      <w:r w:rsidR="00F5272C">
        <w:t>events</w:t>
      </w:r>
      <w:r w:rsidR="00185BA1">
        <w:t>.</w:t>
      </w:r>
      <w:r w:rsidR="002C2D19">
        <w:t xml:space="preserve"> SED’s Wildfire Safety </w:t>
      </w:r>
      <w:r w:rsidR="00493420">
        <w:t>an</w:t>
      </w:r>
      <w:r w:rsidR="002C2D19">
        <w:t>d Enforcement Branch (WSEB) monitored utility E</w:t>
      </w:r>
      <w:r w:rsidR="00DA3319">
        <w:t xml:space="preserve">mergency </w:t>
      </w:r>
      <w:r w:rsidR="005D4C22">
        <w:t>Operations</w:t>
      </w:r>
      <w:r w:rsidR="00DA3319">
        <w:t xml:space="preserve"> </w:t>
      </w:r>
      <w:r w:rsidR="002C2D19">
        <w:t>C</w:t>
      </w:r>
      <w:r w:rsidR="005D4C22">
        <w:t>enter</w:t>
      </w:r>
      <w:r w:rsidR="000270CC">
        <w:t xml:space="preserve"> (EOC)</w:t>
      </w:r>
      <w:r w:rsidR="002C2D19">
        <w:t xml:space="preserve"> meetings and utility actions during October PSPS events. </w:t>
      </w:r>
      <w:r w:rsidR="00185BA1">
        <w:t>T</w:t>
      </w:r>
      <w:r w:rsidR="00F5272C">
        <w:t>he</w:t>
      </w:r>
      <w:r w:rsidR="00673528">
        <w:t xml:space="preserve">re were </w:t>
      </w:r>
      <w:r w:rsidR="396E9F2B" w:rsidRPr="00DE3A1C">
        <w:t>7</w:t>
      </w:r>
      <w:r w:rsidR="00E01F4D">
        <w:t xml:space="preserve"> PSPS event</w:t>
      </w:r>
      <w:r w:rsidR="00A36624">
        <w:t>s</w:t>
      </w:r>
      <w:r w:rsidR="00185BA1">
        <w:t xml:space="preserve">; </w:t>
      </w:r>
      <w:r w:rsidR="00E20251" w:rsidRPr="004C1A85">
        <w:t>3</w:t>
      </w:r>
      <w:r w:rsidR="00E20251">
        <w:t xml:space="preserve"> for PG&amp;E,</w:t>
      </w:r>
      <w:r w:rsidR="00A97CD7">
        <w:t xml:space="preserve"> </w:t>
      </w:r>
      <w:r w:rsidR="66F86FD1" w:rsidRPr="004C1A85">
        <w:t>2</w:t>
      </w:r>
      <w:r w:rsidR="00A97CD7">
        <w:t xml:space="preserve"> for SCE, </w:t>
      </w:r>
      <w:r w:rsidR="54A702BE">
        <w:t>1 for SDG&amp;E, and 1</w:t>
      </w:r>
      <w:r w:rsidR="00EB0B9D">
        <w:t xml:space="preserve"> </w:t>
      </w:r>
      <w:r w:rsidR="008C63D0">
        <w:t>for PacifiCorp</w:t>
      </w:r>
      <w:r w:rsidR="00EB0B9D">
        <w:t xml:space="preserve">. </w:t>
      </w:r>
      <w:r w:rsidR="00F83342">
        <w:t>Overall</w:t>
      </w:r>
      <w:r w:rsidR="00AD69A5">
        <w:t>,</w:t>
      </w:r>
      <w:r w:rsidR="00F83342">
        <w:t xml:space="preserve"> </w:t>
      </w:r>
      <w:r w:rsidR="6E6363D2" w:rsidRPr="004C1A85">
        <w:t>456,964</w:t>
      </w:r>
      <w:r w:rsidR="00F83342">
        <w:t xml:space="preserve"> customers</w:t>
      </w:r>
      <w:r w:rsidR="00214026">
        <w:t xml:space="preserve"> in</w:t>
      </w:r>
      <w:r w:rsidR="00CA4839">
        <w:t xml:space="preserve"> 70 counties</w:t>
      </w:r>
      <w:r w:rsidR="00F83342">
        <w:t xml:space="preserve"> were impacted</w:t>
      </w:r>
      <w:r w:rsidR="007A6117">
        <w:t xml:space="preserve"> including</w:t>
      </w:r>
      <w:r w:rsidR="00F83342">
        <w:t>,</w:t>
      </w:r>
      <w:r w:rsidR="007A6117">
        <w:t xml:space="preserve"> </w:t>
      </w:r>
      <w:r w:rsidR="338C3AE9" w:rsidRPr="004C1A85">
        <w:t>28,104</w:t>
      </w:r>
      <w:r w:rsidR="007A6117">
        <w:t xml:space="preserve"> of</w:t>
      </w:r>
      <w:r w:rsidR="00567AAF">
        <w:t xml:space="preserve"> medical baseline customer</w:t>
      </w:r>
      <w:r w:rsidR="001E71B9">
        <w:t>s</w:t>
      </w:r>
      <w:r w:rsidR="007A6117">
        <w:t xml:space="preserve">, </w:t>
      </w:r>
      <w:r w:rsidR="4874FFCC">
        <w:t xml:space="preserve">in </w:t>
      </w:r>
      <w:r w:rsidR="1256F192">
        <w:t xml:space="preserve">70 </w:t>
      </w:r>
      <w:r w:rsidR="007A6117">
        <w:t>counties</w:t>
      </w:r>
      <w:r w:rsidR="00363598">
        <w:t xml:space="preserve"> and</w:t>
      </w:r>
      <w:r w:rsidR="007A6117">
        <w:t xml:space="preserve"> </w:t>
      </w:r>
      <w:r w:rsidR="19C78871" w:rsidRPr="004C1A85">
        <w:t>17</w:t>
      </w:r>
      <w:r w:rsidR="00363598">
        <w:t xml:space="preserve"> </w:t>
      </w:r>
      <w:r w:rsidR="007A6117">
        <w:t>tribes</w:t>
      </w:r>
      <w:r w:rsidR="00360A00">
        <w:t>.</w:t>
      </w:r>
      <w:r w:rsidR="00863A93">
        <w:rPr>
          <w:rStyle w:val="FootnoteReference"/>
        </w:rPr>
        <w:footnoteReference w:id="2"/>
      </w:r>
      <w:r w:rsidR="007A6117">
        <w:t xml:space="preserve"> </w:t>
      </w:r>
      <w:r w:rsidR="002040AB">
        <w:t>SED</w:t>
      </w:r>
      <w:r w:rsidR="00391ABC">
        <w:t>’s</w:t>
      </w:r>
      <w:r w:rsidR="002040AB">
        <w:t xml:space="preserve"> D</w:t>
      </w:r>
      <w:r w:rsidR="00A5696F">
        <w:t>irector</w:t>
      </w:r>
      <w:r w:rsidR="002040AB">
        <w:t>,</w:t>
      </w:r>
      <w:r w:rsidR="00A5696F">
        <w:t xml:space="preserve"> </w:t>
      </w:r>
      <w:r w:rsidR="00747BED">
        <w:t xml:space="preserve">Lee </w:t>
      </w:r>
      <w:r w:rsidR="00A5696F">
        <w:t>Palmer</w:t>
      </w:r>
      <w:r w:rsidR="002040AB">
        <w:t>,</w:t>
      </w:r>
      <w:r w:rsidR="00A5696F">
        <w:t xml:space="preserve"> provided</w:t>
      </w:r>
      <w:r w:rsidR="00AC7266">
        <w:t xml:space="preserve"> a report to the CPUC</w:t>
      </w:r>
      <w:r w:rsidR="003B3AD2">
        <w:t xml:space="preserve"> Commissioners on November 5, 2020 </w:t>
      </w:r>
      <w:r w:rsidR="00FE3DE7">
        <w:t xml:space="preserve">about the </w:t>
      </w:r>
      <w:r w:rsidR="00A5696F">
        <w:t xml:space="preserve">significant statewide PSPS activity </w:t>
      </w:r>
      <w:r w:rsidR="00AC7266">
        <w:t xml:space="preserve">during </w:t>
      </w:r>
      <w:r w:rsidR="00BF033C">
        <w:t>October 25-27.</w:t>
      </w:r>
      <w:r w:rsidR="00A5696F">
        <w:t xml:space="preserve"> </w:t>
      </w:r>
      <w:r w:rsidR="00F733CC">
        <w:t>President Batjer</w:t>
      </w:r>
      <w:r w:rsidR="00362519">
        <w:t xml:space="preserve"> and</w:t>
      </w:r>
      <w:r w:rsidR="00F733CC">
        <w:t xml:space="preserve"> SED </w:t>
      </w:r>
      <w:r w:rsidR="00362519">
        <w:t>s</w:t>
      </w:r>
      <w:r w:rsidR="00F733CC">
        <w:t>enior</w:t>
      </w:r>
      <w:r w:rsidR="00DA5B19">
        <w:t xml:space="preserve"> staff</w:t>
      </w:r>
      <w:r w:rsidR="00F733CC">
        <w:t xml:space="preserve"> </w:t>
      </w:r>
      <w:r w:rsidR="00030B93">
        <w:t xml:space="preserve">participated </w:t>
      </w:r>
      <w:r w:rsidR="00166FC9">
        <w:t xml:space="preserve">in CalOES state executive </w:t>
      </w:r>
      <w:r w:rsidR="008F43BE">
        <w:t>call</w:t>
      </w:r>
      <w:r w:rsidR="00B5351D">
        <w:t>s</w:t>
      </w:r>
      <w:r w:rsidR="008F43BE">
        <w:t xml:space="preserve"> with each IOU twice daily during </w:t>
      </w:r>
      <w:r w:rsidR="007D03E3">
        <w:t xml:space="preserve">a PSPS event. </w:t>
      </w:r>
      <w:r w:rsidR="007B2E6E">
        <w:t xml:space="preserve">Additionally, SED </w:t>
      </w:r>
      <w:r w:rsidR="00A251C8">
        <w:t>participated</w:t>
      </w:r>
      <w:r w:rsidR="00567FE5">
        <w:t xml:space="preserve"> </w:t>
      </w:r>
      <w:r w:rsidR="001147FA">
        <w:t>on</w:t>
      </w:r>
      <w:r w:rsidR="00567FE5">
        <w:t xml:space="preserve"> IOU</w:t>
      </w:r>
      <w:r w:rsidR="001147FA">
        <w:t xml:space="preserve"> operational</w:t>
      </w:r>
      <w:r w:rsidR="008E2921">
        <w:t xml:space="preserve"> calls and</w:t>
      </w:r>
      <w:r w:rsidR="001147FA">
        <w:t xml:space="preserve"> </w:t>
      </w:r>
      <w:r w:rsidR="00B81C88">
        <w:t xml:space="preserve">virtually </w:t>
      </w:r>
      <w:r w:rsidR="003A19E9">
        <w:t>em</w:t>
      </w:r>
      <w:r w:rsidR="009F538F">
        <w:t>bedded</w:t>
      </w:r>
      <w:r w:rsidR="001D5694">
        <w:t xml:space="preserve"> in the IOU </w:t>
      </w:r>
      <w:r w:rsidR="003A19E9">
        <w:t>EOCs.</w:t>
      </w:r>
      <w:r w:rsidR="008E2921">
        <w:t xml:space="preserve"> </w:t>
      </w:r>
      <w:r w:rsidR="00443AE3">
        <w:t xml:space="preserve">During the November </w:t>
      </w:r>
      <w:r w:rsidR="00AB3942">
        <w:t>5</w:t>
      </w:r>
      <w:r w:rsidR="00443AE3">
        <w:t xml:space="preserve"> </w:t>
      </w:r>
      <w:r w:rsidR="003E5338">
        <w:t>CPUC</w:t>
      </w:r>
      <w:r w:rsidR="00AB3942">
        <w:t xml:space="preserve"> meeting, President</w:t>
      </w:r>
      <w:r w:rsidR="00011224">
        <w:t xml:space="preserve"> Ba</w:t>
      </w:r>
      <w:r w:rsidR="00767944">
        <w:t>t</w:t>
      </w:r>
      <w:r w:rsidR="00EF3350">
        <w:t>jer</w:t>
      </w:r>
      <w:r w:rsidR="00011224">
        <w:t xml:space="preserve"> </w:t>
      </w:r>
      <w:r w:rsidR="00272346">
        <w:t>shared that the CPUC</w:t>
      </w:r>
      <w:r w:rsidR="003E5338">
        <w:t xml:space="preserve"> </w:t>
      </w:r>
      <w:r w:rsidR="00272346">
        <w:t>has a</w:t>
      </w:r>
      <w:r w:rsidR="003A531E">
        <w:t xml:space="preserve"> process to review </w:t>
      </w:r>
      <w:r w:rsidR="003326CD">
        <w:t>the IOU PSPS event reports and will</w:t>
      </w:r>
      <w:r w:rsidR="003E5338">
        <w:t xml:space="preserve"> in</w:t>
      </w:r>
      <w:r w:rsidR="003A531E">
        <w:t>c</w:t>
      </w:r>
      <w:r w:rsidR="003E5338">
        <w:t xml:space="preserve">orporate </w:t>
      </w:r>
      <w:r w:rsidR="003326CD">
        <w:t xml:space="preserve">lessons </w:t>
      </w:r>
      <w:r w:rsidR="003E5338">
        <w:t>learned from th</w:t>
      </w:r>
      <w:r w:rsidR="00567649">
        <w:t>is fire season to refine PSPS guidelines</w:t>
      </w:r>
      <w:r w:rsidR="009A137A">
        <w:t xml:space="preserve"> to minimize the duration and impact of future PSPS events.</w:t>
      </w:r>
      <w:r w:rsidR="003E5338">
        <w:t xml:space="preserve"> </w:t>
      </w:r>
      <w:r w:rsidR="00EB0B9D">
        <w:t>More informatio</w:t>
      </w:r>
      <w:r w:rsidR="007A4A85">
        <w:t xml:space="preserve">n </w:t>
      </w:r>
      <w:r w:rsidR="0011150B">
        <w:t>on these events</w:t>
      </w:r>
      <w:r w:rsidR="00D53821">
        <w:t xml:space="preserve"> </w:t>
      </w:r>
      <w:r w:rsidR="007C5BFD">
        <w:t>can</w:t>
      </w:r>
      <w:r w:rsidR="00611EF7">
        <w:t xml:space="preserve"> be found </w:t>
      </w:r>
      <w:r w:rsidR="0084526F">
        <w:t>below</w:t>
      </w:r>
      <w:r w:rsidR="00D74D23">
        <w:t xml:space="preserve"> in the </w:t>
      </w:r>
      <w:r w:rsidR="00AE0FC8">
        <w:t>WSEB section</w:t>
      </w:r>
      <w:r w:rsidR="002C2D19">
        <w:t>.</w:t>
      </w:r>
    </w:p>
    <w:p w14:paraId="06F25E5E" w14:textId="3FFF5403" w:rsidR="00305307" w:rsidRDefault="00012F6C" w:rsidP="00E54881">
      <w:r>
        <w:t>O</w:t>
      </w:r>
      <w:r w:rsidR="00DF50DB">
        <w:t>n</w:t>
      </w:r>
      <w:r w:rsidR="00431085">
        <w:t xml:space="preserve"> October</w:t>
      </w:r>
      <w:r w:rsidR="00DF50DB">
        <w:t xml:space="preserve"> </w:t>
      </w:r>
      <w:r w:rsidR="00BE557F">
        <w:t>13, 2020</w:t>
      </w:r>
      <w:r w:rsidR="008C2259">
        <w:t>,</w:t>
      </w:r>
      <w:r w:rsidR="00431085">
        <w:t xml:space="preserve"> </w:t>
      </w:r>
      <w:r w:rsidR="00D2732E">
        <w:t>SED Director</w:t>
      </w:r>
      <w:r w:rsidR="003D007A">
        <w:t>,</w:t>
      </w:r>
      <w:r w:rsidR="00431085">
        <w:t xml:space="preserve"> </w:t>
      </w:r>
      <w:r w:rsidR="005C5052">
        <w:t xml:space="preserve">Lee </w:t>
      </w:r>
      <w:r w:rsidR="00431085">
        <w:t>Palmer</w:t>
      </w:r>
      <w:r w:rsidR="003D007A">
        <w:t>,</w:t>
      </w:r>
      <w:r w:rsidR="00431085">
        <w:t xml:space="preserve"> and G</w:t>
      </w:r>
      <w:r w:rsidR="00AA78CA">
        <w:t xml:space="preserve">as </w:t>
      </w:r>
      <w:r w:rsidR="00431085">
        <w:t>S</w:t>
      </w:r>
      <w:r w:rsidR="00AA78CA">
        <w:t xml:space="preserve">afety and </w:t>
      </w:r>
      <w:r w:rsidR="00431085">
        <w:t>R</w:t>
      </w:r>
      <w:r w:rsidR="00AA78CA">
        <w:t xml:space="preserve">eliability </w:t>
      </w:r>
      <w:r w:rsidR="00431085">
        <w:t>B</w:t>
      </w:r>
      <w:r w:rsidR="00AA78CA">
        <w:t>ranch</w:t>
      </w:r>
      <w:r w:rsidR="000C286E">
        <w:t xml:space="preserve"> (</w:t>
      </w:r>
      <w:r w:rsidR="00267618">
        <w:t xml:space="preserve">GSRB) </w:t>
      </w:r>
      <w:r w:rsidR="00431085">
        <w:t>Program Manager</w:t>
      </w:r>
      <w:r w:rsidR="003D007A">
        <w:t>,</w:t>
      </w:r>
      <w:r w:rsidR="00431085">
        <w:t xml:space="preserve"> </w:t>
      </w:r>
      <w:r w:rsidR="00D2732E">
        <w:t>Terence Eng</w:t>
      </w:r>
      <w:r w:rsidR="003D007A">
        <w:t>,</w:t>
      </w:r>
      <w:r w:rsidR="00B055F1">
        <w:t xml:space="preserve"> </w:t>
      </w:r>
      <w:r w:rsidR="00E7407C">
        <w:t>participated virtually</w:t>
      </w:r>
      <w:r w:rsidR="00586047">
        <w:t xml:space="preserve"> </w:t>
      </w:r>
      <w:r w:rsidR="0048618F">
        <w:t xml:space="preserve">on a panel </w:t>
      </w:r>
      <w:r w:rsidR="00190A46">
        <w:t xml:space="preserve">in Senator </w:t>
      </w:r>
      <w:r w:rsidR="007E4EF7">
        <w:t xml:space="preserve">Jerry </w:t>
      </w:r>
      <w:r w:rsidR="00190A46">
        <w:t xml:space="preserve">Hill’s </w:t>
      </w:r>
      <w:r w:rsidR="00475260">
        <w:t xml:space="preserve">Safety </w:t>
      </w:r>
      <w:r w:rsidR="00067BD5">
        <w:t xml:space="preserve">Subcommittee </w:t>
      </w:r>
      <w:r w:rsidR="0080449A">
        <w:t>Hearing</w:t>
      </w:r>
      <w:r w:rsidR="008C2259">
        <w:t xml:space="preserve"> titled</w:t>
      </w:r>
      <w:r w:rsidR="00C06855">
        <w:t>, “</w:t>
      </w:r>
      <w:r w:rsidR="001A2051">
        <w:t>Gas Safety Retrospective: A Decade Since San Bruno</w:t>
      </w:r>
      <w:r w:rsidR="00E32E6D">
        <w:t>”</w:t>
      </w:r>
      <w:r w:rsidR="001A2051">
        <w:t xml:space="preserve">. </w:t>
      </w:r>
      <w:r w:rsidR="0080449A">
        <w:t>SED</w:t>
      </w:r>
      <w:r w:rsidR="006535A8">
        <w:t xml:space="preserve"> </w:t>
      </w:r>
      <w:r w:rsidR="0086431F">
        <w:t xml:space="preserve">discussed </w:t>
      </w:r>
      <w:r w:rsidR="00475260">
        <w:t>CPUC</w:t>
      </w:r>
      <w:r w:rsidR="0086431F">
        <w:t xml:space="preserve"> improve</w:t>
      </w:r>
      <w:r w:rsidR="004607AA">
        <w:t xml:space="preserve">ments and strengthening of </w:t>
      </w:r>
      <w:r w:rsidR="00D6143C">
        <w:t xml:space="preserve">regulations based on </w:t>
      </w:r>
      <w:r w:rsidR="2B73D424">
        <w:t>National Transportation Safety Board (</w:t>
      </w:r>
      <w:r w:rsidR="00D6143C">
        <w:t>NTS</w:t>
      </w:r>
      <w:r w:rsidR="4F2785D5">
        <w:t>B</w:t>
      </w:r>
      <w:r w:rsidR="3F25C2FB">
        <w:t>)</w:t>
      </w:r>
      <w:r w:rsidR="00D6143C">
        <w:t xml:space="preserve"> recommendations, legislation, and </w:t>
      </w:r>
      <w:r w:rsidR="002F206E">
        <w:t xml:space="preserve">CPUC decisions. </w:t>
      </w:r>
      <w:r w:rsidR="45FB2209">
        <w:t>For example</w:t>
      </w:r>
      <w:r w:rsidR="00F959D6">
        <w:t>,</w:t>
      </w:r>
      <w:r w:rsidR="0098431B">
        <w:t xml:space="preserve"> </w:t>
      </w:r>
      <w:r w:rsidR="0027756B">
        <w:t>AB578</w:t>
      </w:r>
      <w:r w:rsidR="4BC71A8E">
        <w:t xml:space="preserve"> require</w:t>
      </w:r>
      <w:r w:rsidR="02DCCC6A">
        <w:t>s</w:t>
      </w:r>
      <w:r w:rsidR="4BC71A8E">
        <w:t xml:space="preserve"> the</w:t>
      </w:r>
      <w:r w:rsidR="006D0C94">
        <w:t xml:space="preserve"> CPUC </w:t>
      </w:r>
      <w:r w:rsidR="33F27DE8">
        <w:t>to</w:t>
      </w:r>
      <w:r w:rsidR="006D0C94">
        <w:t xml:space="preserve"> </w:t>
      </w:r>
      <w:r w:rsidR="31DA6A88">
        <w:t>act on gas safety recommendations by</w:t>
      </w:r>
      <w:r w:rsidR="1BD2D5A4">
        <w:t xml:space="preserve"> </w:t>
      </w:r>
      <w:r w:rsidR="006F6A01">
        <w:t>NTSB recommendation</w:t>
      </w:r>
      <w:r w:rsidR="00BE1423">
        <w:t xml:space="preserve">. </w:t>
      </w:r>
      <w:r w:rsidR="00DE3E0D">
        <w:t xml:space="preserve">Also, </w:t>
      </w:r>
      <w:r w:rsidR="00D24051">
        <w:t>AB56 requires rem</w:t>
      </w:r>
      <w:r w:rsidR="003E1620">
        <w:t xml:space="preserve">ote controlled </w:t>
      </w:r>
      <w:r w:rsidR="00D24051">
        <w:t xml:space="preserve">shutoff </w:t>
      </w:r>
      <w:r w:rsidR="003E1620">
        <w:t>valves</w:t>
      </w:r>
      <w:r w:rsidR="00D24051">
        <w:t xml:space="preserve"> </w:t>
      </w:r>
      <w:r w:rsidR="00D96740">
        <w:t xml:space="preserve">on gas infrastructure </w:t>
      </w:r>
      <w:r w:rsidR="003E1620">
        <w:t xml:space="preserve">in </w:t>
      </w:r>
      <w:r w:rsidR="0071028A">
        <w:t>areas of higher populati</w:t>
      </w:r>
      <w:r w:rsidR="0071028A" w:rsidRPr="00603DAF">
        <w:rPr>
          <w:szCs w:val="24"/>
        </w:rPr>
        <w:t>on</w:t>
      </w:r>
      <w:r w:rsidR="20A2066C" w:rsidRPr="00603DAF">
        <w:rPr>
          <w:szCs w:val="24"/>
        </w:rPr>
        <w:t xml:space="preserve"> and the comprehensive testing and record keeping of gas transmissions pipelines</w:t>
      </w:r>
      <w:r w:rsidR="0071028A" w:rsidRPr="00603DAF">
        <w:rPr>
          <w:szCs w:val="24"/>
        </w:rPr>
        <w:t xml:space="preserve">. </w:t>
      </w:r>
      <w:r w:rsidR="004B1432">
        <w:t xml:space="preserve">SED </w:t>
      </w:r>
      <w:r w:rsidR="00EC0CA3">
        <w:t>holds the utilities accountable for safety through audits, investigations</w:t>
      </w:r>
      <w:r w:rsidR="008C28F9">
        <w:t>,</w:t>
      </w:r>
      <w:r w:rsidR="00EC0CA3">
        <w:t xml:space="preserve"> </w:t>
      </w:r>
      <w:r w:rsidR="00166795">
        <w:t>assessments of fines</w:t>
      </w:r>
      <w:r w:rsidR="008A34D7">
        <w:t xml:space="preserve"> and penalties</w:t>
      </w:r>
      <w:r w:rsidR="00A135AD">
        <w:t>,</w:t>
      </w:r>
      <w:r w:rsidR="008A34D7">
        <w:t xml:space="preserve"> and corrective action plans</w:t>
      </w:r>
      <w:r w:rsidR="00166795">
        <w:t xml:space="preserve">. </w:t>
      </w:r>
      <w:r w:rsidR="00627568">
        <w:t xml:space="preserve">SED </w:t>
      </w:r>
      <w:r w:rsidR="00F21EA8">
        <w:t xml:space="preserve">appreciates </w:t>
      </w:r>
      <w:r w:rsidR="006631D2">
        <w:t xml:space="preserve">Senator Hill’s focus on natural Gas </w:t>
      </w:r>
      <w:r w:rsidR="00C40423">
        <w:t>Safety oversi</w:t>
      </w:r>
      <w:r w:rsidR="00AC6196">
        <w:t>ght</w:t>
      </w:r>
      <w:r w:rsidR="00C40423">
        <w:t xml:space="preserve"> </w:t>
      </w:r>
      <w:r w:rsidR="002411BA">
        <w:t xml:space="preserve">and safety improvements </w:t>
      </w:r>
      <w:r w:rsidR="00A21C86">
        <w:t xml:space="preserve">enacted over the decade since San Bruno.  </w:t>
      </w:r>
    </w:p>
    <w:p w14:paraId="105B70C1" w14:textId="4ADFCE18" w:rsidR="003B50B6" w:rsidRPr="004E47E5" w:rsidRDefault="00305307" w:rsidP="00E54881">
      <w:pPr>
        <w:rPr>
          <w:b/>
          <w:bCs/>
        </w:rPr>
      </w:pPr>
      <w:r w:rsidRPr="004E47E5">
        <w:rPr>
          <w:b/>
          <w:bCs/>
        </w:rPr>
        <w:t>O</w:t>
      </w:r>
      <w:r w:rsidR="002925E6" w:rsidRPr="004E47E5">
        <w:rPr>
          <w:b/>
          <w:bCs/>
        </w:rPr>
        <w:t>ther</w:t>
      </w:r>
      <w:r w:rsidR="00CD5C35" w:rsidRPr="004E47E5">
        <w:rPr>
          <w:b/>
          <w:bCs/>
        </w:rPr>
        <w:t xml:space="preserve"> </w:t>
      </w:r>
      <w:r w:rsidR="00741841" w:rsidRPr="004E47E5">
        <w:rPr>
          <w:b/>
          <w:bCs/>
        </w:rPr>
        <w:t xml:space="preserve">SED </w:t>
      </w:r>
      <w:r w:rsidR="00CD5C35" w:rsidRPr="004E47E5">
        <w:rPr>
          <w:b/>
          <w:bCs/>
        </w:rPr>
        <w:t>highlights</w:t>
      </w:r>
      <w:r w:rsidR="003F42FE" w:rsidRPr="004E47E5">
        <w:rPr>
          <w:b/>
          <w:bCs/>
        </w:rPr>
        <w:t xml:space="preserve"> during </w:t>
      </w:r>
      <w:r w:rsidR="002C205B" w:rsidRPr="004E47E5">
        <w:rPr>
          <w:b/>
          <w:bCs/>
        </w:rPr>
        <w:t>October</w:t>
      </w:r>
      <w:r w:rsidR="00CD5C35" w:rsidRPr="004E47E5">
        <w:rPr>
          <w:b/>
          <w:bCs/>
        </w:rPr>
        <w:t xml:space="preserve">, </w:t>
      </w:r>
      <w:r w:rsidR="00CE27A8" w:rsidRPr="004E47E5">
        <w:rPr>
          <w:b/>
          <w:bCs/>
        </w:rPr>
        <w:t>includ</w:t>
      </w:r>
      <w:r w:rsidR="00B564EC" w:rsidRPr="004E47E5">
        <w:rPr>
          <w:b/>
          <w:bCs/>
        </w:rPr>
        <w:t>e</w:t>
      </w:r>
      <w:r w:rsidR="00E54881" w:rsidRPr="004E47E5">
        <w:rPr>
          <w:b/>
          <w:bCs/>
        </w:rPr>
        <w:t xml:space="preserve">: </w:t>
      </w:r>
    </w:p>
    <w:p w14:paraId="61FCBB69" w14:textId="1876E9ED" w:rsidR="00747473" w:rsidRPr="004E47E5" w:rsidRDefault="000741FB" w:rsidP="003B50B6">
      <w:pPr>
        <w:pStyle w:val="ListParagraph"/>
        <w:numPr>
          <w:ilvl w:val="0"/>
          <w:numId w:val="30"/>
        </w:numPr>
        <w:rPr>
          <w:b/>
          <w:bCs/>
          <w:szCs w:val="24"/>
        </w:rPr>
      </w:pPr>
      <w:r w:rsidRPr="004E47E5">
        <w:rPr>
          <w:b/>
          <w:bCs/>
          <w:szCs w:val="24"/>
        </w:rPr>
        <w:t>Electric Safety and Reliability Branch (ESRB)</w:t>
      </w:r>
      <w:r w:rsidR="005869CD" w:rsidRPr="004E47E5">
        <w:rPr>
          <w:b/>
          <w:bCs/>
          <w:szCs w:val="24"/>
        </w:rPr>
        <w:t>:</w:t>
      </w:r>
      <w:r w:rsidR="45F663EF" w:rsidRPr="004E47E5">
        <w:rPr>
          <w:b/>
          <w:bCs/>
          <w:szCs w:val="24"/>
        </w:rPr>
        <w:t xml:space="preserve"> </w:t>
      </w:r>
    </w:p>
    <w:p w14:paraId="10C3732B" w14:textId="0AA16DB1" w:rsidR="000741FB" w:rsidRDefault="7DF15B9E" w:rsidP="749DF7FC">
      <w:pPr>
        <w:pStyle w:val="ListParagraph"/>
        <w:numPr>
          <w:ilvl w:val="1"/>
          <w:numId w:val="30"/>
        </w:numPr>
      </w:pPr>
      <w:r>
        <w:t>Beg</w:t>
      </w:r>
      <w:r w:rsidR="00C51F3A">
        <w:t>a</w:t>
      </w:r>
      <w:r>
        <w:t>n its investigation of three</w:t>
      </w:r>
      <w:r w:rsidR="002E1BDA">
        <w:t xml:space="preserve"> (3)</w:t>
      </w:r>
      <w:r>
        <w:t xml:space="preserve"> utility-related wildfire </w:t>
      </w:r>
      <w:r w:rsidR="00B13723">
        <w:t>incidents.</w:t>
      </w:r>
    </w:p>
    <w:p w14:paraId="34B776FF" w14:textId="09F1B42D" w:rsidR="002B6B3A" w:rsidRPr="00AA0442" w:rsidRDefault="3D134294" w:rsidP="00AA0442">
      <w:pPr>
        <w:pStyle w:val="ListParagraph"/>
        <w:numPr>
          <w:ilvl w:val="1"/>
          <w:numId w:val="30"/>
        </w:numPr>
        <w:rPr>
          <w:rFonts w:eastAsia="Garamond" w:cs="Garamond"/>
          <w:szCs w:val="24"/>
        </w:rPr>
      </w:pPr>
      <w:r>
        <w:t>Conducted</w:t>
      </w:r>
      <w:r w:rsidR="6AEFF8B2">
        <w:t xml:space="preserve"> eight (</w:t>
      </w:r>
      <w:r w:rsidR="1926471B">
        <w:t>8</w:t>
      </w:r>
      <w:r w:rsidR="628B9B5B">
        <w:t>)</w:t>
      </w:r>
      <w:r>
        <w:t xml:space="preserve"> audits</w:t>
      </w:r>
      <w:r w:rsidR="3190A4CE">
        <w:t>: two</w:t>
      </w:r>
      <w:r w:rsidR="00F91BDE">
        <w:t xml:space="preserve"> (2)</w:t>
      </w:r>
      <w:r w:rsidR="3190A4CE">
        <w:t xml:space="preserve"> electric distribution audits, </w:t>
      </w:r>
      <w:r w:rsidR="6F81948C">
        <w:t>one (1)</w:t>
      </w:r>
      <w:r w:rsidR="3190A4CE">
        <w:t xml:space="preserve"> substation audit, </w:t>
      </w:r>
      <w:r w:rsidR="4B0D5791">
        <w:t>three (</w:t>
      </w:r>
      <w:r w:rsidR="3190A4CE">
        <w:t>3</w:t>
      </w:r>
      <w:r w:rsidR="5644C141">
        <w:t>)</w:t>
      </w:r>
      <w:r w:rsidR="3190A4CE">
        <w:t xml:space="preserve"> Communication Infrastructure Provider audits, and </w:t>
      </w:r>
      <w:r w:rsidR="18524DC0">
        <w:t>two (</w:t>
      </w:r>
      <w:r w:rsidR="3190A4CE">
        <w:t>2</w:t>
      </w:r>
      <w:r w:rsidR="31490D7F">
        <w:t>)</w:t>
      </w:r>
      <w:r w:rsidR="3190A4CE">
        <w:t xml:space="preserve"> electric transmission audits</w:t>
      </w:r>
      <w:r w:rsidR="3A48F4B4">
        <w:t>.</w:t>
      </w:r>
      <w:r w:rsidR="00094E1E">
        <w:t xml:space="preserve"> </w:t>
      </w:r>
    </w:p>
    <w:p w14:paraId="76947CE6" w14:textId="77777777" w:rsidR="000741FB" w:rsidRPr="00AA0442" w:rsidRDefault="000741FB" w:rsidP="00197E77">
      <w:pPr>
        <w:pStyle w:val="ListParagraph"/>
        <w:numPr>
          <w:ilvl w:val="0"/>
          <w:numId w:val="30"/>
        </w:numPr>
        <w:spacing w:before="240"/>
        <w:rPr>
          <w:b/>
          <w:bCs/>
          <w:szCs w:val="24"/>
        </w:rPr>
      </w:pPr>
      <w:r w:rsidRPr="00AA0442">
        <w:rPr>
          <w:b/>
          <w:bCs/>
          <w:szCs w:val="24"/>
        </w:rPr>
        <w:t>Gas Safety and Reliability Branch (GSRB)</w:t>
      </w:r>
      <w:r w:rsidR="5D9FFFE4" w:rsidRPr="00AA0442">
        <w:rPr>
          <w:b/>
          <w:bCs/>
          <w:szCs w:val="24"/>
        </w:rPr>
        <w:t>:</w:t>
      </w:r>
    </w:p>
    <w:p w14:paraId="0EE55188" w14:textId="4AAB554A" w:rsidR="6917747C" w:rsidRDefault="1DC24AE7">
      <w:pPr>
        <w:pStyle w:val="ListParagraph"/>
        <w:numPr>
          <w:ilvl w:val="1"/>
          <w:numId w:val="30"/>
        </w:numPr>
        <w:spacing w:after="0"/>
        <w:rPr>
          <w:rFonts w:eastAsia="Garamond" w:cs="Garamond"/>
        </w:rPr>
      </w:pPr>
      <w:r>
        <w:t xml:space="preserve">Discussed </w:t>
      </w:r>
      <w:r w:rsidR="2763490A">
        <w:t xml:space="preserve">pending </w:t>
      </w:r>
      <w:r>
        <w:t>safety items</w:t>
      </w:r>
      <w:r w:rsidR="4E48BF70">
        <w:t xml:space="preserve"> with </w:t>
      </w:r>
      <w:r w:rsidR="095DB826">
        <w:t>leadership teams of the following utilities:</w:t>
      </w:r>
    </w:p>
    <w:p w14:paraId="160D6CC6" w14:textId="5334BF19" w:rsidR="38826939" w:rsidRDefault="4E48BF70">
      <w:pPr>
        <w:pStyle w:val="ListParagraph"/>
        <w:numPr>
          <w:ilvl w:val="2"/>
          <w:numId w:val="30"/>
        </w:numPr>
        <w:spacing w:after="0"/>
      </w:pPr>
      <w:r>
        <w:t>S</w:t>
      </w:r>
      <w:r w:rsidR="3A934CE1">
        <w:t>outhwest Gas</w:t>
      </w:r>
      <w:r w:rsidR="003077BF">
        <w:t xml:space="preserve">, </w:t>
      </w:r>
      <w:r w:rsidR="38826939">
        <w:t>SoCalGas/S</w:t>
      </w:r>
      <w:r w:rsidR="227AD439">
        <w:t>an Diego Gas and Electric</w:t>
      </w:r>
      <w:r w:rsidR="003077BF">
        <w:t xml:space="preserve">, </w:t>
      </w:r>
      <w:r w:rsidR="38826939">
        <w:t>P</w:t>
      </w:r>
      <w:r w:rsidR="268076CD">
        <w:t>acific Gas and Electric</w:t>
      </w:r>
      <w:r w:rsidR="003077BF">
        <w:t>.</w:t>
      </w:r>
    </w:p>
    <w:p w14:paraId="4B1EFFAD" w14:textId="113907FA" w:rsidR="43CD4F93" w:rsidRDefault="532EAA4A" w:rsidP="211EB19D">
      <w:pPr>
        <w:pStyle w:val="ListParagraph"/>
        <w:numPr>
          <w:ilvl w:val="1"/>
          <w:numId w:val="30"/>
        </w:numPr>
        <w:spacing w:after="0"/>
      </w:pPr>
      <w:r>
        <w:lastRenderedPageBreak/>
        <w:t xml:space="preserve">Discussed safety </w:t>
      </w:r>
      <w:r w:rsidR="1701B898">
        <w:t>improvement</w:t>
      </w:r>
      <w:r>
        <w:t>s</w:t>
      </w:r>
      <w:r w:rsidR="22E748CF">
        <w:t xml:space="preserve"> with </w:t>
      </w:r>
      <w:r w:rsidR="2D84C880">
        <w:t xml:space="preserve">the </w:t>
      </w:r>
      <w:r w:rsidR="22E748CF">
        <w:t>Senate Committee on Energy, Utilities and Communications regarding Gas Safety Retrospective: A Decade Since San Bruno</w:t>
      </w:r>
      <w:r w:rsidR="7ECA4077">
        <w:t>.</w:t>
      </w:r>
    </w:p>
    <w:p w14:paraId="1130CE3A" w14:textId="5DFB88D4" w:rsidR="0E62C4D7" w:rsidRDefault="0E62C4D7" w:rsidP="2FF31893">
      <w:pPr>
        <w:pStyle w:val="ListParagraph"/>
        <w:numPr>
          <w:ilvl w:val="1"/>
          <w:numId w:val="30"/>
        </w:numPr>
        <w:spacing w:after="0"/>
      </w:pPr>
      <w:r>
        <w:t>Conducted nine (9)</w:t>
      </w:r>
      <w:r w:rsidR="7388171B">
        <w:t xml:space="preserve"> weeks of</w:t>
      </w:r>
      <w:r>
        <w:t xml:space="preserve"> audit</w:t>
      </w:r>
      <w:r w:rsidR="150DCE3C">
        <w:t>ing including</w:t>
      </w:r>
      <w:r>
        <w:t>: seven (7) large operato</w:t>
      </w:r>
      <w:r w:rsidR="38533BCF">
        <w:t>r,</w:t>
      </w:r>
      <w:r w:rsidR="009A5AC0">
        <w:t xml:space="preserve"> and</w:t>
      </w:r>
      <w:r w:rsidR="38533BCF">
        <w:t xml:space="preserve"> two (2) municipalities</w:t>
      </w:r>
    </w:p>
    <w:p w14:paraId="70C6E63D" w14:textId="53F3BAEA" w:rsidR="00C6234C" w:rsidRPr="00C21775" w:rsidRDefault="000741FB">
      <w:pPr>
        <w:pStyle w:val="ListParagraph"/>
        <w:numPr>
          <w:ilvl w:val="0"/>
          <w:numId w:val="30"/>
        </w:numPr>
        <w:spacing w:before="240" w:after="0"/>
        <w:rPr>
          <w:rFonts w:eastAsia="Garamond" w:cs="Garamond"/>
          <w:b/>
          <w:bCs/>
        </w:rPr>
      </w:pPr>
      <w:r w:rsidRPr="00C21775">
        <w:rPr>
          <w:b/>
          <w:bCs/>
        </w:rPr>
        <w:t xml:space="preserve">Wildfire Safety and </w:t>
      </w:r>
      <w:r w:rsidR="5E7B7861" w:rsidRPr="00C21775">
        <w:rPr>
          <w:b/>
          <w:bCs/>
        </w:rPr>
        <w:t>Enforcement</w:t>
      </w:r>
      <w:r w:rsidRPr="00C21775">
        <w:rPr>
          <w:b/>
          <w:bCs/>
        </w:rPr>
        <w:t xml:space="preserve"> Branch (WS</w:t>
      </w:r>
      <w:r w:rsidR="16D5CB70" w:rsidRPr="00C21775">
        <w:rPr>
          <w:b/>
          <w:bCs/>
        </w:rPr>
        <w:t>E</w:t>
      </w:r>
      <w:r w:rsidRPr="00C21775">
        <w:rPr>
          <w:b/>
          <w:bCs/>
        </w:rPr>
        <w:t>B)</w:t>
      </w:r>
      <w:r w:rsidR="00C6234C" w:rsidRPr="00C21775">
        <w:rPr>
          <w:b/>
          <w:bCs/>
        </w:rPr>
        <w:t>:</w:t>
      </w:r>
    </w:p>
    <w:p w14:paraId="3DE1330A" w14:textId="3F3E6CE5" w:rsidR="0099777B" w:rsidRPr="00B16911" w:rsidRDefault="000741FB" w:rsidP="00C6234C">
      <w:pPr>
        <w:pStyle w:val="ListParagraph"/>
        <w:numPr>
          <w:ilvl w:val="1"/>
          <w:numId w:val="30"/>
        </w:numPr>
        <w:spacing w:before="240" w:after="0"/>
        <w:rPr>
          <w:rFonts w:eastAsia="Garamond" w:cs="Garamond"/>
        </w:rPr>
      </w:pPr>
      <w:r>
        <w:t xml:space="preserve"> </w:t>
      </w:r>
      <w:r w:rsidR="00452ADA">
        <w:t>In addition to the PSPS activities</w:t>
      </w:r>
      <w:r w:rsidR="00F46CB3">
        <w:t xml:space="preserve"> described above</w:t>
      </w:r>
      <w:r w:rsidR="00452ADA">
        <w:t>, WSEB</w:t>
      </w:r>
      <w:r w:rsidR="0B531C19">
        <w:t xml:space="preserve"> participated in several CPUC proceeding</w:t>
      </w:r>
      <w:r w:rsidR="2080C171">
        <w:t>s,</w:t>
      </w:r>
      <w:r w:rsidR="0B531C19">
        <w:t xml:space="preserve"> including the 2019 PSPS OII</w:t>
      </w:r>
      <w:r w:rsidR="414AEC91">
        <w:t xml:space="preserve"> and the</w:t>
      </w:r>
      <w:r w:rsidR="0B531C19">
        <w:t xml:space="preserve"> SCE Petition to Modify the H</w:t>
      </w:r>
      <w:r w:rsidR="002E4AB7">
        <w:t xml:space="preserve">igh </w:t>
      </w:r>
      <w:r w:rsidR="0B531C19">
        <w:t>F</w:t>
      </w:r>
      <w:r w:rsidR="002E4AB7">
        <w:t xml:space="preserve">ire </w:t>
      </w:r>
      <w:r w:rsidR="0B531C19">
        <w:t>T</w:t>
      </w:r>
      <w:r w:rsidR="005D1A54">
        <w:t xml:space="preserve">hreat </w:t>
      </w:r>
      <w:r w:rsidR="0B531C19">
        <w:t>D</w:t>
      </w:r>
      <w:r w:rsidR="005D1A54">
        <w:t>istricts</w:t>
      </w:r>
      <w:r w:rsidR="0B531C19">
        <w:t xml:space="preserve"> Map</w:t>
      </w:r>
      <w:r w:rsidR="54ECB4E7">
        <w:t>.</w:t>
      </w:r>
      <w:r w:rsidR="36E28AEF">
        <w:t xml:space="preserve"> </w:t>
      </w:r>
    </w:p>
    <w:p w14:paraId="52900A4E" w14:textId="518F329A" w:rsidR="000741FB" w:rsidRDefault="2E831794" w:rsidP="00B16911">
      <w:pPr>
        <w:pStyle w:val="ListParagraph"/>
        <w:numPr>
          <w:ilvl w:val="1"/>
          <w:numId w:val="30"/>
        </w:numPr>
        <w:spacing w:before="240" w:after="0"/>
        <w:rPr>
          <w:rFonts w:eastAsia="Garamond" w:cs="Garamond"/>
        </w:rPr>
      </w:pPr>
      <w:r>
        <w:t xml:space="preserve">In conjunction with ESRB, </w:t>
      </w:r>
      <w:r w:rsidR="36E28AEF">
        <w:t xml:space="preserve">WSEB initiated </w:t>
      </w:r>
      <w:r w:rsidR="00D276AD">
        <w:t xml:space="preserve">three (3) </w:t>
      </w:r>
      <w:r w:rsidR="36E28AEF">
        <w:t xml:space="preserve">investigations into utility-related wildfires. </w:t>
      </w:r>
    </w:p>
    <w:p w14:paraId="65B63C1B" w14:textId="77777777" w:rsidR="00A4107A" w:rsidRDefault="00A4107A">
      <w:pPr>
        <w:spacing w:after="200" w:line="276" w:lineRule="auto"/>
      </w:pPr>
    </w:p>
    <w:p w14:paraId="2EEC205A" w14:textId="039572BC" w:rsidR="000741FB" w:rsidRPr="002D7428" w:rsidRDefault="000741FB">
      <w:pPr>
        <w:pStyle w:val="Heading2"/>
      </w:pPr>
      <w:bookmarkStart w:id="3" w:name="_Toc58401331"/>
      <w:r w:rsidRPr="002D7428">
        <w:t>C</w:t>
      </w:r>
      <w:r w:rsidR="00822480">
        <w:t>OMPLIANCE WITH ORDERING PARAGRAPHS</w:t>
      </w:r>
      <w:r w:rsidRPr="002D7428">
        <w:t xml:space="preserve"> (COPS)</w:t>
      </w:r>
      <w:bookmarkEnd w:id="1"/>
      <w:bookmarkEnd w:id="3"/>
      <w:r w:rsidRPr="002D7428">
        <w:t xml:space="preserve"> </w:t>
      </w:r>
    </w:p>
    <w:p w14:paraId="33A1F603" w14:textId="3617EED0" w:rsidR="000741FB" w:rsidRDefault="000741FB" w:rsidP="000741FB">
      <w:pPr>
        <w:spacing w:before="240"/>
      </w:pPr>
      <w:r w:rsidRPr="00DE5BD9">
        <w:t xml:space="preserve">The Compliance with Ordering Paragraphs (COPs) </w:t>
      </w:r>
      <w:r>
        <w:t>database</w:t>
      </w:r>
      <w:r w:rsidRPr="00DE5BD9">
        <w:t xml:space="preserve"> is designed to assist CPUC staff in tracking compliance with Ordering Paragraphs (OPs) of regulated entities with Commission decisions. </w:t>
      </w:r>
      <w:r w:rsidR="009F7BD6">
        <w:t>Each m</w:t>
      </w:r>
      <w:r w:rsidRPr="00DE5BD9">
        <w:t>onth various agency staff use COPs to identify</w:t>
      </w:r>
      <w:r>
        <w:t xml:space="preserve"> and</w:t>
      </w:r>
      <w:r w:rsidRPr="00DE5BD9">
        <w:t xml:space="preserve"> enter </w:t>
      </w:r>
      <w:r w:rsidR="000A5AC2">
        <w:t xml:space="preserve">into the database relevant </w:t>
      </w:r>
      <w:r w:rsidRPr="00DE5BD9">
        <w:t>OPs, verify and document compliance, and produce reports summarizing compliance with OPs.</w:t>
      </w:r>
    </w:p>
    <w:p w14:paraId="157DE8BF" w14:textId="6FA59904" w:rsidR="004F14AB" w:rsidRDefault="00765A60" w:rsidP="000741FB">
      <w:r>
        <w:t>Between</w:t>
      </w:r>
      <w:r w:rsidR="0060007D">
        <w:t xml:space="preserve"> </w:t>
      </w:r>
      <w:r w:rsidR="00DD0694">
        <w:t xml:space="preserve">January </w:t>
      </w:r>
      <w:r w:rsidR="0060007D">
        <w:t>2015 and</w:t>
      </w:r>
      <w:r w:rsidR="000741FB">
        <w:t xml:space="preserve"> </w:t>
      </w:r>
      <w:r w:rsidR="00013AC6">
        <w:t>October</w:t>
      </w:r>
      <w:r w:rsidR="000741FB">
        <w:t xml:space="preserve"> 3</w:t>
      </w:r>
      <w:r w:rsidR="00013AC6">
        <w:t>1</w:t>
      </w:r>
      <w:r w:rsidR="000741FB">
        <w:t xml:space="preserve">, 2020, SED </w:t>
      </w:r>
      <w:r w:rsidR="0063461D">
        <w:t>has</w:t>
      </w:r>
      <w:r w:rsidR="000741FB">
        <w:t xml:space="preserve"> </w:t>
      </w:r>
      <w:r w:rsidR="000F19D9">
        <w:t>78</w:t>
      </w:r>
      <w:r w:rsidR="000741FB">
        <w:t xml:space="preserve"> total entries in the COPS system with 3</w:t>
      </w:r>
      <w:r w:rsidR="00203CA6">
        <w:t>4</w:t>
      </w:r>
      <w:r w:rsidR="000741FB">
        <w:t xml:space="preserve"> reaching compliance (</w:t>
      </w:r>
      <w:r w:rsidR="00B86848">
        <w:t>4</w:t>
      </w:r>
      <w:r w:rsidR="00203CA6">
        <w:t>4</w:t>
      </w:r>
      <w:r w:rsidR="000741FB">
        <w:t xml:space="preserve">%), </w:t>
      </w:r>
      <w:r w:rsidR="00B86848">
        <w:t>3</w:t>
      </w:r>
      <w:r w:rsidR="006148E8">
        <w:t>8</w:t>
      </w:r>
      <w:r w:rsidR="000741FB">
        <w:t xml:space="preserve"> (</w:t>
      </w:r>
      <w:r w:rsidR="006148E8">
        <w:t>49</w:t>
      </w:r>
      <w:r w:rsidR="000741FB">
        <w:t xml:space="preserve">%) not yet due for compliance, and 0 (0%) out of compliance. </w:t>
      </w:r>
      <w:r w:rsidR="00C9395C">
        <w:t>78</w:t>
      </w:r>
      <w:r w:rsidR="000741FB">
        <w:t xml:space="preserve"> (100%) of all </w:t>
      </w:r>
      <w:r w:rsidR="0003417F">
        <w:t xml:space="preserve">SED </w:t>
      </w:r>
      <w:r w:rsidR="000741FB">
        <w:t xml:space="preserve">Ordering Paragraphs are assigned to staff. The chart below shows statistics </w:t>
      </w:r>
      <w:r w:rsidR="006E48A6">
        <w:t>through</w:t>
      </w:r>
      <w:r w:rsidR="000741FB">
        <w:t xml:space="preserve"> </w:t>
      </w:r>
      <w:r w:rsidR="00345010">
        <w:t>October</w:t>
      </w:r>
      <w:r w:rsidR="006E48A6">
        <w:t xml:space="preserve"> 2020</w:t>
      </w:r>
      <w:r w:rsidR="000741FB">
        <w:rPr>
          <w:rStyle w:val="FootnoteReference"/>
        </w:rPr>
        <w:footnoteReference w:id="3"/>
      </w:r>
      <w:r w:rsidR="000741FB">
        <w:t>.</w:t>
      </w:r>
      <w:r w:rsidR="002504DF">
        <w:t xml:space="preserve"> </w:t>
      </w:r>
      <w:r w:rsidR="004F14AB">
        <w:t xml:space="preserve">During </w:t>
      </w:r>
      <w:r w:rsidR="004E1EB9">
        <w:t>October</w:t>
      </w:r>
      <w:r w:rsidR="00AA0556">
        <w:t xml:space="preserve">, there were </w:t>
      </w:r>
      <w:r w:rsidR="006E4EA4">
        <w:t>no</w:t>
      </w:r>
      <w:r w:rsidR="00AA0556">
        <w:t xml:space="preserve"> new OPs recorded to the COPs database for SED.</w:t>
      </w:r>
    </w:p>
    <w:p w14:paraId="33AA3802" w14:textId="077A8C9B" w:rsidR="006C7665" w:rsidRDefault="00AD64F3" w:rsidP="000741FB">
      <w:r>
        <w:rPr>
          <w:noProof/>
          <w14:ligatures w14:val="standardContextual"/>
        </w:rPr>
        <w:drawing>
          <wp:inline distT="0" distB="0" distL="0" distR="0" wp14:anchorId="08330554" wp14:editId="7D815A8F">
            <wp:extent cx="5334000" cy="2428875"/>
            <wp:effectExtent l="0" t="0" r="0" b="9525"/>
            <wp:docPr id="12" name="Chart 12">
              <a:extLst xmlns:a="http://schemas.openxmlformats.org/drawingml/2006/main">
                <a:ext uri="{FF2B5EF4-FFF2-40B4-BE49-F238E27FC236}">
                  <a16:creationId xmlns:a16="http://schemas.microsoft.com/office/drawing/2014/main" id="{1FA454D4-8B11-4216-AFD0-B07FE7872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C6E2DB" w14:textId="1615DAB0" w:rsidR="000741FB" w:rsidRPr="00BA63F0" w:rsidRDefault="000741FB" w:rsidP="3822077D">
      <w:pPr>
        <w:pStyle w:val="Heading2"/>
        <w:pageBreakBefore/>
        <w:rPr>
          <w:rFonts w:asciiTheme="majorHAnsi" w:eastAsia="Garamond" w:hAnsiTheme="majorHAnsi" w:cs="Garamond"/>
          <w:b/>
          <w:bCs/>
        </w:rPr>
      </w:pPr>
      <w:bookmarkStart w:id="4" w:name="_Toc58401332"/>
      <w:bookmarkStart w:id="5" w:name="_Toc506286841"/>
      <w:bookmarkStart w:id="6" w:name="_Toc514154586"/>
      <w:bookmarkStart w:id="7" w:name="_Toc501377734"/>
      <w:bookmarkEnd w:id="2"/>
      <w:r w:rsidRPr="00BA63F0">
        <w:rPr>
          <w:rFonts w:asciiTheme="majorHAnsi" w:eastAsia="Garamond" w:hAnsiTheme="majorHAnsi" w:cs="Garamond"/>
          <w:b/>
          <w:bCs/>
        </w:rPr>
        <w:t>G</w:t>
      </w:r>
      <w:r w:rsidR="00C86DBB" w:rsidRPr="00BA63F0">
        <w:rPr>
          <w:rFonts w:asciiTheme="majorHAnsi" w:eastAsia="Garamond" w:hAnsiTheme="majorHAnsi" w:cs="Garamond"/>
          <w:b/>
          <w:bCs/>
        </w:rPr>
        <w:t>AS</w:t>
      </w:r>
      <w:r w:rsidRPr="00BA63F0">
        <w:rPr>
          <w:rFonts w:asciiTheme="majorHAnsi" w:eastAsia="Garamond" w:hAnsiTheme="majorHAnsi" w:cs="Garamond"/>
          <w:b/>
          <w:bCs/>
        </w:rPr>
        <w:t xml:space="preserve"> S</w:t>
      </w:r>
      <w:r w:rsidR="00C86DBB" w:rsidRPr="00BA63F0">
        <w:rPr>
          <w:rFonts w:asciiTheme="majorHAnsi" w:eastAsia="Garamond" w:hAnsiTheme="majorHAnsi" w:cs="Garamond"/>
          <w:b/>
          <w:bCs/>
        </w:rPr>
        <w:t>AFETY AND</w:t>
      </w:r>
      <w:r w:rsidR="00A354B1" w:rsidRPr="00BA63F0">
        <w:rPr>
          <w:rFonts w:asciiTheme="majorHAnsi" w:eastAsia="Garamond" w:hAnsiTheme="majorHAnsi" w:cs="Garamond"/>
          <w:b/>
          <w:bCs/>
        </w:rPr>
        <w:t xml:space="preserve"> </w:t>
      </w:r>
      <w:r w:rsidRPr="00BA63F0">
        <w:rPr>
          <w:rFonts w:asciiTheme="majorHAnsi" w:eastAsia="Garamond" w:hAnsiTheme="majorHAnsi" w:cs="Garamond"/>
          <w:b/>
          <w:bCs/>
        </w:rPr>
        <w:t>R</w:t>
      </w:r>
      <w:r w:rsidR="00A354B1" w:rsidRPr="00BA63F0">
        <w:rPr>
          <w:rFonts w:asciiTheme="majorHAnsi" w:eastAsia="Garamond" w:hAnsiTheme="majorHAnsi" w:cs="Garamond"/>
          <w:b/>
          <w:bCs/>
        </w:rPr>
        <w:t xml:space="preserve">ELIABILITY </w:t>
      </w:r>
      <w:r w:rsidRPr="00BA63F0">
        <w:rPr>
          <w:rFonts w:asciiTheme="majorHAnsi" w:eastAsia="Garamond" w:hAnsiTheme="majorHAnsi" w:cs="Garamond"/>
          <w:b/>
          <w:bCs/>
        </w:rPr>
        <w:t>B</w:t>
      </w:r>
      <w:r w:rsidR="00A354B1" w:rsidRPr="00BA63F0">
        <w:rPr>
          <w:rFonts w:asciiTheme="majorHAnsi" w:eastAsia="Garamond" w:hAnsiTheme="majorHAnsi" w:cs="Garamond"/>
          <w:b/>
          <w:bCs/>
        </w:rPr>
        <w:t>RANCH</w:t>
      </w:r>
      <w:r w:rsidRPr="00BA63F0">
        <w:rPr>
          <w:rFonts w:asciiTheme="majorHAnsi" w:eastAsia="Garamond" w:hAnsiTheme="majorHAnsi" w:cs="Garamond"/>
          <w:b/>
          <w:bCs/>
        </w:rPr>
        <w:t xml:space="preserve"> (GSRB)</w:t>
      </w:r>
      <w:bookmarkEnd w:id="4"/>
    </w:p>
    <w:p w14:paraId="30F9CFF7" w14:textId="77777777" w:rsidR="000741FB" w:rsidRDefault="000741FB" w:rsidP="3822077D">
      <w:pPr>
        <w:rPr>
          <w:rFonts w:eastAsia="Garamond" w:cs="Garamond"/>
        </w:rPr>
      </w:pPr>
      <w:bookmarkStart w:id="8" w:name="_Toc514067253"/>
      <w:bookmarkStart w:id="9" w:name="_Toc514154587"/>
      <w:bookmarkStart w:id="10" w:name="_Toc524012859"/>
      <w:bookmarkStart w:id="11" w:name="_Toc525901729"/>
      <w:bookmarkStart w:id="12" w:name="_Toc531764812"/>
      <w:bookmarkStart w:id="13" w:name="_Toc534886502"/>
      <w:bookmarkStart w:id="14" w:name="_Toc508009461"/>
      <w:bookmarkStart w:id="15" w:name="_Toc510709694"/>
      <w:bookmarkStart w:id="16" w:name="_Toc506286842"/>
      <w:bookmarkEnd w:id="5"/>
      <w:bookmarkEnd w:id="6"/>
      <w:bookmarkEnd w:id="7"/>
      <w:r w:rsidRPr="3822077D">
        <w:rPr>
          <w:rFonts w:eastAsia="Garamond" w:cs="Garamond"/>
        </w:rPr>
        <w:t>The Gas Safety and Reliability Branch (GSRB) ensures that intra-state natural gas and liquid petroleum gas (LPG) pipeline systems are designed, constructed, operated, and maintained according to safety standards set by the CPUC and the federal government. CPUC gas safety engineers are trained and qualified by the federal government. The CPUC enforces natural gas and LPG safety regulations; inspects construction, operation, and maintenance activities; and makes necessary amendments to regulations. Its mission is to protect and promote the safety of the public, the utility employees that work on the gas pipeline systems, and the environment.</w:t>
      </w:r>
    </w:p>
    <w:p w14:paraId="7AABF97D" w14:textId="1504AB56" w:rsidR="000741FB" w:rsidRPr="006D0652" w:rsidRDefault="00981835" w:rsidP="0022397F">
      <w:pPr>
        <w:pStyle w:val="Heading3"/>
      </w:pPr>
      <w:bookmarkStart w:id="17" w:name="_Toc58401333"/>
      <w:r>
        <w:t xml:space="preserve">Natural </w:t>
      </w:r>
      <w:r w:rsidR="000741FB" w:rsidRPr="006D0652">
        <w:t>Gas Citations</w:t>
      </w:r>
      <w:bookmarkEnd w:id="17"/>
      <w:r w:rsidR="000741FB" w:rsidRPr="006D0652">
        <w:t xml:space="preserve"> </w:t>
      </w:r>
      <w:bookmarkStart w:id="18" w:name="_Hlk48063575"/>
      <w:bookmarkEnd w:id="8"/>
      <w:bookmarkEnd w:id="9"/>
      <w:bookmarkEnd w:id="10"/>
      <w:bookmarkEnd w:id="11"/>
      <w:bookmarkEnd w:id="12"/>
      <w:bookmarkEnd w:id="13"/>
      <w:bookmarkEnd w:id="14"/>
      <w:bookmarkEnd w:id="15"/>
      <w:bookmarkEnd w:id="16"/>
    </w:p>
    <w:bookmarkEnd w:id="18"/>
    <w:p w14:paraId="3106DFBE" w14:textId="4DF75E7C" w:rsidR="000741FB" w:rsidRDefault="000741FB" w:rsidP="3822077D">
      <w:pPr>
        <w:rPr>
          <w:rFonts w:eastAsia="Garamond" w:cs="Garamond"/>
        </w:rPr>
      </w:pPr>
      <w:r w:rsidRPr="3822077D">
        <w:rPr>
          <w:rFonts w:eastAsia="Garamond" w:cs="Garamond"/>
        </w:rPr>
        <w:t>GSRB has the authority to issue citations with penalties for operator violations of public utility safety codes and requirements</w:t>
      </w:r>
      <w:r w:rsidRPr="3822077D">
        <w:rPr>
          <w:rStyle w:val="FootnoteReference"/>
          <w:rFonts w:eastAsia="Garamond" w:cs="Garamond"/>
        </w:rPr>
        <w:footnoteReference w:id="4"/>
      </w:r>
      <w:r w:rsidRPr="3822077D">
        <w:rPr>
          <w:rFonts w:eastAsia="Garamond" w:cs="Garamond"/>
        </w:rPr>
        <w:t>. The citation process allows the CPUC to act expediently in matters where violations of state and federal rules are clear and unambiguous. Citations may arise out of an ongoing investigation into related matters or when a violation is brought to the CPUC’s attention directly.</w:t>
      </w:r>
      <w:r w:rsidR="003E29CD">
        <w:rPr>
          <w:rFonts w:eastAsia="Garamond" w:cs="Garamond"/>
        </w:rPr>
        <w:t xml:space="preserve"> </w:t>
      </w:r>
      <w:r w:rsidR="00866444">
        <w:rPr>
          <w:rFonts w:eastAsia="Garamond" w:cs="Garamond"/>
        </w:rPr>
        <w:t>T</w:t>
      </w:r>
      <w:r w:rsidRPr="18AF3A3E">
        <w:rPr>
          <w:rFonts w:eastAsia="Garamond" w:cs="Garamond"/>
        </w:rPr>
        <w:t>he table below shows the status of citations issued by GSRB to date in 2020.</w:t>
      </w:r>
      <w:r w:rsidR="5553667C" w:rsidRPr="18AF3A3E">
        <w:rPr>
          <w:rFonts w:eastAsia="Garamond" w:cs="Garamond"/>
        </w:rPr>
        <w:t xml:space="preserve"> The citations can be found on the Commission’s website </w:t>
      </w:r>
      <w:hyperlink r:id="rId13" w:history="1">
        <w:r w:rsidR="5553667C" w:rsidRPr="18AF3A3E">
          <w:rPr>
            <w:rStyle w:val="Hyperlink"/>
            <w:rFonts w:eastAsia="Garamond" w:cs="Garamond"/>
          </w:rPr>
          <w:t>here</w:t>
        </w:r>
      </w:hyperlink>
      <w:r w:rsidR="5553667C" w:rsidRPr="18AF3A3E">
        <w:rPr>
          <w:rFonts w:eastAsia="Garamond" w:cs="Garamond"/>
        </w:rPr>
        <w:t>.</w:t>
      </w:r>
    </w:p>
    <w:tbl>
      <w:tblPr>
        <w:tblStyle w:val="GridTable4-Accent4"/>
        <w:tblW w:w="10345" w:type="dxa"/>
        <w:tblLook w:val="04A0" w:firstRow="1" w:lastRow="0" w:firstColumn="1" w:lastColumn="0" w:noHBand="0" w:noVBand="1"/>
      </w:tblPr>
      <w:tblGrid>
        <w:gridCol w:w="1395"/>
        <w:gridCol w:w="1054"/>
        <w:gridCol w:w="1242"/>
        <w:gridCol w:w="1974"/>
        <w:gridCol w:w="1240"/>
        <w:gridCol w:w="2090"/>
        <w:gridCol w:w="1236"/>
        <w:gridCol w:w="114"/>
      </w:tblGrid>
      <w:tr w:rsidR="00F1648A" w:rsidRPr="00292EDE" w14:paraId="3DEF2252" w14:textId="77777777" w:rsidTr="007A02C3">
        <w:trPr>
          <w:gridAfter w:val="1"/>
          <w:cnfStyle w:val="100000000000" w:firstRow="1" w:lastRow="0" w:firstColumn="0" w:lastColumn="0" w:oddVBand="0" w:evenVBand="0" w:oddHBand="0" w:evenHBand="0" w:firstRowFirstColumn="0" w:firstRowLastColumn="0" w:lastRowFirstColumn="0" w:lastRowLastColumn="0"/>
          <w:wAfter w:w="114" w:type="dxa"/>
          <w:trHeight w:val="504"/>
        </w:trPr>
        <w:tc>
          <w:tcPr>
            <w:cnfStyle w:val="001000000000" w:firstRow="0" w:lastRow="0" w:firstColumn="1" w:lastColumn="0" w:oddVBand="0" w:evenVBand="0" w:oddHBand="0" w:evenHBand="0" w:firstRowFirstColumn="0" w:firstRowLastColumn="0" w:lastRowFirstColumn="0" w:lastRowLastColumn="0"/>
            <w:tcW w:w="1395" w:type="dxa"/>
          </w:tcPr>
          <w:p w14:paraId="568BD2B3" w14:textId="64741E56" w:rsidR="00B1355C" w:rsidRPr="007A02C3" w:rsidRDefault="15DC5D9E" w:rsidP="3822077D">
            <w:pPr>
              <w:rPr>
                <w:rFonts w:eastAsia="Garamond" w:cs="Garamond"/>
                <w:sz w:val="22"/>
              </w:rPr>
            </w:pPr>
            <w:r w:rsidRPr="007A02C3">
              <w:rPr>
                <w:rFonts w:eastAsia="Garamond" w:cs="Garamond"/>
                <w:sz w:val="22"/>
              </w:rPr>
              <w:t>Citation Number</w:t>
            </w:r>
          </w:p>
        </w:tc>
        <w:tc>
          <w:tcPr>
            <w:tcW w:w="1054" w:type="dxa"/>
          </w:tcPr>
          <w:p w14:paraId="112D679A" w14:textId="332DB7E0" w:rsidR="00B1355C" w:rsidRPr="007A02C3" w:rsidRDefault="6BDCF649" w:rsidP="3822077D">
            <w:pP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Utility</w:t>
            </w:r>
          </w:p>
        </w:tc>
        <w:tc>
          <w:tcPr>
            <w:tcW w:w="1242" w:type="dxa"/>
          </w:tcPr>
          <w:p w14:paraId="35E573EE" w14:textId="174E4B9C" w:rsidR="00B1355C" w:rsidRPr="007A02C3" w:rsidRDefault="6BDCF649" w:rsidP="3822077D">
            <w:pP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Amount</w:t>
            </w:r>
          </w:p>
        </w:tc>
        <w:tc>
          <w:tcPr>
            <w:tcW w:w="1974" w:type="dxa"/>
          </w:tcPr>
          <w:p w14:paraId="2EFF4E7D" w14:textId="60D9144D" w:rsidR="00B1355C" w:rsidRPr="007A02C3" w:rsidRDefault="6BDCF649" w:rsidP="3822077D">
            <w:pP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Violations</w:t>
            </w:r>
          </w:p>
        </w:tc>
        <w:tc>
          <w:tcPr>
            <w:tcW w:w="1240" w:type="dxa"/>
          </w:tcPr>
          <w:p w14:paraId="4E8AC4FC" w14:textId="072C921F" w:rsidR="00B1355C" w:rsidRPr="007A02C3" w:rsidRDefault="6BDCF649" w:rsidP="3822077D">
            <w:pP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Date Cited</w:t>
            </w:r>
          </w:p>
        </w:tc>
        <w:tc>
          <w:tcPr>
            <w:tcW w:w="2090" w:type="dxa"/>
          </w:tcPr>
          <w:p w14:paraId="3C1ACA6F" w14:textId="34DE590C" w:rsidR="00B1355C" w:rsidRPr="007A02C3" w:rsidRDefault="4C09133A" w:rsidP="00292EDE">
            <w:pPr>
              <w:spacing w:after="0"/>
              <w:jc w:val="cente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Description</w:t>
            </w:r>
          </w:p>
        </w:tc>
        <w:tc>
          <w:tcPr>
            <w:tcW w:w="1236" w:type="dxa"/>
          </w:tcPr>
          <w:p w14:paraId="2D2E47DD" w14:textId="5BA4288F" w:rsidR="00B1355C" w:rsidRPr="007A02C3" w:rsidRDefault="6BDCF649" w:rsidP="3822077D">
            <w:pPr>
              <w:cnfStyle w:val="100000000000" w:firstRow="1" w:lastRow="0" w:firstColumn="0" w:lastColumn="0" w:oddVBand="0" w:evenVBand="0" w:oddHBand="0" w:evenHBand="0" w:firstRowFirstColumn="0" w:firstRowLastColumn="0" w:lastRowFirstColumn="0" w:lastRowLastColumn="0"/>
              <w:rPr>
                <w:rFonts w:eastAsia="Garamond" w:cs="Garamond"/>
                <w:sz w:val="22"/>
              </w:rPr>
            </w:pPr>
            <w:r w:rsidRPr="007A02C3">
              <w:rPr>
                <w:rFonts w:eastAsia="Garamond" w:cs="Garamond"/>
                <w:sz w:val="22"/>
              </w:rPr>
              <w:t>Status</w:t>
            </w:r>
          </w:p>
        </w:tc>
      </w:tr>
      <w:tr w:rsidR="00F1648A" w:rsidRPr="00081161" w14:paraId="42282ECC" w14:textId="77777777" w:rsidTr="007A02C3">
        <w:trPr>
          <w:gridAfter w:val="1"/>
          <w:cnfStyle w:val="000000100000" w:firstRow="0" w:lastRow="0" w:firstColumn="0" w:lastColumn="0" w:oddVBand="0" w:evenVBand="0" w:oddHBand="1" w:evenHBand="0" w:firstRowFirstColumn="0" w:firstRowLastColumn="0" w:lastRowFirstColumn="0" w:lastRowLastColumn="0"/>
          <w:wAfter w:w="114" w:type="dxa"/>
          <w:trHeight w:val="513"/>
        </w:trPr>
        <w:tc>
          <w:tcPr>
            <w:cnfStyle w:val="001000000000" w:firstRow="0" w:lastRow="0" w:firstColumn="1" w:lastColumn="0" w:oddVBand="0" w:evenVBand="0" w:oddHBand="0" w:evenHBand="0" w:firstRowFirstColumn="0" w:firstRowLastColumn="0" w:lastRowFirstColumn="0" w:lastRowLastColumn="0"/>
            <w:tcW w:w="1395" w:type="dxa"/>
          </w:tcPr>
          <w:p w14:paraId="68668B8F" w14:textId="7D673915" w:rsidR="00B1355C" w:rsidRPr="00292EDE" w:rsidRDefault="15DC5D9E" w:rsidP="3822077D">
            <w:pPr>
              <w:rPr>
                <w:rFonts w:eastAsia="Garamond" w:cs="Garamond"/>
                <w:sz w:val="20"/>
                <w:szCs w:val="20"/>
              </w:rPr>
            </w:pPr>
            <w:r w:rsidRPr="00292EDE">
              <w:rPr>
                <w:rFonts w:eastAsia="Garamond" w:cs="Garamond"/>
                <w:sz w:val="20"/>
                <w:szCs w:val="20"/>
              </w:rPr>
              <w:t>G.20-04-001</w:t>
            </w:r>
          </w:p>
        </w:tc>
        <w:tc>
          <w:tcPr>
            <w:tcW w:w="1054" w:type="dxa"/>
          </w:tcPr>
          <w:p w14:paraId="45EB257B" w14:textId="4B90793B" w:rsidR="00B1355C" w:rsidRPr="00292EDE" w:rsidRDefault="04858FCB"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PG&amp;E</w:t>
            </w:r>
          </w:p>
        </w:tc>
        <w:tc>
          <w:tcPr>
            <w:tcW w:w="1242" w:type="dxa"/>
          </w:tcPr>
          <w:p w14:paraId="12F07C70" w14:textId="0B52159C" w:rsidR="00B1355C" w:rsidRPr="00292EDE" w:rsidRDefault="6BDCF649"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w:t>
            </w:r>
            <w:r w:rsidR="04858FCB" w:rsidRPr="00292EDE">
              <w:rPr>
                <w:rFonts w:eastAsia="Garamond" w:cs="Garamond"/>
                <w:sz w:val="20"/>
                <w:szCs w:val="20"/>
              </w:rPr>
              <w:t>900,000</w:t>
            </w:r>
          </w:p>
        </w:tc>
        <w:tc>
          <w:tcPr>
            <w:tcW w:w="1974" w:type="dxa"/>
          </w:tcPr>
          <w:p w14:paraId="35890132" w14:textId="74A5D817" w:rsidR="00B1355C" w:rsidRPr="00292EDE" w:rsidRDefault="04858FCB"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192.13(c), 192.621</w:t>
            </w:r>
          </w:p>
        </w:tc>
        <w:tc>
          <w:tcPr>
            <w:tcW w:w="1240" w:type="dxa"/>
          </w:tcPr>
          <w:p w14:paraId="09D19FFA" w14:textId="3529CBEC" w:rsidR="00B1355C" w:rsidRPr="00292EDE" w:rsidRDefault="04858FCB"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4/14/20</w:t>
            </w:r>
          </w:p>
        </w:tc>
        <w:tc>
          <w:tcPr>
            <w:tcW w:w="2090" w:type="dxa"/>
          </w:tcPr>
          <w:p w14:paraId="76C12ED3" w14:textId="510AE77E" w:rsidR="00B1355C" w:rsidRPr="00292EDE" w:rsidRDefault="21DF8F0E" w:rsidP="002765A8">
            <w:pPr>
              <w:spacing w:after="0"/>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PG&amp;E failed to follow its</w:t>
            </w:r>
            <w:r w:rsidR="3A1974AD" w:rsidRPr="00292EDE">
              <w:rPr>
                <w:rFonts w:eastAsia="Garamond" w:cs="Garamond"/>
                <w:sz w:val="20"/>
                <w:szCs w:val="20"/>
              </w:rPr>
              <w:t xml:space="preserve"> pipe abandonment procedures, leading to incident</w:t>
            </w:r>
            <w:r w:rsidRPr="00292EDE">
              <w:rPr>
                <w:rFonts w:eastAsia="Garamond" w:cs="Garamond"/>
                <w:sz w:val="20"/>
                <w:szCs w:val="20"/>
              </w:rPr>
              <w:t xml:space="preserve">  </w:t>
            </w:r>
          </w:p>
        </w:tc>
        <w:tc>
          <w:tcPr>
            <w:tcW w:w="1236" w:type="dxa"/>
          </w:tcPr>
          <w:p w14:paraId="2AEC9094" w14:textId="19DF983E" w:rsidR="00B1355C" w:rsidRPr="00292EDE" w:rsidRDefault="6D4F7B25" w:rsidP="003D21FF">
            <w:pPr>
              <w:spacing w:after="0"/>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Paid</w:t>
            </w:r>
          </w:p>
        </w:tc>
      </w:tr>
      <w:tr w:rsidR="00B1355C" w:rsidRPr="00292EDE" w14:paraId="48B5D35F" w14:textId="77777777" w:rsidTr="007A02C3">
        <w:trPr>
          <w:gridAfter w:val="1"/>
          <w:wAfter w:w="114" w:type="dxa"/>
          <w:trHeight w:val="504"/>
        </w:trPr>
        <w:tc>
          <w:tcPr>
            <w:cnfStyle w:val="001000000000" w:firstRow="0" w:lastRow="0" w:firstColumn="1" w:lastColumn="0" w:oddVBand="0" w:evenVBand="0" w:oddHBand="0" w:evenHBand="0" w:firstRowFirstColumn="0" w:firstRowLastColumn="0" w:lastRowFirstColumn="0" w:lastRowLastColumn="0"/>
            <w:tcW w:w="1395" w:type="dxa"/>
          </w:tcPr>
          <w:p w14:paraId="159CB360" w14:textId="6B766CDA" w:rsidR="00B1355C" w:rsidRPr="00292EDE" w:rsidRDefault="04858FCB" w:rsidP="3822077D">
            <w:pPr>
              <w:rPr>
                <w:rFonts w:eastAsia="Garamond" w:cs="Garamond"/>
                <w:sz w:val="20"/>
                <w:szCs w:val="20"/>
              </w:rPr>
            </w:pPr>
            <w:r w:rsidRPr="00292EDE">
              <w:rPr>
                <w:rFonts w:eastAsia="Garamond" w:cs="Garamond"/>
                <w:sz w:val="20"/>
                <w:szCs w:val="20"/>
              </w:rPr>
              <w:t>G.20-06-001</w:t>
            </w:r>
          </w:p>
        </w:tc>
        <w:tc>
          <w:tcPr>
            <w:tcW w:w="1054" w:type="dxa"/>
          </w:tcPr>
          <w:p w14:paraId="557F8650" w14:textId="00478822" w:rsidR="00B1355C" w:rsidRPr="00292EDE" w:rsidRDefault="6BDCF649" w:rsidP="3822077D">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PG&amp;E</w:t>
            </w:r>
          </w:p>
        </w:tc>
        <w:tc>
          <w:tcPr>
            <w:tcW w:w="1242" w:type="dxa"/>
          </w:tcPr>
          <w:p w14:paraId="715A03DD" w14:textId="5F216890" w:rsidR="00B1355C" w:rsidRPr="00292EDE" w:rsidRDefault="6BDCF649" w:rsidP="3822077D">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$600,000</w:t>
            </w:r>
          </w:p>
        </w:tc>
        <w:tc>
          <w:tcPr>
            <w:tcW w:w="1974" w:type="dxa"/>
          </w:tcPr>
          <w:p w14:paraId="4F5414BB" w14:textId="4057993D" w:rsidR="00B1355C" w:rsidRPr="00292EDE" w:rsidRDefault="6BDCF649" w:rsidP="3822077D">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192.605(b)(3)</w:t>
            </w:r>
          </w:p>
        </w:tc>
        <w:tc>
          <w:tcPr>
            <w:tcW w:w="1240" w:type="dxa"/>
          </w:tcPr>
          <w:p w14:paraId="7914BACD" w14:textId="09CF6E1B" w:rsidR="00B1355C" w:rsidRPr="00292EDE" w:rsidRDefault="6BDCF649" w:rsidP="3822077D">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6/16/20</w:t>
            </w:r>
          </w:p>
        </w:tc>
        <w:tc>
          <w:tcPr>
            <w:tcW w:w="2090" w:type="dxa"/>
          </w:tcPr>
          <w:p w14:paraId="06EF0EF5" w14:textId="2A5FA737" w:rsidR="00B1355C" w:rsidRPr="00292EDE" w:rsidRDefault="7610C0F6" w:rsidP="002765A8">
            <w:pPr>
              <w:spacing w:after="0"/>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PG&amp;E failed to include a partial copper service line in its replacement program.</w:t>
            </w:r>
          </w:p>
        </w:tc>
        <w:tc>
          <w:tcPr>
            <w:tcW w:w="1236" w:type="dxa"/>
          </w:tcPr>
          <w:p w14:paraId="3DB2129D" w14:textId="67D10A17" w:rsidR="00B1355C" w:rsidRPr="00292EDE" w:rsidRDefault="650E44B1" w:rsidP="007117FB">
            <w:pPr>
              <w:spacing w:after="0"/>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Paid</w:t>
            </w:r>
          </w:p>
        </w:tc>
      </w:tr>
      <w:tr w:rsidR="00F1648A" w:rsidRPr="00081161" w14:paraId="69B55D4B" w14:textId="77777777" w:rsidTr="007A02C3">
        <w:trPr>
          <w:gridAfter w:val="1"/>
          <w:cnfStyle w:val="000000100000" w:firstRow="0" w:lastRow="0" w:firstColumn="0" w:lastColumn="0" w:oddVBand="0" w:evenVBand="0" w:oddHBand="1" w:evenHBand="0" w:firstRowFirstColumn="0" w:firstRowLastColumn="0" w:lastRowFirstColumn="0" w:lastRowLastColumn="0"/>
          <w:wAfter w:w="114" w:type="dxa"/>
          <w:trHeight w:val="504"/>
        </w:trPr>
        <w:tc>
          <w:tcPr>
            <w:cnfStyle w:val="001000000000" w:firstRow="0" w:lastRow="0" w:firstColumn="1" w:lastColumn="0" w:oddVBand="0" w:evenVBand="0" w:oddHBand="0" w:evenHBand="0" w:firstRowFirstColumn="0" w:firstRowLastColumn="0" w:lastRowFirstColumn="0" w:lastRowLastColumn="0"/>
            <w:tcW w:w="1395" w:type="dxa"/>
          </w:tcPr>
          <w:p w14:paraId="1969B1D8" w14:textId="07185949" w:rsidR="00201812" w:rsidRPr="00292EDE" w:rsidRDefault="2687076A" w:rsidP="3822077D">
            <w:pPr>
              <w:rPr>
                <w:rFonts w:eastAsia="Garamond" w:cs="Garamond"/>
                <w:sz w:val="20"/>
                <w:szCs w:val="20"/>
              </w:rPr>
            </w:pPr>
            <w:r w:rsidRPr="00292EDE">
              <w:rPr>
                <w:rFonts w:eastAsia="Garamond" w:cs="Garamond"/>
                <w:sz w:val="20"/>
                <w:szCs w:val="20"/>
              </w:rPr>
              <w:t>G.20-07-001</w:t>
            </w:r>
          </w:p>
        </w:tc>
        <w:tc>
          <w:tcPr>
            <w:tcW w:w="1054" w:type="dxa"/>
          </w:tcPr>
          <w:p w14:paraId="06D875F4" w14:textId="15DEC00F" w:rsidR="00201812" w:rsidRPr="00292EDE" w:rsidRDefault="2493B51F"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SoCalGas</w:t>
            </w:r>
          </w:p>
        </w:tc>
        <w:tc>
          <w:tcPr>
            <w:tcW w:w="1242" w:type="dxa"/>
          </w:tcPr>
          <w:p w14:paraId="3931B3E2" w14:textId="0E9BF749" w:rsidR="00201812" w:rsidRPr="00292EDE" w:rsidRDefault="2493B51F"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$300,000</w:t>
            </w:r>
          </w:p>
        </w:tc>
        <w:tc>
          <w:tcPr>
            <w:tcW w:w="1974" w:type="dxa"/>
          </w:tcPr>
          <w:p w14:paraId="42CEBF51" w14:textId="3F2840BF" w:rsidR="00201812" w:rsidRPr="00292EDE" w:rsidRDefault="255500A5"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192.605(a) – 3 instances</w:t>
            </w:r>
          </w:p>
        </w:tc>
        <w:tc>
          <w:tcPr>
            <w:tcW w:w="1240" w:type="dxa"/>
          </w:tcPr>
          <w:p w14:paraId="108E5494" w14:textId="3B7B58E4" w:rsidR="00201812" w:rsidRPr="00292EDE" w:rsidRDefault="255500A5"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7/15/20</w:t>
            </w:r>
          </w:p>
        </w:tc>
        <w:tc>
          <w:tcPr>
            <w:tcW w:w="2090" w:type="dxa"/>
          </w:tcPr>
          <w:p w14:paraId="3F4F768D" w14:textId="588ADE23" w:rsidR="00201812" w:rsidRPr="00292EDE" w:rsidRDefault="5CC98A78" w:rsidP="002765A8">
            <w:pPr>
              <w:spacing w:after="0"/>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So</w:t>
            </w:r>
            <w:r w:rsidR="00A67836">
              <w:rPr>
                <w:rFonts w:eastAsia="Garamond" w:cs="Garamond"/>
                <w:sz w:val="20"/>
                <w:szCs w:val="20"/>
              </w:rPr>
              <w:t>C</w:t>
            </w:r>
            <w:r w:rsidRPr="00292EDE">
              <w:rPr>
                <w:rFonts w:eastAsia="Garamond" w:cs="Garamond"/>
                <w:sz w:val="20"/>
                <w:szCs w:val="20"/>
              </w:rPr>
              <w:t>alGas failed to follow its emergency</w:t>
            </w:r>
            <w:r w:rsidR="00C95CE7">
              <w:rPr>
                <w:rFonts w:eastAsia="Garamond" w:cs="Garamond"/>
                <w:sz w:val="20"/>
                <w:szCs w:val="20"/>
              </w:rPr>
              <w:t xml:space="preserve"> </w:t>
            </w:r>
            <w:r w:rsidRPr="00292EDE">
              <w:rPr>
                <w:rFonts w:eastAsia="Garamond" w:cs="Garamond"/>
                <w:sz w:val="20"/>
                <w:szCs w:val="20"/>
              </w:rPr>
              <w:t>/</w:t>
            </w:r>
            <w:r w:rsidR="00C95CE7">
              <w:rPr>
                <w:rFonts w:eastAsia="Garamond" w:cs="Garamond"/>
                <w:sz w:val="20"/>
                <w:szCs w:val="20"/>
              </w:rPr>
              <w:t xml:space="preserve"> </w:t>
            </w:r>
            <w:r w:rsidRPr="00292EDE">
              <w:rPr>
                <w:rFonts w:eastAsia="Garamond" w:cs="Garamond"/>
                <w:sz w:val="20"/>
                <w:szCs w:val="20"/>
              </w:rPr>
              <w:t>incident procedures</w:t>
            </w:r>
          </w:p>
        </w:tc>
        <w:tc>
          <w:tcPr>
            <w:tcW w:w="1236" w:type="dxa"/>
          </w:tcPr>
          <w:p w14:paraId="6683CF52" w14:textId="13506469" w:rsidR="00201812" w:rsidRPr="00292EDE" w:rsidRDefault="255500A5" w:rsidP="3822077D">
            <w:pPr>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292EDE">
              <w:rPr>
                <w:rFonts w:eastAsia="Garamond" w:cs="Garamond"/>
                <w:sz w:val="20"/>
                <w:szCs w:val="20"/>
              </w:rPr>
              <w:t>In appeals process</w:t>
            </w:r>
          </w:p>
        </w:tc>
      </w:tr>
      <w:tr w:rsidR="0D53C514" w:rsidRPr="00292EDE" w14:paraId="6D49D3FC" w14:textId="77777777" w:rsidTr="007A02C3">
        <w:trPr>
          <w:trHeight w:val="504"/>
        </w:trPr>
        <w:tc>
          <w:tcPr>
            <w:cnfStyle w:val="001000000000" w:firstRow="0" w:lastRow="0" w:firstColumn="1" w:lastColumn="0" w:oddVBand="0" w:evenVBand="0" w:oddHBand="0" w:evenHBand="0" w:firstRowFirstColumn="0" w:firstRowLastColumn="0" w:lastRowFirstColumn="0" w:lastRowLastColumn="0"/>
            <w:tcW w:w="1395" w:type="dxa"/>
          </w:tcPr>
          <w:p w14:paraId="0ADEBF61" w14:textId="1955993C" w:rsidR="099F44AC" w:rsidRPr="00292EDE" w:rsidRDefault="099F44AC" w:rsidP="0D53C514">
            <w:pPr>
              <w:rPr>
                <w:rFonts w:eastAsia="Garamond" w:cs="Garamond"/>
                <w:sz w:val="20"/>
                <w:szCs w:val="20"/>
              </w:rPr>
            </w:pPr>
            <w:r w:rsidRPr="00292EDE">
              <w:rPr>
                <w:rFonts w:eastAsia="Garamond" w:cs="Garamond"/>
                <w:sz w:val="20"/>
                <w:szCs w:val="20"/>
              </w:rPr>
              <w:t>G-20-08-001</w:t>
            </w:r>
          </w:p>
        </w:tc>
        <w:tc>
          <w:tcPr>
            <w:tcW w:w="1054" w:type="dxa"/>
          </w:tcPr>
          <w:p w14:paraId="589574E5" w14:textId="02683AFC" w:rsidR="099F44AC" w:rsidRPr="00292EDE" w:rsidRDefault="099F44AC" w:rsidP="0D53C514">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Glenview Mobile Lodge</w:t>
            </w:r>
          </w:p>
        </w:tc>
        <w:tc>
          <w:tcPr>
            <w:tcW w:w="1242" w:type="dxa"/>
          </w:tcPr>
          <w:p w14:paraId="07D8E262" w14:textId="3EAD53E4" w:rsidR="099F44AC" w:rsidRPr="00292EDE" w:rsidRDefault="099F44AC" w:rsidP="0D53C514">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$50,000</w:t>
            </w:r>
          </w:p>
        </w:tc>
        <w:tc>
          <w:tcPr>
            <w:tcW w:w="1974" w:type="dxa"/>
          </w:tcPr>
          <w:p w14:paraId="0C794034" w14:textId="34CACC6A" w:rsidR="099F44AC" w:rsidRPr="00292EDE" w:rsidRDefault="099F44AC" w:rsidP="0D53C514">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192.605(a), 192.605(b)(3), 192.616(j), 192.723(b)(2), 192.747(a), 192.805, 192.1015(a), 192.357(a), 192.479(a), &amp; 192.353(a)</w:t>
            </w:r>
          </w:p>
        </w:tc>
        <w:tc>
          <w:tcPr>
            <w:tcW w:w="1240" w:type="dxa"/>
          </w:tcPr>
          <w:p w14:paraId="2D052F49" w14:textId="63267ADE" w:rsidR="099F44AC" w:rsidRPr="00292EDE" w:rsidRDefault="099F44AC" w:rsidP="0D53C514">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8/24/20</w:t>
            </w:r>
          </w:p>
        </w:tc>
        <w:tc>
          <w:tcPr>
            <w:tcW w:w="2090" w:type="dxa"/>
          </w:tcPr>
          <w:p w14:paraId="1A9E740D" w14:textId="1CABC09A" w:rsidR="099F44AC" w:rsidRPr="00292EDE" w:rsidRDefault="23C0B8AC" w:rsidP="002765A8">
            <w:pPr>
              <w:spacing w:after="0"/>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 xml:space="preserve">The MHP </w:t>
            </w:r>
            <w:r w:rsidR="1F936AF8" w:rsidRPr="00292EDE">
              <w:rPr>
                <w:rFonts w:eastAsia="Garamond" w:cs="Garamond"/>
                <w:sz w:val="20"/>
                <w:szCs w:val="20"/>
              </w:rPr>
              <w:t>failed to</w:t>
            </w:r>
            <w:r w:rsidRPr="00292EDE">
              <w:rPr>
                <w:rFonts w:eastAsia="Garamond" w:cs="Garamond"/>
                <w:sz w:val="20"/>
                <w:szCs w:val="20"/>
              </w:rPr>
              <w:t xml:space="preserve"> remediate violations discovered during an inspection</w:t>
            </w:r>
          </w:p>
        </w:tc>
        <w:tc>
          <w:tcPr>
            <w:tcW w:w="1350" w:type="dxa"/>
            <w:gridSpan w:val="2"/>
          </w:tcPr>
          <w:p w14:paraId="59CAE997" w14:textId="2ED34827" w:rsidR="099F44AC" w:rsidRPr="00292EDE" w:rsidRDefault="099F44AC" w:rsidP="0D53C514">
            <w:pPr>
              <w:cnfStyle w:val="000000000000" w:firstRow="0" w:lastRow="0" w:firstColumn="0" w:lastColumn="0" w:oddVBand="0" w:evenVBand="0" w:oddHBand="0" w:evenHBand="0" w:firstRowFirstColumn="0" w:firstRowLastColumn="0" w:lastRowFirstColumn="0" w:lastRowLastColumn="0"/>
              <w:rPr>
                <w:rFonts w:eastAsia="Garamond" w:cs="Garamond"/>
                <w:sz w:val="20"/>
                <w:szCs w:val="20"/>
              </w:rPr>
            </w:pPr>
            <w:r w:rsidRPr="00292EDE">
              <w:rPr>
                <w:rFonts w:eastAsia="Garamond" w:cs="Garamond"/>
                <w:sz w:val="20"/>
                <w:szCs w:val="20"/>
              </w:rPr>
              <w:t>Pending</w:t>
            </w:r>
          </w:p>
        </w:tc>
      </w:tr>
    </w:tbl>
    <w:p w14:paraId="3D978D44" w14:textId="77777777" w:rsidR="002708BD" w:rsidRDefault="002708BD" w:rsidP="3822077D">
      <w:pPr>
        <w:pStyle w:val="Heading3"/>
        <w:rPr>
          <w:rFonts w:asciiTheme="majorHAnsi" w:eastAsia="Garamond" w:hAnsiTheme="majorHAnsi" w:cs="Garamond"/>
        </w:rPr>
      </w:pPr>
      <w:bookmarkStart w:id="19" w:name="_Toc514067254"/>
      <w:bookmarkStart w:id="20" w:name="_Toc514154588"/>
      <w:bookmarkStart w:id="21" w:name="_Toc524012860"/>
      <w:bookmarkStart w:id="22" w:name="_Toc525901730"/>
      <w:bookmarkStart w:id="23" w:name="_Toc531764813"/>
      <w:bookmarkStart w:id="24" w:name="_Toc534886503"/>
      <w:bookmarkStart w:id="25" w:name="_Toc1745977"/>
    </w:p>
    <w:p w14:paraId="603BC5AB" w14:textId="77561CB0" w:rsidR="000741FB" w:rsidRDefault="00981835" w:rsidP="3822077D">
      <w:pPr>
        <w:pStyle w:val="Heading3"/>
        <w:rPr>
          <w:rFonts w:asciiTheme="majorHAnsi" w:eastAsia="Garamond" w:hAnsiTheme="majorHAnsi" w:cs="Garamond"/>
        </w:rPr>
      </w:pPr>
      <w:bookmarkStart w:id="26" w:name="_Toc58401334"/>
      <w:r>
        <w:rPr>
          <w:rFonts w:asciiTheme="majorHAnsi" w:eastAsia="Garamond" w:hAnsiTheme="majorHAnsi" w:cs="Garamond"/>
        </w:rPr>
        <w:t xml:space="preserve">Natural Gas </w:t>
      </w:r>
      <w:r w:rsidR="000741FB" w:rsidRPr="003C2425">
        <w:rPr>
          <w:rFonts w:asciiTheme="majorHAnsi" w:eastAsia="Garamond" w:hAnsiTheme="majorHAnsi" w:cs="Garamond"/>
        </w:rPr>
        <w:t>Inspections (Year to Date)</w:t>
      </w:r>
      <w:bookmarkEnd w:id="19"/>
      <w:bookmarkEnd w:id="20"/>
      <w:bookmarkEnd w:id="21"/>
      <w:bookmarkEnd w:id="22"/>
      <w:bookmarkEnd w:id="23"/>
      <w:bookmarkEnd w:id="24"/>
      <w:bookmarkEnd w:id="25"/>
      <w:bookmarkEnd w:id="26"/>
    </w:p>
    <w:tbl>
      <w:tblPr>
        <w:tblStyle w:val="GridTable4-Accent4"/>
        <w:tblW w:w="9338" w:type="dxa"/>
        <w:tblLayout w:type="fixed"/>
        <w:tblLook w:val="04A0" w:firstRow="1" w:lastRow="0" w:firstColumn="1" w:lastColumn="0" w:noHBand="0" w:noVBand="1"/>
      </w:tblPr>
      <w:tblGrid>
        <w:gridCol w:w="4669"/>
        <w:gridCol w:w="4669"/>
      </w:tblGrid>
      <w:tr w:rsidR="000741FB" w14:paraId="556C7375" w14:textId="77777777" w:rsidTr="01BCBEA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669" w:type="dxa"/>
          </w:tcPr>
          <w:p w14:paraId="701B10E0" w14:textId="77777777" w:rsidR="000741FB" w:rsidRPr="00F45B99" w:rsidRDefault="000741FB" w:rsidP="3822077D">
            <w:pPr>
              <w:rPr>
                <w:rFonts w:eastAsia="Garamond" w:cs="Garamond"/>
              </w:rPr>
            </w:pPr>
            <w:bookmarkStart w:id="27" w:name="_Hlk48063714"/>
          </w:p>
        </w:tc>
        <w:tc>
          <w:tcPr>
            <w:tcW w:w="4669" w:type="dxa"/>
          </w:tcPr>
          <w:p w14:paraId="596366D2" w14:textId="77777777" w:rsidR="000741FB" w:rsidRPr="00F45B99" w:rsidRDefault="000741FB" w:rsidP="3822077D">
            <w:pPr>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2020 Year-to-Date</w:t>
            </w:r>
          </w:p>
        </w:tc>
      </w:tr>
      <w:tr w:rsidR="000741FB" w14:paraId="4680B88F" w14:textId="77777777" w:rsidTr="01BCBEA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669" w:type="dxa"/>
          </w:tcPr>
          <w:p w14:paraId="3C96424B" w14:textId="77777777" w:rsidR="000741FB" w:rsidRPr="003C05CA" w:rsidRDefault="000741FB" w:rsidP="3822077D">
            <w:pPr>
              <w:rPr>
                <w:rFonts w:eastAsia="Garamond" w:cs="Garamond"/>
                <w:sz w:val="22"/>
              </w:rPr>
            </w:pPr>
            <w:r w:rsidRPr="003C05CA">
              <w:rPr>
                <w:rFonts w:eastAsia="Garamond" w:cs="Garamond"/>
                <w:sz w:val="22"/>
              </w:rPr>
              <w:t>Conducted</w:t>
            </w:r>
          </w:p>
        </w:tc>
        <w:tc>
          <w:tcPr>
            <w:tcW w:w="4669" w:type="dxa"/>
          </w:tcPr>
          <w:p w14:paraId="6A1F9CCA" w14:textId="75EABB3D" w:rsidR="000741FB" w:rsidRPr="003C05CA" w:rsidRDefault="6E3C26F4">
            <w:pPr>
              <w:spacing w:after="0"/>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51</w:t>
            </w:r>
          </w:p>
          <w:p w14:paraId="6B7A1B93" w14:textId="2C84DD3A" w:rsidR="000741FB" w:rsidRPr="003C05CA" w:rsidRDefault="000741FB" w:rsidP="4D8920CE">
            <w:pPr>
              <w:spacing w:after="0"/>
              <w:cnfStyle w:val="000000100000" w:firstRow="0" w:lastRow="0" w:firstColumn="0" w:lastColumn="0" w:oddVBand="0" w:evenVBand="0" w:oddHBand="1" w:evenHBand="0" w:firstRowFirstColumn="0" w:firstRowLastColumn="0" w:lastRowFirstColumn="0" w:lastRowLastColumn="0"/>
              <w:rPr>
                <w:rFonts w:eastAsia="Garamond" w:cs="Garamond"/>
                <w:sz w:val="22"/>
              </w:rPr>
            </w:pPr>
          </w:p>
        </w:tc>
      </w:tr>
      <w:tr w:rsidR="000741FB" w14:paraId="361EB71A" w14:textId="77777777" w:rsidTr="01BCBEA0">
        <w:trPr>
          <w:trHeight w:val="504"/>
        </w:trPr>
        <w:tc>
          <w:tcPr>
            <w:cnfStyle w:val="001000000000" w:firstRow="0" w:lastRow="0" w:firstColumn="1" w:lastColumn="0" w:oddVBand="0" w:evenVBand="0" w:oddHBand="0" w:evenHBand="0" w:firstRowFirstColumn="0" w:firstRowLastColumn="0" w:lastRowFirstColumn="0" w:lastRowLastColumn="0"/>
            <w:tcW w:w="4669" w:type="dxa"/>
          </w:tcPr>
          <w:p w14:paraId="53351DFD" w14:textId="77777777" w:rsidR="000741FB" w:rsidRPr="003C05CA" w:rsidRDefault="000741FB" w:rsidP="3822077D">
            <w:pPr>
              <w:rPr>
                <w:rFonts w:eastAsia="Garamond" w:cs="Garamond"/>
                <w:sz w:val="22"/>
              </w:rPr>
            </w:pPr>
            <w:r w:rsidRPr="003C05CA">
              <w:rPr>
                <w:rFonts w:eastAsia="Garamond" w:cs="Garamond"/>
                <w:sz w:val="22"/>
              </w:rPr>
              <w:t>Final Report Completed</w:t>
            </w:r>
          </w:p>
        </w:tc>
        <w:tc>
          <w:tcPr>
            <w:tcW w:w="4669" w:type="dxa"/>
          </w:tcPr>
          <w:p w14:paraId="37CC5D29" w14:textId="21442F42" w:rsidR="000741FB" w:rsidRPr="003C05CA" w:rsidRDefault="0415C7CA" w:rsidP="3822077D">
            <w:pP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33</w:t>
            </w:r>
          </w:p>
        </w:tc>
      </w:tr>
    </w:tbl>
    <w:bookmarkEnd w:id="27"/>
    <w:p w14:paraId="536325AE" w14:textId="3A8F0BC9" w:rsidR="000741FB" w:rsidRDefault="000741FB" w:rsidP="3822077D">
      <w:pPr>
        <w:spacing w:before="240"/>
        <w:rPr>
          <w:rFonts w:eastAsia="Garamond" w:cs="Garamond"/>
        </w:rPr>
      </w:pPr>
      <w:r w:rsidRPr="3822077D">
        <w:rPr>
          <w:rFonts w:eastAsia="Garamond" w:cs="Garamond"/>
        </w:rPr>
        <w:t xml:space="preserve">The purpose of GSRB’s inspections is to confirm that operators continue to construct, operate, and maintain their pipeline facilities in a manner that ensures the safety of workers and the public, while providing adequate and reliable service. In addition to routine inspections, GSRB also conducts construction/site inspections as resources permit. Typically, each inspection consists of records review of </w:t>
      </w:r>
      <w:r w:rsidR="16B91528" w:rsidRPr="3822077D">
        <w:rPr>
          <w:rFonts w:eastAsia="Garamond" w:cs="Garamond"/>
        </w:rPr>
        <w:t>an</w:t>
      </w:r>
      <w:r w:rsidR="5EA0570B" w:rsidRPr="3822077D">
        <w:rPr>
          <w:rFonts w:eastAsia="Garamond" w:cs="Garamond"/>
        </w:rPr>
        <w:t xml:space="preserve"> </w:t>
      </w:r>
      <w:r w:rsidRPr="3822077D">
        <w:rPr>
          <w:rFonts w:eastAsia="Garamond" w:cs="Garamond"/>
        </w:rPr>
        <w:t>operator’s past compliance activities and field verifications, respectively. Results are documented in a final report and sent to the operators after the inspections. The expectation is to have a final report sent to the operator within 60 days of the inspection. All issues should be properly closed out and an Inspection Closure Letter is issued to the operator within 120 days from the day the inspection is completed. Although there are deviations</w:t>
      </w:r>
      <w:r w:rsidR="00497700">
        <w:rPr>
          <w:rFonts w:eastAsia="Garamond" w:cs="Garamond"/>
        </w:rPr>
        <w:t xml:space="preserve"> expected</w:t>
      </w:r>
      <w:r w:rsidRPr="3822077D">
        <w:rPr>
          <w:rFonts w:eastAsia="Garamond" w:cs="Garamond"/>
        </w:rPr>
        <w:t xml:space="preserve"> from time</w:t>
      </w:r>
      <w:r w:rsidR="003F6C5E" w:rsidRPr="3822077D">
        <w:rPr>
          <w:rFonts w:eastAsia="Garamond" w:cs="Garamond"/>
        </w:rPr>
        <w:t>-</w:t>
      </w:r>
      <w:r w:rsidRPr="3822077D">
        <w:rPr>
          <w:rFonts w:eastAsia="Garamond" w:cs="Garamond"/>
        </w:rPr>
        <w:t>to</w:t>
      </w:r>
      <w:r w:rsidR="003F6C5E" w:rsidRPr="3822077D">
        <w:rPr>
          <w:rFonts w:eastAsia="Garamond" w:cs="Garamond"/>
        </w:rPr>
        <w:t>-</w:t>
      </w:r>
      <w:r w:rsidRPr="3822077D">
        <w:rPr>
          <w:rFonts w:eastAsia="Garamond" w:cs="Garamond"/>
        </w:rPr>
        <w:t>time for business reasons, late inspections should be the exception and not the norm.</w:t>
      </w:r>
    </w:p>
    <w:p w14:paraId="1DA957C2" w14:textId="1781BA6F" w:rsidR="000741FB" w:rsidRPr="005A7978" w:rsidRDefault="000741FB" w:rsidP="0022397F">
      <w:pPr>
        <w:pStyle w:val="Heading3"/>
      </w:pPr>
      <w:bookmarkStart w:id="28" w:name="_Toc58401335"/>
      <w:r w:rsidRPr="005A7978">
        <w:t xml:space="preserve">Natural Gas Incident Reports </w:t>
      </w:r>
      <w:r w:rsidR="023F25A5" w:rsidRPr="005A7978">
        <w:t>and</w:t>
      </w:r>
      <w:r w:rsidRPr="005A7978">
        <w:t xml:space="preserve"> </w:t>
      </w:r>
      <w:r w:rsidR="1AD57CA3" w:rsidRPr="005A7978">
        <w:t>Investigation</w:t>
      </w:r>
      <w:r w:rsidR="000F106F">
        <w:t>s through October 31, 2020</w:t>
      </w:r>
      <w:bookmarkEnd w:id="28"/>
    </w:p>
    <w:p w14:paraId="04987543" w14:textId="72B94755" w:rsidR="000741FB" w:rsidRDefault="000741FB" w:rsidP="3822077D">
      <w:pPr>
        <w:spacing w:before="240"/>
        <w:rPr>
          <w:rFonts w:eastAsia="Garamond" w:cs="Garamond"/>
        </w:rPr>
      </w:pPr>
      <w:r w:rsidRPr="3C601C31">
        <w:rPr>
          <w:rFonts w:eastAsia="Garamond" w:cs="Garamond"/>
        </w:rPr>
        <w:t xml:space="preserve">As of </w:t>
      </w:r>
      <w:r w:rsidR="05E7B0CF" w:rsidRPr="3C601C31">
        <w:rPr>
          <w:rFonts w:eastAsia="Garamond" w:cs="Garamond"/>
        </w:rPr>
        <w:t>October</w:t>
      </w:r>
      <w:r w:rsidR="0090234A" w:rsidRPr="3C601C31">
        <w:rPr>
          <w:rFonts w:eastAsia="Garamond" w:cs="Garamond"/>
        </w:rPr>
        <w:t xml:space="preserve"> 3</w:t>
      </w:r>
      <w:r w:rsidR="5BEC335C" w:rsidRPr="3C601C31">
        <w:rPr>
          <w:rFonts w:eastAsia="Garamond" w:cs="Garamond"/>
        </w:rPr>
        <w:t>1</w:t>
      </w:r>
      <w:r w:rsidRPr="3C601C31">
        <w:rPr>
          <w:rFonts w:eastAsia="Garamond" w:cs="Garamond"/>
        </w:rPr>
        <w:t>, 2020, GSRB Staff received 1</w:t>
      </w:r>
      <w:r w:rsidR="1AC9C8E0" w:rsidRPr="3C601C31">
        <w:rPr>
          <w:rFonts w:eastAsia="Garamond" w:cs="Garamond"/>
        </w:rPr>
        <w:t>63</w:t>
      </w:r>
      <w:r w:rsidRPr="3C601C31">
        <w:rPr>
          <w:rFonts w:eastAsia="Garamond" w:cs="Garamond"/>
        </w:rPr>
        <w:t xml:space="preserve"> incidents year</w:t>
      </w:r>
      <w:r w:rsidR="002C3D01">
        <w:rPr>
          <w:rFonts w:eastAsia="Garamond" w:cs="Garamond"/>
        </w:rPr>
        <w:t>-</w:t>
      </w:r>
      <w:r w:rsidRPr="3C601C31">
        <w:rPr>
          <w:rFonts w:eastAsia="Garamond" w:cs="Garamond"/>
        </w:rPr>
        <w:t>to</w:t>
      </w:r>
      <w:r w:rsidR="00400A5B">
        <w:rPr>
          <w:rFonts w:eastAsia="Garamond" w:cs="Garamond"/>
        </w:rPr>
        <w:t>-</w:t>
      </w:r>
      <w:r w:rsidRPr="3C601C31">
        <w:rPr>
          <w:rFonts w:eastAsia="Garamond" w:cs="Garamond"/>
        </w:rPr>
        <w:t>date. All reported incidents are</w:t>
      </w:r>
      <w:r w:rsidR="009E004E">
        <w:rPr>
          <w:rFonts w:eastAsia="Garamond" w:cs="Garamond"/>
        </w:rPr>
        <w:t xml:space="preserve"> then</w:t>
      </w:r>
      <w:r w:rsidRPr="3C601C31">
        <w:rPr>
          <w:rFonts w:eastAsia="Garamond" w:cs="Garamond"/>
        </w:rPr>
        <w:t xml:space="preserve"> assigned to GSRB engineers to investigate and prepare a final report. The report indicates if there was any violation of GO 112F committed by the operators. Operators report incidents based on PHMSA guidelines. </w:t>
      </w:r>
    </w:p>
    <w:p w14:paraId="67D73F43" w14:textId="56C23FF1" w:rsidR="000741FB" w:rsidRDefault="6F0445E2" w:rsidP="18AF3A3E">
      <w:pPr>
        <w:spacing w:before="240"/>
        <w:rPr>
          <w:noProof/>
        </w:rPr>
      </w:pPr>
      <w:r w:rsidRPr="2FF31893">
        <w:rPr>
          <w:noProof/>
        </w:rPr>
        <w:t>6</w:t>
      </w:r>
      <w:r w:rsidR="401618AA">
        <w:rPr>
          <w:noProof/>
        </w:rPr>
        <w:drawing>
          <wp:inline distT="0" distB="0" distL="0" distR="0" wp14:anchorId="5CA07E72" wp14:editId="49266326">
            <wp:extent cx="4905376" cy="2800350"/>
            <wp:effectExtent l="0" t="0" r="0" b="0"/>
            <wp:docPr id="1126332209" name="Picture 112633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332209"/>
                    <pic:cNvPicPr/>
                  </pic:nvPicPr>
                  <pic:blipFill>
                    <a:blip r:embed="rId14">
                      <a:extLst>
                        <a:ext uri="{28A0092B-C50C-407E-A947-70E740481C1C}">
                          <a14:useLocalDpi xmlns:a14="http://schemas.microsoft.com/office/drawing/2010/main" val="0"/>
                        </a:ext>
                      </a:extLst>
                    </a:blip>
                    <a:stretch>
                      <a:fillRect/>
                    </a:stretch>
                  </pic:blipFill>
                  <pic:spPr>
                    <a:xfrm>
                      <a:off x="0" y="0"/>
                      <a:ext cx="4905376" cy="2800350"/>
                    </a:xfrm>
                    <a:prstGeom prst="rect">
                      <a:avLst/>
                    </a:prstGeom>
                  </pic:spPr>
                </pic:pic>
              </a:graphicData>
            </a:graphic>
          </wp:inline>
        </w:drawing>
      </w:r>
    </w:p>
    <w:p w14:paraId="54759AF0" w14:textId="5B2A67AD" w:rsidR="20C02B55" w:rsidRDefault="20C02B55" w:rsidP="18AF3A3E">
      <w:pPr>
        <w:spacing w:before="240"/>
      </w:pPr>
      <w:r>
        <w:t>The</w:t>
      </w:r>
      <w:r w:rsidR="00784B82">
        <w:t xml:space="preserve"> natural gas incidents reported chart shows </w:t>
      </w:r>
      <w:r>
        <w:t xml:space="preserve">a decrease in incidents reported between September and October. </w:t>
      </w:r>
      <w:r w:rsidRPr="00DE1557">
        <w:t xml:space="preserve">There does not appear to be </w:t>
      </w:r>
      <w:r w:rsidR="27958A63" w:rsidRPr="00DE1557">
        <w:t>an underlin</w:t>
      </w:r>
      <w:r w:rsidR="00DE1557">
        <w:t>g</w:t>
      </w:r>
      <w:r w:rsidRPr="00DE1557">
        <w:t xml:space="preserve"> trend for incidents reported throughout t</w:t>
      </w:r>
      <w:r w:rsidR="2D861C63" w:rsidRPr="00DE1557">
        <w:t>he</w:t>
      </w:r>
      <w:r w:rsidRPr="00DE1557">
        <w:t xml:space="preserve"> year.</w:t>
      </w:r>
    </w:p>
    <w:p w14:paraId="332CD10B" w14:textId="6EC6ECF7" w:rsidR="6DC9B154" w:rsidRDefault="53A157B4" w:rsidP="3C601C31">
      <w:pPr>
        <w:spacing w:before="240"/>
      </w:pPr>
      <w:r>
        <w:rPr>
          <w:noProof/>
        </w:rPr>
        <w:drawing>
          <wp:inline distT="0" distB="0" distL="0" distR="0" wp14:anchorId="7CA6BF48" wp14:editId="37600EC7">
            <wp:extent cx="4772025" cy="2654439"/>
            <wp:effectExtent l="0" t="0" r="0" b="0"/>
            <wp:docPr id="1380775780" name="Picture 138077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775780"/>
                    <pic:cNvPicPr/>
                  </pic:nvPicPr>
                  <pic:blipFill>
                    <a:blip r:embed="rId15">
                      <a:extLst>
                        <a:ext uri="{28A0092B-C50C-407E-A947-70E740481C1C}">
                          <a14:useLocalDpi xmlns:a14="http://schemas.microsoft.com/office/drawing/2010/main" val="0"/>
                        </a:ext>
                      </a:extLst>
                    </a:blip>
                    <a:stretch>
                      <a:fillRect/>
                    </a:stretch>
                  </pic:blipFill>
                  <pic:spPr>
                    <a:xfrm>
                      <a:off x="0" y="0"/>
                      <a:ext cx="4772025" cy="2654439"/>
                    </a:xfrm>
                    <a:prstGeom prst="rect">
                      <a:avLst/>
                    </a:prstGeom>
                  </pic:spPr>
                </pic:pic>
              </a:graphicData>
            </a:graphic>
          </wp:inline>
        </w:drawing>
      </w:r>
    </w:p>
    <w:p w14:paraId="2C819EE6" w14:textId="349A2EE2" w:rsidR="000741FB" w:rsidRDefault="000741FB" w:rsidP="3822077D">
      <w:pPr>
        <w:tabs>
          <w:tab w:val="left" w:pos="3944"/>
        </w:tabs>
        <w:spacing w:before="240"/>
        <w:rPr>
          <w:rFonts w:eastAsia="Garamond" w:cs="Garamond"/>
        </w:rPr>
      </w:pPr>
      <w:r w:rsidRPr="3C601C31">
        <w:rPr>
          <w:rFonts w:eastAsia="Garamond" w:cs="Garamond"/>
        </w:rPr>
        <w:t xml:space="preserve">This </w:t>
      </w:r>
      <w:r w:rsidR="50CAA4B1" w:rsidRPr="3C601C31">
        <w:rPr>
          <w:rFonts w:eastAsia="Garamond" w:cs="Garamond"/>
        </w:rPr>
        <w:t>bar</w:t>
      </w:r>
      <w:r w:rsidRPr="3C601C31">
        <w:rPr>
          <w:rFonts w:eastAsia="Garamond" w:cs="Garamond"/>
        </w:rPr>
        <w:t xml:space="preserve"> chart </w:t>
      </w:r>
      <w:r w:rsidR="00EE4AF3">
        <w:rPr>
          <w:rFonts w:eastAsia="Garamond" w:cs="Garamond"/>
        </w:rPr>
        <w:t xml:space="preserve">above </w:t>
      </w:r>
      <w:r w:rsidRPr="3C601C31">
        <w:rPr>
          <w:rFonts w:eastAsia="Garamond" w:cs="Garamond"/>
        </w:rPr>
        <w:t xml:space="preserve">shows </w:t>
      </w:r>
      <w:r w:rsidR="004E5F08">
        <w:rPr>
          <w:rFonts w:eastAsia="Garamond" w:cs="Garamond"/>
        </w:rPr>
        <w:t>the 163</w:t>
      </w:r>
      <w:r w:rsidRPr="3C601C31">
        <w:rPr>
          <w:rFonts w:eastAsia="Garamond" w:cs="Garamond"/>
        </w:rPr>
        <w:t xml:space="preserve"> incidents by cause</w:t>
      </w:r>
      <w:r w:rsidR="000B3533">
        <w:rPr>
          <w:rFonts w:eastAsia="Garamond" w:cs="Garamond"/>
        </w:rPr>
        <w:t xml:space="preserve"> </w:t>
      </w:r>
      <w:r w:rsidRPr="3C601C31">
        <w:rPr>
          <w:rFonts w:eastAsia="Garamond" w:cs="Garamond"/>
        </w:rPr>
        <w:t xml:space="preserve">as of </w:t>
      </w:r>
      <w:r w:rsidR="29D24AC2" w:rsidRPr="3C601C31">
        <w:rPr>
          <w:rFonts w:eastAsia="Garamond" w:cs="Garamond"/>
        </w:rPr>
        <w:t>October</w:t>
      </w:r>
      <w:r w:rsidR="00104D85">
        <w:rPr>
          <w:rFonts w:eastAsia="Garamond" w:cs="Garamond"/>
        </w:rPr>
        <w:t xml:space="preserve"> </w:t>
      </w:r>
      <w:r w:rsidRPr="3C601C31">
        <w:rPr>
          <w:rFonts w:eastAsia="Garamond" w:cs="Garamond"/>
        </w:rPr>
        <w:t>3</w:t>
      </w:r>
      <w:r w:rsidR="6525BDA6" w:rsidRPr="3C601C31">
        <w:rPr>
          <w:rFonts w:eastAsia="Garamond" w:cs="Garamond"/>
        </w:rPr>
        <w:t>1</w:t>
      </w:r>
      <w:r w:rsidR="58119EDE" w:rsidRPr="3C601C31">
        <w:rPr>
          <w:rFonts w:eastAsia="Garamond" w:cs="Garamond"/>
        </w:rPr>
        <w:t>,</w:t>
      </w:r>
      <w:r w:rsidRPr="3C601C31">
        <w:rPr>
          <w:rFonts w:eastAsia="Garamond" w:cs="Garamond"/>
        </w:rPr>
        <w:t xml:space="preserve"> 2020. The</w:t>
      </w:r>
      <w:r w:rsidR="00BB41F2">
        <w:rPr>
          <w:rFonts w:eastAsia="Garamond" w:cs="Garamond"/>
        </w:rPr>
        <w:t xml:space="preserve"> table</w:t>
      </w:r>
      <w:r w:rsidRPr="3C601C31">
        <w:rPr>
          <w:rFonts w:eastAsia="Garamond" w:cs="Garamond"/>
        </w:rPr>
        <w:t xml:space="preserve"> below shows the</w:t>
      </w:r>
      <w:r w:rsidR="009A4945">
        <w:rPr>
          <w:rFonts w:eastAsia="Garamond" w:cs="Garamond"/>
        </w:rPr>
        <w:t xml:space="preserve"> 163</w:t>
      </w:r>
      <w:r w:rsidRPr="3C601C31">
        <w:rPr>
          <w:rFonts w:eastAsia="Garamond" w:cs="Garamond"/>
        </w:rPr>
        <w:t xml:space="preserve"> incidents by level and status.</w:t>
      </w:r>
    </w:p>
    <w:tbl>
      <w:tblPr>
        <w:tblStyle w:val="GridTable4-Accent4"/>
        <w:tblW w:w="9014" w:type="dxa"/>
        <w:tblLook w:val="04A0" w:firstRow="1" w:lastRow="0" w:firstColumn="1" w:lastColumn="0" w:noHBand="0" w:noVBand="1"/>
      </w:tblPr>
      <w:tblGrid>
        <w:gridCol w:w="1509"/>
        <w:gridCol w:w="1468"/>
        <w:gridCol w:w="1491"/>
        <w:gridCol w:w="1360"/>
        <w:gridCol w:w="1314"/>
        <w:gridCol w:w="1872"/>
      </w:tblGrid>
      <w:tr w:rsidR="001758EF" w:rsidRPr="00F45B99" w14:paraId="62DB6777" w14:textId="77777777" w:rsidTr="003C05CA">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509" w:type="dxa"/>
            <w:noWrap/>
            <w:hideMark/>
          </w:tcPr>
          <w:p w14:paraId="03B9BA8B" w14:textId="77777777" w:rsidR="000741FB" w:rsidRPr="00F45B99" w:rsidRDefault="000741FB" w:rsidP="3822077D">
            <w:pPr>
              <w:rPr>
                <w:rFonts w:eastAsia="Garamond" w:cs="Garamond"/>
              </w:rPr>
            </w:pPr>
            <w:r w:rsidRPr="3822077D">
              <w:rPr>
                <w:rFonts w:eastAsia="Garamond" w:cs="Garamond"/>
              </w:rPr>
              <w:t> </w:t>
            </w:r>
          </w:p>
        </w:tc>
        <w:tc>
          <w:tcPr>
            <w:tcW w:w="1468" w:type="dxa"/>
            <w:noWrap/>
            <w:hideMark/>
          </w:tcPr>
          <w:p w14:paraId="073629EF" w14:textId="77777777" w:rsidR="000741FB" w:rsidRPr="00F45B99" w:rsidRDefault="000741FB" w:rsidP="3822077D">
            <w:pPr>
              <w:jc w:val="right"/>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 xml:space="preserve"> Level 1</w:t>
            </w:r>
          </w:p>
        </w:tc>
        <w:tc>
          <w:tcPr>
            <w:tcW w:w="1491" w:type="dxa"/>
            <w:noWrap/>
            <w:hideMark/>
          </w:tcPr>
          <w:p w14:paraId="43F37B95" w14:textId="77777777" w:rsidR="000741FB" w:rsidRPr="00F45B99" w:rsidRDefault="000741FB" w:rsidP="3822077D">
            <w:pPr>
              <w:jc w:val="right"/>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Level 2</w:t>
            </w:r>
          </w:p>
        </w:tc>
        <w:tc>
          <w:tcPr>
            <w:tcW w:w="1360" w:type="dxa"/>
            <w:noWrap/>
            <w:hideMark/>
          </w:tcPr>
          <w:p w14:paraId="6ED8E116" w14:textId="77777777" w:rsidR="000741FB" w:rsidRPr="00F45B99" w:rsidRDefault="000741FB" w:rsidP="3822077D">
            <w:pPr>
              <w:jc w:val="right"/>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Level 3</w:t>
            </w:r>
          </w:p>
        </w:tc>
        <w:tc>
          <w:tcPr>
            <w:tcW w:w="1314" w:type="dxa"/>
            <w:noWrap/>
            <w:hideMark/>
          </w:tcPr>
          <w:p w14:paraId="114000A8" w14:textId="77777777" w:rsidR="000741FB" w:rsidRPr="00F45B99" w:rsidRDefault="000741FB" w:rsidP="3822077D">
            <w:pPr>
              <w:jc w:val="right"/>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Level 4</w:t>
            </w:r>
          </w:p>
        </w:tc>
        <w:tc>
          <w:tcPr>
            <w:tcW w:w="1872" w:type="dxa"/>
            <w:noWrap/>
            <w:hideMark/>
          </w:tcPr>
          <w:p w14:paraId="5F65E3A7" w14:textId="77777777" w:rsidR="000741FB" w:rsidRPr="00F45B99" w:rsidRDefault="000741FB" w:rsidP="3822077D">
            <w:pPr>
              <w:jc w:val="right"/>
              <w:cnfStyle w:val="100000000000" w:firstRow="1" w:lastRow="0" w:firstColumn="0" w:lastColumn="0" w:oddVBand="0" w:evenVBand="0" w:oddHBand="0" w:evenHBand="0" w:firstRowFirstColumn="0" w:firstRowLastColumn="0" w:lastRowFirstColumn="0" w:lastRowLastColumn="0"/>
              <w:rPr>
                <w:rFonts w:eastAsia="Garamond" w:cs="Garamond"/>
              </w:rPr>
            </w:pPr>
            <w:r w:rsidRPr="3822077D">
              <w:rPr>
                <w:rFonts w:eastAsia="Garamond" w:cs="Garamond"/>
              </w:rPr>
              <w:t>TOTAL</w:t>
            </w:r>
          </w:p>
        </w:tc>
      </w:tr>
      <w:tr w:rsidR="001758EF" w:rsidRPr="00F45B99" w14:paraId="3046A9E5" w14:textId="77777777" w:rsidTr="003C05C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509" w:type="dxa"/>
            <w:noWrap/>
            <w:hideMark/>
          </w:tcPr>
          <w:p w14:paraId="161D2C5B" w14:textId="77777777" w:rsidR="000741FB" w:rsidRPr="003C05CA" w:rsidRDefault="000741FB" w:rsidP="3822077D">
            <w:pPr>
              <w:rPr>
                <w:rFonts w:eastAsia="Garamond" w:cs="Garamond"/>
                <w:sz w:val="22"/>
              </w:rPr>
            </w:pPr>
            <w:r w:rsidRPr="003C05CA">
              <w:rPr>
                <w:rFonts w:eastAsia="Garamond" w:cs="Garamond"/>
                <w:sz w:val="22"/>
              </w:rPr>
              <w:t>Open</w:t>
            </w:r>
          </w:p>
        </w:tc>
        <w:tc>
          <w:tcPr>
            <w:tcW w:w="1468" w:type="dxa"/>
            <w:noWrap/>
            <w:hideMark/>
          </w:tcPr>
          <w:p w14:paraId="783B56A7" w14:textId="7C47D358" w:rsidR="000741FB" w:rsidRPr="003C05CA" w:rsidRDefault="407C2935"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w:t>
            </w:r>
            <w:r w:rsidR="181B5B86" w:rsidRPr="003C05CA">
              <w:rPr>
                <w:rFonts w:eastAsia="Garamond" w:cs="Garamond"/>
                <w:sz w:val="22"/>
              </w:rPr>
              <w:t>3</w:t>
            </w:r>
          </w:p>
        </w:tc>
        <w:tc>
          <w:tcPr>
            <w:tcW w:w="1491" w:type="dxa"/>
            <w:noWrap/>
            <w:hideMark/>
          </w:tcPr>
          <w:p w14:paraId="17783C55" w14:textId="6A83D692" w:rsidR="000741FB" w:rsidRPr="003C05CA" w:rsidRDefault="1DC8B0BB"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w:t>
            </w:r>
            <w:r w:rsidR="6706C9F0" w:rsidRPr="003C05CA">
              <w:rPr>
                <w:rFonts w:eastAsia="Garamond" w:cs="Garamond"/>
                <w:sz w:val="22"/>
              </w:rPr>
              <w:t>9</w:t>
            </w:r>
          </w:p>
        </w:tc>
        <w:tc>
          <w:tcPr>
            <w:tcW w:w="1360" w:type="dxa"/>
            <w:noWrap/>
            <w:hideMark/>
          </w:tcPr>
          <w:p w14:paraId="7AAF3F80" w14:textId="5ECB85C4" w:rsidR="000741FB" w:rsidRPr="003C05CA" w:rsidRDefault="5F0B43D3"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w:t>
            </w:r>
          </w:p>
        </w:tc>
        <w:tc>
          <w:tcPr>
            <w:tcW w:w="1314" w:type="dxa"/>
            <w:noWrap/>
            <w:hideMark/>
          </w:tcPr>
          <w:p w14:paraId="3023FB4D" w14:textId="2AD1D06E" w:rsidR="000741FB" w:rsidRPr="003C05CA" w:rsidRDefault="703CCE1F"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4</w:t>
            </w:r>
          </w:p>
        </w:tc>
        <w:tc>
          <w:tcPr>
            <w:tcW w:w="1872" w:type="dxa"/>
            <w:noWrap/>
            <w:hideMark/>
          </w:tcPr>
          <w:p w14:paraId="6F6C7EBA" w14:textId="40D78B2B" w:rsidR="000741FB" w:rsidRPr="003C05CA" w:rsidRDefault="72917B6C" w:rsidP="3822077D">
            <w:pPr>
              <w:spacing w:after="0"/>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1</w:t>
            </w:r>
            <w:r w:rsidR="4DB29751" w:rsidRPr="003C05CA">
              <w:rPr>
                <w:rFonts w:eastAsia="Garamond" w:cs="Garamond"/>
                <w:sz w:val="22"/>
              </w:rPr>
              <w:t>42</w:t>
            </w:r>
          </w:p>
        </w:tc>
      </w:tr>
      <w:tr w:rsidR="001758EF" w:rsidRPr="00F45B99" w14:paraId="4C6B87E1" w14:textId="77777777" w:rsidTr="003C05CA">
        <w:trPr>
          <w:trHeight w:val="33"/>
        </w:trPr>
        <w:tc>
          <w:tcPr>
            <w:cnfStyle w:val="001000000000" w:firstRow="0" w:lastRow="0" w:firstColumn="1" w:lastColumn="0" w:oddVBand="0" w:evenVBand="0" w:oddHBand="0" w:evenHBand="0" w:firstRowFirstColumn="0" w:firstRowLastColumn="0" w:lastRowFirstColumn="0" w:lastRowLastColumn="0"/>
            <w:tcW w:w="1509" w:type="dxa"/>
            <w:noWrap/>
            <w:hideMark/>
          </w:tcPr>
          <w:p w14:paraId="21F087A4" w14:textId="77777777" w:rsidR="000741FB" w:rsidRPr="003C05CA" w:rsidRDefault="000741FB" w:rsidP="3822077D">
            <w:pPr>
              <w:rPr>
                <w:rFonts w:eastAsia="Garamond" w:cs="Garamond"/>
                <w:sz w:val="22"/>
              </w:rPr>
            </w:pPr>
            <w:r w:rsidRPr="003C05CA">
              <w:rPr>
                <w:rFonts w:eastAsia="Garamond" w:cs="Garamond"/>
                <w:sz w:val="22"/>
              </w:rPr>
              <w:t>Closed</w:t>
            </w:r>
          </w:p>
        </w:tc>
        <w:tc>
          <w:tcPr>
            <w:tcW w:w="1468" w:type="dxa"/>
            <w:noWrap/>
            <w:hideMark/>
          </w:tcPr>
          <w:p w14:paraId="23906311" w14:textId="77777777" w:rsidR="000741FB" w:rsidRPr="003C05CA" w:rsidRDefault="000741FB" w:rsidP="3822077D">
            <w:pPr>
              <w:jc w:val="right"/>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2</w:t>
            </w:r>
          </w:p>
        </w:tc>
        <w:tc>
          <w:tcPr>
            <w:tcW w:w="1491" w:type="dxa"/>
            <w:noWrap/>
            <w:hideMark/>
          </w:tcPr>
          <w:p w14:paraId="75353766" w14:textId="2802B7BB" w:rsidR="000741FB" w:rsidRPr="003C05CA" w:rsidRDefault="09367713" w:rsidP="3822077D">
            <w:pPr>
              <w:jc w:val="right"/>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19</w:t>
            </w:r>
          </w:p>
        </w:tc>
        <w:tc>
          <w:tcPr>
            <w:tcW w:w="1360" w:type="dxa"/>
            <w:noWrap/>
            <w:hideMark/>
          </w:tcPr>
          <w:p w14:paraId="159B350D" w14:textId="77777777" w:rsidR="000741FB" w:rsidRPr="003C05CA" w:rsidRDefault="000741FB" w:rsidP="3822077D">
            <w:pPr>
              <w:jc w:val="right"/>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0</w:t>
            </w:r>
          </w:p>
        </w:tc>
        <w:tc>
          <w:tcPr>
            <w:tcW w:w="1314" w:type="dxa"/>
            <w:noWrap/>
            <w:hideMark/>
          </w:tcPr>
          <w:p w14:paraId="7E4EE3E6" w14:textId="77777777" w:rsidR="000741FB" w:rsidRPr="003C05CA" w:rsidRDefault="000741FB" w:rsidP="3822077D">
            <w:pPr>
              <w:jc w:val="right"/>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0</w:t>
            </w:r>
          </w:p>
        </w:tc>
        <w:tc>
          <w:tcPr>
            <w:tcW w:w="1872" w:type="dxa"/>
            <w:noWrap/>
            <w:hideMark/>
          </w:tcPr>
          <w:p w14:paraId="3389E6E4" w14:textId="0B4F42E0" w:rsidR="000741FB" w:rsidRPr="003C05CA" w:rsidRDefault="000741FB" w:rsidP="3822077D">
            <w:pPr>
              <w:jc w:val="right"/>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2</w:t>
            </w:r>
            <w:r w:rsidR="132423C2" w:rsidRPr="003C05CA">
              <w:rPr>
                <w:rFonts w:eastAsia="Garamond" w:cs="Garamond"/>
                <w:sz w:val="22"/>
              </w:rPr>
              <w:t>1</w:t>
            </w:r>
          </w:p>
        </w:tc>
      </w:tr>
      <w:tr w:rsidR="001758EF" w:rsidRPr="00F45B99" w14:paraId="3EFB1F8C" w14:textId="77777777" w:rsidTr="003C05C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09" w:type="dxa"/>
            <w:noWrap/>
            <w:hideMark/>
          </w:tcPr>
          <w:p w14:paraId="54488E6A" w14:textId="77777777" w:rsidR="000741FB" w:rsidRPr="003C05CA" w:rsidRDefault="000741FB" w:rsidP="3822077D">
            <w:pPr>
              <w:rPr>
                <w:rFonts w:eastAsia="Garamond" w:cs="Garamond"/>
                <w:sz w:val="22"/>
              </w:rPr>
            </w:pPr>
            <w:r w:rsidRPr="003C05CA">
              <w:rPr>
                <w:rFonts w:eastAsia="Garamond" w:cs="Garamond"/>
                <w:sz w:val="22"/>
              </w:rPr>
              <w:t>TOTAL</w:t>
            </w:r>
          </w:p>
        </w:tc>
        <w:tc>
          <w:tcPr>
            <w:tcW w:w="1468" w:type="dxa"/>
            <w:noWrap/>
            <w:hideMark/>
          </w:tcPr>
          <w:p w14:paraId="7E8C63E0" w14:textId="7B230D36" w:rsidR="000741FB" w:rsidRPr="003C05CA" w:rsidRDefault="4EE0CD7C">
            <w:pPr>
              <w:spacing w:after="0"/>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65</w:t>
            </w:r>
          </w:p>
        </w:tc>
        <w:tc>
          <w:tcPr>
            <w:tcW w:w="1491" w:type="dxa"/>
            <w:noWrap/>
            <w:hideMark/>
          </w:tcPr>
          <w:p w14:paraId="6AE093BD" w14:textId="0ABEC0F0" w:rsidR="000741FB" w:rsidRPr="003C05CA" w:rsidRDefault="02042247" w:rsidP="54A3A7B0">
            <w:pPr>
              <w:spacing w:after="0"/>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8</w:t>
            </w:r>
            <w:r w:rsidR="442E5C2F" w:rsidRPr="003C05CA">
              <w:rPr>
                <w:rFonts w:eastAsia="Garamond" w:cs="Garamond"/>
                <w:sz w:val="22"/>
              </w:rPr>
              <w:t>8</w:t>
            </w:r>
          </w:p>
        </w:tc>
        <w:tc>
          <w:tcPr>
            <w:tcW w:w="1360" w:type="dxa"/>
            <w:noWrap/>
            <w:hideMark/>
          </w:tcPr>
          <w:p w14:paraId="4490B42B" w14:textId="1D2A804F" w:rsidR="000741FB" w:rsidRPr="003C05CA" w:rsidRDefault="6C44DD5C"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w:t>
            </w:r>
          </w:p>
        </w:tc>
        <w:tc>
          <w:tcPr>
            <w:tcW w:w="1314" w:type="dxa"/>
            <w:noWrap/>
            <w:hideMark/>
          </w:tcPr>
          <w:p w14:paraId="7E5CAEDB" w14:textId="352E0A68" w:rsidR="000741FB" w:rsidRPr="003C05CA" w:rsidRDefault="6357E92D" w:rsidP="3822077D">
            <w:pPr>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4</w:t>
            </w:r>
          </w:p>
        </w:tc>
        <w:tc>
          <w:tcPr>
            <w:tcW w:w="1872" w:type="dxa"/>
            <w:noWrap/>
            <w:hideMark/>
          </w:tcPr>
          <w:p w14:paraId="44AD1493" w14:textId="52FC7574" w:rsidR="000741FB" w:rsidRPr="003C05CA" w:rsidRDefault="537692FD" w:rsidP="0025162E">
            <w:pPr>
              <w:spacing w:after="0"/>
              <w:jc w:val="right"/>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1</w:t>
            </w:r>
            <w:r w:rsidR="2F60A966" w:rsidRPr="003C05CA">
              <w:rPr>
                <w:rFonts w:eastAsia="Garamond" w:cs="Garamond"/>
                <w:sz w:val="22"/>
              </w:rPr>
              <w:t>63</w:t>
            </w:r>
          </w:p>
        </w:tc>
      </w:tr>
    </w:tbl>
    <w:p w14:paraId="14072A1C" w14:textId="77777777" w:rsidR="008C084F" w:rsidRDefault="008C084F" w:rsidP="3822077D">
      <w:pPr>
        <w:rPr>
          <w:rFonts w:eastAsia="Garamond" w:cs="Garamond"/>
        </w:rPr>
      </w:pPr>
      <w:bookmarkStart w:id="29" w:name="_Toc514067256"/>
      <w:bookmarkStart w:id="30" w:name="_Toc514154590"/>
      <w:bookmarkStart w:id="31" w:name="_Toc524012862"/>
      <w:bookmarkStart w:id="32" w:name="_Toc525901732"/>
      <w:bookmarkStart w:id="33" w:name="_Toc531764815"/>
      <w:bookmarkStart w:id="34" w:name="_Toc534886505"/>
      <w:bookmarkStart w:id="35" w:name="_Toc1745979"/>
    </w:p>
    <w:p w14:paraId="75DE20DC" w14:textId="392116EC" w:rsidR="000741FB" w:rsidRPr="001758EF" w:rsidRDefault="00C345AB" w:rsidP="3822077D">
      <w:pPr>
        <w:rPr>
          <w:rFonts w:eastAsia="Garamond" w:cs="Garamond"/>
        </w:rPr>
      </w:pPr>
      <w:r>
        <w:rPr>
          <w:rFonts w:eastAsia="Garamond" w:cs="Garamond"/>
        </w:rPr>
        <w:t>T</w:t>
      </w:r>
      <w:r w:rsidR="000741FB" w:rsidRPr="3822077D">
        <w:rPr>
          <w:rFonts w:eastAsia="Garamond" w:cs="Garamond"/>
        </w:rPr>
        <w:t>he table</w:t>
      </w:r>
      <w:r w:rsidR="00BC0452">
        <w:rPr>
          <w:rFonts w:eastAsia="Garamond" w:cs="Garamond"/>
        </w:rPr>
        <w:t xml:space="preserve"> below</w:t>
      </w:r>
      <w:r w:rsidR="000741FB" w:rsidRPr="3822077D">
        <w:rPr>
          <w:rFonts w:eastAsia="Garamond" w:cs="Garamond"/>
        </w:rPr>
        <w:t xml:space="preserve"> provides a summary description of the levels and provides the timeframes/guidelines for incident reports to be completed and closed from the date of assignment of </w:t>
      </w:r>
      <w:r w:rsidR="00A22C0D">
        <w:rPr>
          <w:rFonts w:eastAsia="Garamond" w:cs="Garamond"/>
        </w:rPr>
        <w:t xml:space="preserve">an </w:t>
      </w:r>
      <w:r w:rsidR="000741FB" w:rsidRPr="3822077D">
        <w:rPr>
          <w:rFonts w:eastAsia="Garamond" w:cs="Garamond"/>
        </w:rPr>
        <w:t>investigation.</w:t>
      </w:r>
    </w:p>
    <w:tbl>
      <w:tblPr>
        <w:tblStyle w:val="GridTable4-Accent4"/>
        <w:tblW w:w="9710" w:type="dxa"/>
        <w:tblInd w:w="5" w:type="dxa"/>
        <w:tblLayout w:type="fixed"/>
        <w:tblLook w:val="04A0" w:firstRow="1" w:lastRow="0" w:firstColumn="1" w:lastColumn="0" w:noHBand="0" w:noVBand="1"/>
      </w:tblPr>
      <w:tblGrid>
        <w:gridCol w:w="1252"/>
        <w:gridCol w:w="6568"/>
        <w:gridCol w:w="1890"/>
      </w:tblGrid>
      <w:tr w:rsidR="001C00FA" w:rsidRPr="00CC1859" w14:paraId="17A8FF90" w14:textId="77777777" w:rsidTr="003C05C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52" w:type="dxa"/>
          </w:tcPr>
          <w:p w14:paraId="659F9666" w14:textId="77777777" w:rsidR="000741FB" w:rsidRPr="007A5122" w:rsidRDefault="000741FB" w:rsidP="3822077D">
            <w:pPr>
              <w:rPr>
                <w:rFonts w:eastAsia="Garamond" w:cs="Garamond"/>
                <w:szCs w:val="24"/>
              </w:rPr>
            </w:pPr>
            <w:bookmarkStart w:id="36" w:name="_Hlk47613299"/>
            <w:r w:rsidRPr="007A5122">
              <w:rPr>
                <w:rFonts w:eastAsia="Garamond" w:cs="Garamond"/>
                <w:szCs w:val="24"/>
              </w:rPr>
              <w:t xml:space="preserve"> Levels</w:t>
            </w:r>
          </w:p>
        </w:tc>
        <w:tc>
          <w:tcPr>
            <w:tcW w:w="6568" w:type="dxa"/>
          </w:tcPr>
          <w:p w14:paraId="3659B846" w14:textId="77777777" w:rsidR="000741FB" w:rsidRPr="007A5122" w:rsidRDefault="000741FB" w:rsidP="3822077D">
            <w:pPr>
              <w:cnfStyle w:val="100000000000" w:firstRow="1" w:lastRow="0" w:firstColumn="0" w:lastColumn="0" w:oddVBand="0" w:evenVBand="0" w:oddHBand="0" w:evenHBand="0" w:firstRowFirstColumn="0" w:firstRowLastColumn="0" w:lastRowFirstColumn="0" w:lastRowLastColumn="0"/>
              <w:rPr>
                <w:rFonts w:eastAsia="Garamond" w:cs="Garamond"/>
                <w:szCs w:val="24"/>
              </w:rPr>
            </w:pPr>
            <w:r w:rsidRPr="007A5122">
              <w:rPr>
                <w:rFonts w:eastAsia="Garamond" w:cs="Garamond"/>
                <w:szCs w:val="24"/>
              </w:rPr>
              <w:t>Definition of Incident Levels</w:t>
            </w:r>
          </w:p>
        </w:tc>
        <w:tc>
          <w:tcPr>
            <w:tcW w:w="1890" w:type="dxa"/>
          </w:tcPr>
          <w:p w14:paraId="2AFF1A84" w14:textId="2C97FE61" w:rsidR="000741FB" w:rsidRPr="007A5122" w:rsidRDefault="000741FB" w:rsidP="3822077D">
            <w:pPr>
              <w:cnfStyle w:val="100000000000" w:firstRow="1" w:lastRow="0" w:firstColumn="0" w:lastColumn="0" w:oddVBand="0" w:evenVBand="0" w:oddHBand="0" w:evenHBand="0" w:firstRowFirstColumn="0" w:firstRowLastColumn="0" w:lastRowFirstColumn="0" w:lastRowLastColumn="0"/>
              <w:rPr>
                <w:rFonts w:eastAsia="Garamond" w:cs="Garamond"/>
                <w:szCs w:val="24"/>
              </w:rPr>
            </w:pPr>
            <w:r w:rsidRPr="007A5122">
              <w:rPr>
                <w:rFonts w:eastAsia="Garamond" w:cs="Garamond"/>
                <w:szCs w:val="24"/>
              </w:rPr>
              <w:t xml:space="preserve">Guidelines </w:t>
            </w:r>
          </w:p>
        </w:tc>
      </w:tr>
      <w:tr w:rsidR="00F45B99" w:rsidRPr="00CC1859" w14:paraId="6190FECC" w14:textId="77777777" w:rsidTr="003C05C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252" w:type="dxa"/>
          </w:tcPr>
          <w:p w14:paraId="49610756" w14:textId="77777777" w:rsidR="000741FB" w:rsidRPr="003C05CA" w:rsidRDefault="000741FB" w:rsidP="3822077D">
            <w:pPr>
              <w:rPr>
                <w:rFonts w:eastAsia="Garamond" w:cs="Garamond"/>
                <w:sz w:val="22"/>
              </w:rPr>
            </w:pPr>
            <w:r w:rsidRPr="003C05CA">
              <w:rPr>
                <w:rFonts w:eastAsia="Garamond" w:cs="Garamond"/>
                <w:sz w:val="22"/>
              </w:rPr>
              <w:t>1</w:t>
            </w:r>
          </w:p>
        </w:tc>
        <w:tc>
          <w:tcPr>
            <w:tcW w:w="6568" w:type="dxa"/>
          </w:tcPr>
          <w:p w14:paraId="2A6347C8" w14:textId="77777777" w:rsidR="000741FB" w:rsidRPr="003C05CA" w:rsidRDefault="000741FB" w:rsidP="3822077D">
            <w:pP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 xml:space="preserve">Did not result in injury, fatality, fire or explosion; may be due to an unrelated event outside of the Operator’s control.  </w:t>
            </w:r>
          </w:p>
        </w:tc>
        <w:tc>
          <w:tcPr>
            <w:tcW w:w="1890" w:type="dxa"/>
          </w:tcPr>
          <w:p w14:paraId="3DC59FD2" w14:textId="77777777" w:rsidR="000741FB" w:rsidRPr="003C05CA" w:rsidRDefault="000741FB" w:rsidP="3822077D">
            <w:pP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60 days</w:t>
            </w:r>
          </w:p>
        </w:tc>
      </w:tr>
      <w:tr w:rsidR="000741FB" w:rsidRPr="00CC1859" w14:paraId="3CAC21AE" w14:textId="77777777" w:rsidTr="003C05CA">
        <w:trPr>
          <w:trHeight w:val="652"/>
        </w:trPr>
        <w:tc>
          <w:tcPr>
            <w:cnfStyle w:val="001000000000" w:firstRow="0" w:lastRow="0" w:firstColumn="1" w:lastColumn="0" w:oddVBand="0" w:evenVBand="0" w:oddHBand="0" w:evenHBand="0" w:firstRowFirstColumn="0" w:firstRowLastColumn="0" w:lastRowFirstColumn="0" w:lastRowLastColumn="0"/>
            <w:tcW w:w="1252" w:type="dxa"/>
          </w:tcPr>
          <w:p w14:paraId="128BCB34" w14:textId="77777777" w:rsidR="000741FB" w:rsidRPr="003C05CA" w:rsidRDefault="000741FB" w:rsidP="3822077D">
            <w:pPr>
              <w:rPr>
                <w:rFonts w:eastAsia="Garamond" w:cs="Garamond"/>
                <w:sz w:val="22"/>
              </w:rPr>
            </w:pPr>
            <w:r w:rsidRPr="003C05CA">
              <w:rPr>
                <w:rFonts w:eastAsia="Garamond" w:cs="Garamond"/>
                <w:sz w:val="22"/>
              </w:rPr>
              <w:t>2</w:t>
            </w:r>
          </w:p>
        </w:tc>
        <w:tc>
          <w:tcPr>
            <w:tcW w:w="6568" w:type="dxa"/>
          </w:tcPr>
          <w:p w14:paraId="17FF3D5E" w14:textId="77777777" w:rsidR="000741FB" w:rsidRPr="003C05CA" w:rsidRDefault="000741FB" w:rsidP="3822077D">
            <w:pP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 xml:space="preserve">Did not result in injury, fatality, fire or explosion; may or may not have caused a release of gas, have been reported due to Operator judgment.  </w:t>
            </w:r>
          </w:p>
        </w:tc>
        <w:tc>
          <w:tcPr>
            <w:tcW w:w="1890" w:type="dxa"/>
          </w:tcPr>
          <w:p w14:paraId="35E210D2" w14:textId="77777777" w:rsidR="000741FB" w:rsidRPr="003C05CA" w:rsidRDefault="000741FB" w:rsidP="3822077D">
            <w:pP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120 days</w:t>
            </w:r>
          </w:p>
        </w:tc>
      </w:tr>
      <w:tr w:rsidR="00F45B99" w:rsidRPr="00CC1859" w14:paraId="2F72666D" w14:textId="77777777" w:rsidTr="003C05C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52" w:type="dxa"/>
          </w:tcPr>
          <w:p w14:paraId="3294DE70" w14:textId="77777777" w:rsidR="000741FB" w:rsidRPr="003C05CA" w:rsidRDefault="000741FB" w:rsidP="3822077D">
            <w:pPr>
              <w:rPr>
                <w:rFonts w:eastAsia="Garamond" w:cs="Garamond"/>
                <w:sz w:val="22"/>
              </w:rPr>
            </w:pPr>
            <w:r w:rsidRPr="003C05CA">
              <w:rPr>
                <w:rFonts w:eastAsia="Garamond" w:cs="Garamond"/>
                <w:sz w:val="22"/>
              </w:rPr>
              <w:t>3</w:t>
            </w:r>
          </w:p>
        </w:tc>
        <w:tc>
          <w:tcPr>
            <w:tcW w:w="6568" w:type="dxa"/>
          </w:tcPr>
          <w:p w14:paraId="14263A71" w14:textId="77777777" w:rsidR="000741FB" w:rsidRPr="003C05CA" w:rsidRDefault="000741FB" w:rsidP="3822077D">
            <w:pP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 xml:space="preserve">Resulted in a release of gas but did not result in injury, fatality, fire or explosion.  </w:t>
            </w:r>
          </w:p>
        </w:tc>
        <w:tc>
          <w:tcPr>
            <w:tcW w:w="1890" w:type="dxa"/>
          </w:tcPr>
          <w:p w14:paraId="199CCD08" w14:textId="77777777" w:rsidR="000741FB" w:rsidRPr="003C05CA" w:rsidRDefault="000741FB" w:rsidP="3822077D">
            <w:pP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3C05CA">
              <w:rPr>
                <w:rFonts w:eastAsia="Garamond" w:cs="Garamond"/>
                <w:sz w:val="22"/>
              </w:rPr>
              <w:t>150 days</w:t>
            </w:r>
          </w:p>
        </w:tc>
      </w:tr>
      <w:tr w:rsidR="000741FB" w:rsidRPr="00CC1859" w14:paraId="1D63B065" w14:textId="77777777" w:rsidTr="003C05CA">
        <w:trPr>
          <w:trHeight w:val="27"/>
        </w:trPr>
        <w:tc>
          <w:tcPr>
            <w:cnfStyle w:val="001000000000" w:firstRow="0" w:lastRow="0" w:firstColumn="1" w:lastColumn="0" w:oddVBand="0" w:evenVBand="0" w:oddHBand="0" w:evenHBand="0" w:firstRowFirstColumn="0" w:firstRowLastColumn="0" w:lastRowFirstColumn="0" w:lastRowLastColumn="0"/>
            <w:tcW w:w="1252" w:type="dxa"/>
          </w:tcPr>
          <w:p w14:paraId="52D0381E" w14:textId="77777777" w:rsidR="000741FB" w:rsidRPr="003C05CA" w:rsidRDefault="000741FB" w:rsidP="3822077D">
            <w:pPr>
              <w:rPr>
                <w:rFonts w:eastAsia="Garamond" w:cs="Garamond"/>
                <w:sz w:val="22"/>
              </w:rPr>
            </w:pPr>
            <w:r w:rsidRPr="003C05CA">
              <w:rPr>
                <w:rFonts w:eastAsia="Garamond" w:cs="Garamond"/>
                <w:sz w:val="22"/>
              </w:rPr>
              <w:t>4</w:t>
            </w:r>
          </w:p>
        </w:tc>
        <w:tc>
          <w:tcPr>
            <w:tcW w:w="6568" w:type="dxa"/>
          </w:tcPr>
          <w:p w14:paraId="1905AC8B" w14:textId="77777777" w:rsidR="000741FB" w:rsidRPr="003C05CA" w:rsidRDefault="000741FB" w:rsidP="0D53C514">
            <w:pP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 xml:space="preserve">Resulted in injury, fatality, fire or explosion caused by release of natural gas from the Operator’s facilities.  </w:t>
            </w:r>
          </w:p>
        </w:tc>
        <w:tc>
          <w:tcPr>
            <w:tcW w:w="1890" w:type="dxa"/>
          </w:tcPr>
          <w:p w14:paraId="09B91B94" w14:textId="77777777" w:rsidR="000741FB" w:rsidRPr="003C05CA" w:rsidRDefault="000741FB" w:rsidP="0D53C514">
            <w:pP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3C05CA">
              <w:rPr>
                <w:rFonts w:eastAsia="Garamond" w:cs="Garamond"/>
                <w:sz w:val="22"/>
              </w:rPr>
              <w:t>≥ 180 days</w:t>
            </w:r>
          </w:p>
        </w:tc>
      </w:tr>
      <w:bookmarkEnd w:id="36"/>
    </w:tbl>
    <w:p w14:paraId="697A4935" w14:textId="77777777" w:rsidR="006C2669" w:rsidRDefault="006C2669" w:rsidP="006C543F">
      <w:pPr>
        <w:pStyle w:val="Heading3"/>
      </w:pPr>
    </w:p>
    <w:p w14:paraId="1C2646AA" w14:textId="77777777" w:rsidR="006C2669" w:rsidRDefault="006C2669" w:rsidP="006C543F">
      <w:pPr>
        <w:pStyle w:val="Heading3"/>
      </w:pPr>
    </w:p>
    <w:p w14:paraId="3879DD2D" w14:textId="77777777" w:rsidR="006C2669" w:rsidRDefault="006C2669" w:rsidP="006C543F">
      <w:pPr>
        <w:pStyle w:val="Heading3"/>
      </w:pPr>
    </w:p>
    <w:p w14:paraId="13068757" w14:textId="03719BFD" w:rsidR="000741FB" w:rsidRPr="006C543F" w:rsidRDefault="00981835" w:rsidP="006C543F">
      <w:pPr>
        <w:pStyle w:val="Heading3"/>
      </w:pPr>
      <w:bookmarkStart w:id="37" w:name="_Toc58401336"/>
      <w:r>
        <w:t xml:space="preserve">Natural </w:t>
      </w:r>
      <w:r w:rsidR="00F20105">
        <w:t xml:space="preserve">Gas </w:t>
      </w:r>
      <w:r w:rsidR="000741FB" w:rsidRPr="006C543F">
        <w:t>Utility Self-Identified Violation (SIV) Investigations</w:t>
      </w:r>
      <w:bookmarkEnd w:id="29"/>
      <w:bookmarkEnd w:id="30"/>
      <w:bookmarkEnd w:id="31"/>
      <w:bookmarkEnd w:id="32"/>
      <w:bookmarkEnd w:id="33"/>
      <w:bookmarkEnd w:id="34"/>
      <w:bookmarkEnd w:id="35"/>
      <w:bookmarkEnd w:id="37"/>
      <w:r w:rsidR="000741FB" w:rsidRPr="006C543F">
        <w:t xml:space="preserve"> </w:t>
      </w:r>
    </w:p>
    <w:p w14:paraId="7C82BD37" w14:textId="55CF9299" w:rsidR="00673873" w:rsidRPr="00673873" w:rsidRDefault="000741FB" w:rsidP="00673873">
      <w:r>
        <w:t xml:space="preserve">There </w:t>
      </w:r>
      <w:r w:rsidR="00593660">
        <w:t xml:space="preserve">were no Self-Identified Violations reported in </w:t>
      </w:r>
      <w:r w:rsidR="2EFC0F6F">
        <w:t>October</w:t>
      </w:r>
      <w:r w:rsidR="00593660">
        <w:t xml:space="preserve">. </w:t>
      </w:r>
      <w:r w:rsidR="75C90B8F">
        <w:t xml:space="preserve">To date </w:t>
      </w:r>
      <w:r w:rsidR="45542B8D">
        <w:t>there have been two</w:t>
      </w:r>
      <w:r w:rsidR="1A974D50">
        <w:t xml:space="preserve"> </w:t>
      </w:r>
      <w:r w:rsidR="00156C8D">
        <w:t>SIV</w:t>
      </w:r>
      <w:r w:rsidR="00D02FA7">
        <w:t>s</w:t>
      </w:r>
      <w:r>
        <w:t xml:space="preserve"> reported </w:t>
      </w:r>
      <w:r w:rsidR="5607C30E">
        <w:t xml:space="preserve">by all operators </w:t>
      </w:r>
      <w:r>
        <w:t xml:space="preserve">in 2020. </w:t>
      </w:r>
      <w:r w:rsidR="64D65A97">
        <w:t xml:space="preserve"> </w:t>
      </w:r>
      <w:r>
        <w:t xml:space="preserve"> </w:t>
      </w:r>
    </w:p>
    <w:p w14:paraId="7BEAB711" w14:textId="22C38110" w:rsidR="0B74FD11" w:rsidRPr="0022397F" w:rsidRDefault="0B74FD11" w:rsidP="0022397F">
      <w:pPr>
        <w:pStyle w:val="Heading3"/>
      </w:pPr>
      <w:bookmarkStart w:id="38" w:name="_Toc58401337"/>
      <w:r w:rsidRPr="0022397F">
        <w:t>Customer Safety Complaints</w:t>
      </w:r>
      <w:bookmarkEnd w:id="38"/>
    </w:p>
    <w:p w14:paraId="2D95620C" w14:textId="76A34E2C" w:rsidR="00461B15" w:rsidRPr="00461B15" w:rsidRDefault="0B74FD11" w:rsidP="00461B15">
      <w:r>
        <w:t xml:space="preserve">GSRB investigated </w:t>
      </w:r>
      <w:r w:rsidR="0019431F">
        <w:t>five (</w:t>
      </w:r>
      <w:r w:rsidR="1C4C3276">
        <w:t>5</w:t>
      </w:r>
      <w:r w:rsidR="0019431F">
        <w:t>)</w:t>
      </w:r>
      <w:r>
        <w:t xml:space="preserve"> customer complaints</w:t>
      </w:r>
      <w:r w:rsidR="3D9C6C93">
        <w:t xml:space="preserve"> </w:t>
      </w:r>
      <w:r w:rsidR="0B710FA3">
        <w:t xml:space="preserve">in the month of October. Four </w:t>
      </w:r>
      <w:r w:rsidR="0019431F">
        <w:t xml:space="preserve">(4) </w:t>
      </w:r>
      <w:r w:rsidR="0B710FA3">
        <w:t>of the co</w:t>
      </w:r>
      <w:r w:rsidR="31D38A66">
        <w:t>m</w:t>
      </w:r>
      <w:r w:rsidR="0B710FA3">
        <w:t>plaints have been closed with no further action and one</w:t>
      </w:r>
      <w:r w:rsidR="44B41FDE">
        <w:t xml:space="preserve"> is pending. </w:t>
      </w:r>
    </w:p>
    <w:p w14:paraId="563563EE" w14:textId="0C04C849" w:rsidR="7EB2F099" w:rsidRDefault="58094AF3" w:rsidP="00CC71C8">
      <w:pPr>
        <w:pStyle w:val="Heading3"/>
      </w:pPr>
      <w:bookmarkStart w:id="39" w:name="_Toc58401338"/>
      <w:r>
        <w:t>Notice of Probable Violation Letters</w:t>
      </w:r>
      <w:r w:rsidR="004A4393">
        <w:t xml:space="preserve"> (NOPV)</w:t>
      </w:r>
      <w:bookmarkEnd w:id="39"/>
      <w:r w:rsidR="00DF31CB">
        <w:t xml:space="preserve"> </w:t>
      </w:r>
    </w:p>
    <w:p w14:paraId="10DE3E26" w14:textId="768F6166" w:rsidR="00EC4834" w:rsidRPr="00092BFF" w:rsidRDefault="508FC053" w:rsidP="272C883C">
      <w:r>
        <w:t xml:space="preserve">SED may issue an NOPV based on an investigation, customer complaint, or inspection for a violation of an applicable law or regulation. </w:t>
      </w:r>
      <w:r w:rsidR="58094AF3">
        <w:t xml:space="preserve">In </w:t>
      </w:r>
      <w:r w:rsidR="00840CB1">
        <w:t>October</w:t>
      </w:r>
      <w:r w:rsidR="58094AF3">
        <w:t xml:space="preserve">, GSRB issued </w:t>
      </w:r>
      <w:r w:rsidR="56922FA8">
        <w:t>4</w:t>
      </w:r>
      <w:r w:rsidR="58094AF3">
        <w:t xml:space="preserve"> </w:t>
      </w:r>
      <w:r w:rsidR="187AFE24">
        <w:t xml:space="preserve">inspection letters </w:t>
      </w:r>
      <w:r w:rsidR="11255A9C">
        <w:t>(with 0 probable violations)</w:t>
      </w:r>
      <w:r w:rsidR="187AFE24">
        <w:t xml:space="preserve"> and 0 </w:t>
      </w:r>
      <w:r w:rsidR="00DF31CB">
        <w:t>NO</w:t>
      </w:r>
      <w:r w:rsidR="7C399750">
        <w:t>P</w:t>
      </w:r>
      <w:r w:rsidR="00DF31CB">
        <w:t>Vs</w:t>
      </w:r>
      <w:r w:rsidR="58094AF3">
        <w:t>.</w:t>
      </w:r>
      <w:r w:rsidR="00DF31CB">
        <w:t xml:space="preserve"> </w:t>
      </w:r>
    </w:p>
    <w:p w14:paraId="13E3CD35" w14:textId="33B42D94" w:rsidR="00461B15" w:rsidRPr="00092BFF" w:rsidRDefault="58B830BC" w:rsidP="272C883C">
      <w:pPr>
        <w:pStyle w:val="ListParagraph"/>
        <w:numPr>
          <w:ilvl w:val="0"/>
          <w:numId w:val="38"/>
        </w:numPr>
        <w:rPr>
          <w:rFonts w:eastAsia="Garamond" w:cs="Garamond"/>
          <w:szCs w:val="24"/>
        </w:rPr>
      </w:pPr>
      <w:r w:rsidRPr="00092BFF">
        <w:rPr>
          <w:szCs w:val="24"/>
        </w:rPr>
        <w:t>October</w:t>
      </w:r>
      <w:r w:rsidR="58F8524D" w:rsidRPr="00092BFF">
        <w:rPr>
          <w:szCs w:val="24"/>
        </w:rPr>
        <w:t xml:space="preserve"> </w:t>
      </w:r>
      <w:r w:rsidR="2EAD8072" w:rsidRPr="00092BFF">
        <w:rPr>
          <w:szCs w:val="24"/>
        </w:rPr>
        <w:t>5</w:t>
      </w:r>
      <w:r w:rsidR="58F8524D" w:rsidRPr="00092BFF">
        <w:rPr>
          <w:szCs w:val="24"/>
        </w:rPr>
        <w:t xml:space="preserve">– </w:t>
      </w:r>
      <w:r w:rsidR="6D9640E3" w:rsidRPr="00092BFF">
        <w:rPr>
          <w:rFonts w:eastAsia="Calibri" w:cs="Calibri"/>
          <w:szCs w:val="24"/>
        </w:rPr>
        <w:t>City of Victorville Municipal Utility Services</w:t>
      </w:r>
      <w:r w:rsidR="198B950B" w:rsidRPr="00092BFF">
        <w:rPr>
          <w:rFonts w:eastAsia="Calibri" w:cs="Calibri"/>
          <w:szCs w:val="24"/>
        </w:rPr>
        <w:t xml:space="preserve"> inspection letter</w:t>
      </w:r>
      <w:r w:rsidR="58F8524D" w:rsidRPr="00092BFF">
        <w:rPr>
          <w:szCs w:val="24"/>
        </w:rPr>
        <w:t xml:space="preserve"> – </w:t>
      </w:r>
      <w:r w:rsidR="002DE2B6" w:rsidRPr="00092BFF">
        <w:rPr>
          <w:szCs w:val="24"/>
        </w:rPr>
        <w:t>0</w:t>
      </w:r>
      <w:r w:rsidR="58F8524D" w:rsidRPr="00092BFF">
        <w:rPr>
          <w:szCs w:val="24"/>
        </w:rPr>
        <w:t xml:space="preserve"> probable violations</w:t>
      </w:r>
      <w:r w:rsidR="005C7505">
        <w:rPr>
          <w:szCs w:val="24"/>
        </w:rPr>
        <w:t xml:space="preserve"> found</w:t>
      </w:r>
      <w:r w:rsidR="00DD2422">
        <w:rPr>
          <w:szCs w:val="24"/>
        </w:rPr>
        <w:t>.</w:t>
      </w:r>
    </w:p>
    <w:p w14:paraId="13B1297E" w14:textId="00F29CF6" w:rsidR="00645E93" w:rsidRPr="005C7505" w:rsidRDefault="7C7C8350" w:rsidP="6C5FAA3D">
      <w:pPr>
        <w:pStyle w:val="ListParagraph"/>
        <w:numPr>
          <w:ilvl w:val="0"/>
          <w:numId w:val="38"/>
        </w:numPr>
        <w:rPr>
          <w:rFonts w:eastAsia="Garamond" w:cs="Garamond"/>
          <w:szCs w:val="24"/>
        </w:rPr>
      </w:pPr>
      <w:r w:rsidRPr="00DE40A8">
        <w:rPr>
          <w:szCs w:val="24"/>
        </w:rPr>
        <w:t>Octo</w:t>
      </w:r>
      <w:r w:rsidR="148B40E8" w:rsidRPr="00DE40A8">
        <w:rPr>
          <w:szCs w:val="24"/>
        </w:rPr>
        <w:t xml:space="preserve">ber </w:t>
      </w:r>
      <w:r w:rsidR="1A48EDB1" w:rsidRPr="00863A93">
        <w:rPr>
          <w:szCs w:val="24"/>
        </w:rPr>
        <w:t>20</w:t>
      </w:r>
      <w:r w:rsidR="148B40E8" w:rsidRPr="00863A93">
        <w:rPr>
          <w:szCs w:val="24"/>
        </w:rPr>
        <w:t xml:space="preserve"> – </w:t>
      </w:r>
      <w:r w:rsidR="3DA92C57" w:rsidRPr="005C7505">
        <w:rPr>
          <w:szCs w:val="24"/>
        </w:rPr>
        <w:t xml:space="preserve">SoCalGas San Fernando </w:t>
      </w:r>
      <w:r w:rsidR="148B40E8" w:rsidRPr="005C7505">
        <w:rPr>
          <w:szCs w:val="24"/>
        </w:rPr>
        <w:t>inspection letter – 0 probable violations</w:t>
      </w:r>
      <w:r w:rsidR="00DD2422">
        <w:rPr>
          <w:szCs w:val="24"/>
        </w:rPr>
        <w:t xml:space="preserve"> found.</w:t>
      </w:r>
    </w:p>
    <w:p w14:paraId="40FD5C1F" w14:textId="376491BE" w:rsidR="67CC436E" w:rsidRPr="00092BFF" w:rsidRDefault="14E006D5" w:rsidP="272C883C">
      <w:pPr>
        <w:pStyle w:val="ListParagraph"/>
        <w:numPr>
          <w:ilvl w:val="0"/>
          <w:numId w:val="38"/>
        </w:numPr>
        <w:rPr>
          <w:rFonts w:eastAsia="Garamond" w:cs="Garamond"/>
          <w:szCs w:val="24"/>
        </w:rPr>
      </w:pPr>
      <w:r w:rsidRPr="00357590">
        <w:rPr>
          <w:szCs w:val="24"/>
        </w:rPr>
        <w:t xml:space="preserve">October 29 </w:t>
      </w:r>
      <w:r w:rsidR="148B40E8" w:rsidRPr="00357590">
        <w:rPr>
          <w:szCs w:val="24"/>
        </w:rPr>
        <w:t xml:space="preserve">– </w:t>
      </w:r>
      <w:r w:rsidR="5E8C5BE4" w:rsidRPr="00092BFF">
        <w:rPr>
          <w:rFonts w:eastAsia="Times New Roman" w:cs="Times New Roman"/>
          <w:szCs w:val="24"/>
        </w:rPr>
        <w:t>San Diego Gas and Electric</w:t>
      </w:r>
      <w:r w:rsidR="5E8C5BE4" w:rsidRPr="00092BFF">
        <w:rPr>
          <w:rFonts w:eastAsia="Times New Roman" w:cs="Times New Roman"/>
          <w:b/>
          <w:bCs/>
          <w:szCs w:val="24"/>
        </w:rPr>
        <w:t xml:space="preserve"> </w:t>
      </w:r>
      <w:r w:rsidR="5E8C5BE4" w:rsidRPr="00092BFF">
        <w:rPr>
          <w:rFonts w:eastAsia="Times New Roman" w:cs="Times New Roman"/>
          <w:szCs w:val="24"/>
        </w:rPr>
        <w:t>Company’s (SDG&amp;E) Emergency Response</w:t>
      </w:r>
      <w:r w:rsidR="148B40E8" w:rsidRPr="00092BFF">
        <w:rPr>
          <w:szCs w:val="24"/>
        </w:rPr>
        <w:t xml:space="preserve"> inspection letter – </w:t>
      </w:r>
      <w:r w:rsidR="5C5DDCC7" w:rsidRPr="00DE40A8">
        <w:rPr>
          <w:szCs w:val="24"/>
        </w:rPr>
        <w:t>0</w:t>
      </w:r>
      <w:r w:rsidR="148B40E8" w:rsidRPr="00DE40A8">
        <w:rPr>
          <w:szCs w:val="24"/>
        </w:rPr>
        <w:t xml:space="preserve"> probable violations</w:t>
      </w:r>
      <w:r w:rsidR="00DD2422">
        <w:rPr>
          <w:szCs w:val="24"/>
        </w:rPr>
        <w:t xml:space="preserve"> found.</w:t>
      </w:r>
    </w:p>
    <w:p w14:paraId="1B7A1F43" w14:textId="4D1C2FA1" w:rsidR="148B40E8" w:rsidRPr="00092BFF" w:rsidRDefault="2F6754BA" w:rsidP="272C883C">
      <w:pPr>
        <w:pStyle w:val="ListParagraph"/>
        <w:numPr>
          <w:ilvl w:val="0"/>
          <w:numId w:val="38"/>
        </w:numPr>
        <w:rPr>
          <w:rFonts w:eastAsia="Garamond" w:cs="Garamond"/>
        </w:rPr>
      </w:pPr>
      <w:r>
        <w:t>October 29</w:t>
      </w:r>
      <w:r w:rsidR="148B40E8">
        <w:t xml:space="preserve"> – </w:t>
      </w:r>
      <w:r w:rsidR="39D8E33D" w:rsidRPr="48089887">
        <w:rPr>
          <w:rFonts w:eastAsia="Times New Roman" w:cs="Times New Roman"/>
        </w:rPr>
        <w:t>SoCalGas Emergency Response inspection letter</w:t>
      </w:r>
      <w:r w:rsidR="148B40E8">
        <w:t xml:space="preserve"> – 0 </w:t>
      </w:r>
      <w:r w:rsidR="7F9CE546">
        <w:t>probable</w:t>
      </w:r>
      <w:r w:rsidR="148B40E8">
        <w:t xml:space="preserve"> violations</w:t>
      </w:r>
      <w:r w:rsidR="2897942C">
        <w:t xml:space="preserve"> found.</w:t>
      </w:r>
    </w:p>
    <w:p w14:paraId="3EA1D20E" w14:textId="3B45A3F0" w:rsidR="000741FB" w:rsidRPr="000974FB" w:rsidRDefault="000741FB" w:rsidP="004069E4">
      <w:pPr>
        <w:pStyle w:val="Heading3"/>
      </w:pPr>
      <w:bookmarkStart w:id="40" w:name="_Toc514067257"/>
      <w:bookmarkStart w:id="41" w:name="_Toc514154591"/>
      <w:bookmarkStart w:id="42" w:name="_Toc524012863"/>
      <w:bookmarkStart w:id="43" w:name="_Toc525901733"/>
      <w:bookmarkStart w:id="44" w:name="_Toc531764816"/>
      <w:bookmarkStart w:id="45" w:name="_Toc534886506"/>
      <w:bookmarkStart w:id="46" w:name="_Toc1745980"/>
      <w:bookmarkStart w:id="47" w:name="_Toc58401339"/>
      <w:r w:rsidRPr="004069E4">
        <w:t xml:space="preserve">Natural Gas </w:t>
      </w:r>
      <w:r w:rsidRPr="00BB6DC9">
        <w:t>Safety and Re</w:t>
      </w:r>
      <w:r w:rsidRPr="005A7978">
        <w:t>liability:</w:t>
      </w:r>
      <w:r w:rsidRPr="002C4E21">
        <w:t xml:space="preserve"> </w:t>
      </w:r>
      <w:r w:rsidRPr="000974FB">
        <w:t>Proceedings</w:t>
      </w:r>
      <w:bookmarkEnd w:id="40"/>
      <w:bookmarkEnd w:id="41"/>
      <w:bookmarkEnd w:id="42"/>
      <w:bookmarkEnd w:id="43"/>
      <w:bookmarkEnd w:id="44"/>
      <w:bookmarkEnd w:id="45"/>
      <w:bookmarkEnd w:id="46"/>
      <w:bookmarkEnd w:id="47"/>
    </w:p>
    <w:p w14:paraId="1CA1C097" w14:textId="2329AFD3" w:rsidR="374F68FF" w:rsidRDefault="000741FB">
      <w:r w:rsidRPr="04AE92F8">
        <w:rPr>
          <w:b/>
          <w:bCs/>
        </w:rPr>
        <w:t xml:space="preserve">Aliso Canyon OII (I.19-06-016) (Commissioner Rechtschaffen /ALJs </w:t>
      </w:r>
      <w:r w:rsidR="00316E85" w:rsidRPr="04AE92F8">
        <w:rPr>
          <w:b/>
          <w:bCs/>
        </w:rPr>
        <w:t>Hecht</w:t>
      </w:r>
      <w:r w:rsidRPr="04AE92F8">
        <w:rPr>
          <w:b/>
          <w:bCs/>
        </w:rPr>
        <w:t>/Poirier) (SED Advocacy)</w:t>
      </w:r>
      <w:r>
        <w:t xml:space="preserve">: </w:t>
      </w:r>
      <w:r w:rsidR="374F68FF" w:rsidRPr="12BE5B56">
        <w:rPr>
          <w:rFonts w:eastAsia="Garamond" w:cs="Garamond"/>
          <w:szCs w:val="24"/>
        </w:rPr>
        <w:t>In September, SoCalGas and SED filed motions on a variety of issues of practice and confidentiality and discovery privileges with written responses to the motions continuing into October</w:t>
      </w:r>
      <w:r w:rsidR="00A61947">
        <w:rPr>
          <w:rFonts w:eastAsia="Garamond" w:cs="Garamond"/>
          <w:szCs w:val="24"/>
        </w:rPr>
        <w:t>.</w:t>
      </w:r>
      <w:r w:rsidR="374F68FF" w:rsidRPr="12BE5B56">
        <w:rPr>
          <w:rFonts w:eastAsia="Garamond" w:cs="Garamond"/>
          <w:szCs w:val="24"/>
        </w:rPr>
        <w:t xml:space="preserve"> </w:t>
      </w:r>
      <w:r w:rsidR="00576F9B">
        <w:rPr>
          <w:rFonts w:eastAsia="Garamond" w:cs="Garamond"/>
          <w:szCs w:val="24"/>
        </w:rPr>
        <w:t xml:space="preserve">On October 15, 2020, the ALJs </w:t>
      </w:r>
      <w:r w:rsidR="00315BF6">
        <w:rPr>
          <w:rFonts w:eastAsia="Garamond" w:cs="Garamond"/>
          <w:szCs w:val="24"/>
        </w:rPr>
        <w:t xml:space="preserve">issued </w:t>
      </w:r>
      <w:r w:rsidR="00DB00CF">
        <w:rPr>
          <w:rFonts w:eastAsia="Garamond" w:cs="Garamond"/>
          <w:szCs w:val="24"/>
        </w:rPr>
        <w:t xml:space="preserve">a ruling amending the procedural schedule and </w:t>
      </w:r>
      <w:r w:rsidR="00014627">
        <w:rPr>
          <w:rFonts w:eastAsia="Garamond" w:cs="Garamond"/>
          <w:szCs w:val="24"/>
        </w:rPr>
        <w:t xml:space="preserve">are </w:t>
      </w:r>
      <w:r w:rsidR="00DB00CF">
        <w:rPr>
          <w:rFonts w:eastAsia="Garamond" w:cs="Garamond"/>
          <w:szCs w:val="24"/>
        </w:rPr>
        <w:t xml:space="preserve">requiring parties to begin hearing preparation activities. </w:t>
      </w:r>
      <w:r w:rsidR="374F68FF" w:rsidRPr="12BE5B56">
        <w:rPr>
          <w:rFonts w:eastAsia="Garamond" w:cs="Garamond"/>
          <w:szCs w:val="24"/>
        </w:rPr>
        <w:t xml:space="preserve">The deadline for </w:t>
      </w:r>
      <w:r w:rsidR="00300EEA">
        <w:rPr>
          <w:rFonts w:eastAsia="Garamond" w:cs="Garamond"/>
          <w:szCs w:val="24"/>
        </w:rPr>
        <w:t>SoCalGas</w:t>
      </w:r>
      <w:r w:rsidR="00AD005C">
        <w:rPr>
          <w:rFonts w:eastAsia="Garamond" w:cs="Garamond"/>
          <w:szCs w:val="24"/>
        </w:rPr>
        <w:t xml:space="preserve"> </w:t>
      </w:r>
      <w:r w:rsidR="374F68FF" w:rsidRPr="12BE5B56">
        <w:rPr>
          <w:rFonts w:eastAsia="Garamond" w:cs="Garamond"/>
          <w:szCs w:val="24"/>
        </w:rPr>
        <w:t>supplemental testimony is October 27, 2020</w:t>
      </w:r>
      <w:r w:rsidR="00C560C6">
        <w:rPr>
          <w:rFonts w:eastAsia="Garamond" w:cs="Garamond"/>
          <w:szCs w:val="24"/>
        </w:rPr>
        <w:t>.</w:t>
      </w:r>
      <w:r w:rsidR="374F68FF" w:rsidRPr="12BE5B56">
        <w:rPr>
          <w:rFonts w:eastAsia="Garamond" w:cs="Garamond"/>
          <w:szCs w:val="24"/>
        </w:rPr>
        <w:t xml:space="preserve"> SED sur-reply testimony response is </w:t>
      </w:r>
      <w:r w:rsidR="000902A9">
        <w:rPr>
          <w:rFonts w:eastAsia="Garamond" w:cs="Garamond"/>
          <w:szCs w:val="24"/>
        </w:rPr>
        <w:t>due</w:t>
      </w:r>
      <w:r w:rsidR="000902A9" w:rsidRPr="12BE5B56">
        <w:rPr>
          <w:rFonts w:eastAsia="Garamond" w:cs="Garamond"/>
          <w:szCs w:val="24"/>
        </w:rPr>
        <w:t xml:space="preserve"> November</w:t>
      </w:r>
      <w:r w:rsidR="374F68FF" w:rsidRPr="12BE5B56">
        <w:rPr>
          <w:rFonts w:eastAsia="Garamond" w:cs="Garamond"/>
          <w:szCs w:val="24"/>
        </w:rPr>
        <w:t xml:space="preserve"> 24, 2020</w:t>
      </w:r>
      <w:r w:rsidR="00CA6743">
        <w:rPr>
          <w:rFonts w:eastAsia="Garamond" w:cs="Garamond"/>
          <w:szCs w:val="24"/>
        </w:rPr>
        <w:t>.</w:t>
      </w:r>
      <w:r w:rsidR="374F68FF" w:rsidRPr="12BE5B56">
        <w:rPr>
          <w:rFonts w:eastAsia="Garamond" w:cs="Garamond"/>
          <w:szCs w:val="24"/>
        </w:rPr>
        <w:t xml:space="preserve"> </w:t>
      </w:r>
      <w:r w:rsidR="00F64A24">
        <w:rPr>
          <w:rFonts w:eastAsia="Garamond" w:cs="Garamond"/>
          <w:szCs w:val="24"/>
        </w:rPr>
        <w:t xml:space="preserve">The ALJ ruling also directs </w:t>
      </w:r>
      <w:r w:rsidR="374F68FF" w:rsidRPr="12BE5B56">
        <w:rPr>
          <w:rFonts w:eastAsia="Garamond" w:cs="Garamond"/>
          <w:szCs w:val="24"/>
        </w:rPr>
        <w:t xml:space="preserve">SoCalGas </w:t>
      </w:r>
      <w:r w:rsidR="00F64A24">
        <w:rPr>
          <w:rFonts w:eastAsia="Garamond" w:cs="Garamond"/>
          <w:szCs w:val="24"/>
        </w:rPr>
        <w:t xml:space="preserve">to </w:t>
      </w:r>
      <w:r w:rsidR="374F68FF" w:rsidRPr="12BE5B56">
        <w:rPr>
          <w:rFonts w:eastAsia="Garamond" w:cs="Garamond"/>
          <w:szCs w:val="24"/>
        </w:rPr>
        <w:t xml:space="preserve">create and maintain a publicly accessible web site or portal by November 6, 2020 for all public testimony. </w:t>
      </w:r>
    </w:p>
    <w:p w14:paraId="7823FE7A" w14:textId="42B9E01A" w:rsidR="000741FB" w:rsidRPr="00F31FAF" w:rsidRDefault="000741FB" w:rsidP="000741FB">
      <w:r w:rsidRPr="69EE22B4">
        <w:rPr>
          <w:b/>
          <w:bCs/>
        </w:rPr>
        <w:t xml:space="preserve">Mobile Home Parks </w:t>
      </w:r>
      <w:r w:rsidR="004E0A7B">
        <w:rPr>
          <w:b/>
          <w:bCs/>
        </w:rPr>
        <w:t xml:space="preserve">(MHP) </w:t>
      </w:r>
      <w:r w:rsidRPr="69EE22B4">
        <w:rPr>
          <w:b/>
          <w:bCs/>
        </w:rPr>
        <w:t xml:space="preserve">Utility Conversion Program (D.20-04-004) (Commissioner Rechtschaffen /ALJ </w:t>
      </w:r>
      <w:r w:rsidR="00BD1010">
        <w:rPr>
          <w:b/>
          <w:bCs/>
        </w:rPr>
        <w:t>Hecht</w:t>
      </w:r>
      <w:r w:rsidRPr="69EE22B4">
        <w:rPr>
          <w:b/>
          <w:bCs/>
        </w:rPr>
        <w:t xml:space="preserve">) (SED Advocacy): </w:t>
      </w:r>
      <w:r>
        <w:t>In April 2020, the Commission adopted a program to convert Master Meter gas and electric distribution systems at MHP</w:t>
      </w:r>
      <w:r w:rsidR="004E0A7B">
        <w:t>s</w:t>
      </w:r>
      <w:r>
        <w:t xml:space="preserve"> from park-owned to IOU operation, providing MHP residents with the same level of safety and service that </w:t>
      </w:r>
      <w:r w:rsidR="00AB4449">
        <w:t>directly served</w:t>
      </w:r>
      <w:r>
        <w:t xml:space="preserve"> utility customers receive. SED/SPD Staff provided an evaluation of the three-year pilot program originating from D.14-03-021. The evaluation noted the high rate of voluntary participation by park owners, the successful completion of the pilot conversion goals by the IOUs, and improved safety and reliability for park residents, many of whom live in Disadvantaged Communities. The program goal is to convert 50% of all mobile home spaces by </w:t>
      </w:r>
      <w:r w:rsidR="00DC3682">
        <w:t xml:space="preserve">the end of </w:t>
      </w:r>
      <w:r>
        <w:t xml:space="preserve">2030 according to a risk-based priority ranking system developed by GSRB. SED </w:t>
      </w:r>
      <w:r w:rsidR="00CD07DE">
        <w:t>will be testing the new risk-rank model in January 2021</w:t>
      </w:r>
      <w:r w:rsidR="00345591">
        <w:t xml:space="preserve"> and will have it finalized before the end of the MHP Utility Conversion Program application period.</w:t>
      </w:r>
      <w:r>
        <w:t xml:space="preserve"> SED </w:t>
      </w:r>
      <w:r w:rsidR="43193054">
        <w:t xml:space="preserve">has </w:t>
      </w:r>
      <w:r>
        <w:t>updat</w:t>
      </w:r>
      <w:r w:rsidR="7C9F4A4F">
        <w:t>ed</w:t>
      </w:r>
      <w:r>
        <w:t xml:space="preserve"> the MHP utility conversion application documents</w:t>
      </w:r>
      <w:r w:rsidR="183F5419">
        <w:t xml:space="preserve"> and confirmed the </w:t>
      </w:r>
      <w:r w:rsidR="00CD6055">
        <w:t>utilities</w:t>
      </w:r>
      <w:r w:rsidR="183F5419">
        <w:t>’ new program management contact information for appli</w:t>
      </w:r>
      <w:r w:rsidR="50D35DA1">
        <w:t xml:space="preserve">cants. SED </w:t>
      </w:r>
      <w:r w:rsidR="6626005F">
        <w:t>has sent applications (called Forms of Intent) to</w:t>
      </w:r>
      <w:r w:rsidR="3B85600A">
        <w:t xml:space="preserve"> the listed owners of</w:t>
      </w:r>
      <w:r w:rsidR="6626005F">
        <w:t xml:space="preserve"> all jurisdictional ma</w:t>
      </w:r>
      <w:r w:rsidR="2AB5E7B3">
        <w:t>s</w:t>
      </w:r>
      <w:r w:rsidR="6626005F">
        <w:t xml:space="preserve">ter-meter gas </w:t>
      </w:r>
      <w:r w:rsidR="009808A3">
        <w:t>operators and</w:t>
      </w:r>
      <w:r w:rsidR="1DDC90B8">
        <w:t xml:space="preserve"> has posted the Form of Intent to the MHP Upgrade webpage on the CPUC Website.</w:t>
      </w:r>
      <w:bookmarkStart w:id="48" w:name="_Hlk47603822"/>
    </w:p>
    <w:bookmarkEnd w:id="48"/>
    <w:p w14:paraId="17E6883B" w14:textId="41429A0C" w:rsidR="000741FB" w:rsidRDefault="000741FB" w:rsidP="272C883C">
      <w:pPr>
        <w:rPr>
          <w:rFonts w:ascii="Calibri" w:eastAsia="Calibri" w:hAnsi="Calibri" w:cs="Calibri"/>
          <w:sz w:val="22"/>
        </w:rPr>
      </w:pPr>
      <w:r w:rsidRPr="272C883C">
        <w:rPr>
          <w:b/>
          <w:bCs/>
        </w:rPr>
        <w:t>PG&amp;E Locate and Mark Practices OII (I.18-12-007) (Commissioner Rechtschaffen/ALJ Allen) (SED Advocacy):</w:t>
      </w:r>
      <w:r>
        <w:t xml:space="preserve"> On February 20, 2020, the Commission </w:t>
      </w:r>
      <w:r w:rsidR="00B16FEE">
        <w:t>issued</w:t>
      </w:r>
      <w:r>
        <w:t xml:space="preserve"> Decision (D.20-02-036)</w:t>
      </w:r>
      <w:r w:rsidR="00C320FC">
        <w:t xml:space="preserve"> </w:t>
      </w:r>
      <w:r w:rsidR="00E96940">
        <w:t>which</w:t>
      </w:r>
      <w:r>
        <w:t xml:space="preserve"> ordered several shareholder-funded gas and electric System Enhancement Initiatives</w:t>
      </w:r>
      <w:r w:rsidR="00E456DA">
        <w:t>.</w:t>
      </w:r>
      <w:r>
        <w:t xml:space="preserve"> </w:t>
      </w:r>
      <w:r w:rsidR="7F13A424">
        <w:t xml:space="preserve">On August 21, SED selected a </w:t>
      </w:r>
      <w:r w:rsidR="005D01F8">
        <w:t>consultant</w:t>
      </w:r>
      <w:r w:rsidR="7F13A424">
        <w:t xml:space="preserve"> for the Compliance and Ethics Corrective Action Program Audit. </w:t>
      </w:r>
      <w:r w:rsidR="7B7315F4">
        <w:t>On October 15,</w:t>
      </w:r>
      <w:r w:rsidR="00EA3C9D">
        <w:t xml:space="preserve"> </w:t>
      </w:r>
      <w:r w:rsidR="7B7315F4">
        <w:t xml:space="preserve">2020, SED selected </w:t>
      </w:r>
      <w:r w:rsidR="00330CE2">
        <w:t>a</w:t>
      </w:r>
      <w:r w:rsidR="7B7315F4">
        <w:t xml:space="preserve"> consultant for the </w:t>
      </w:r>
      <w:r w:rsidR="1DCBE268">
        <w:t>Locate and Mark Compliance Audit and Locate and Mark Field Audit.</w:t>
      </w:r>
      <w:bookmarkStart w:id="49" w:name="_Hlk49866108"/>
      <w:bookmarkEnd w:id="49"/>
    </w:p>
    <w:p w14:paraId="3A20DE48" w14:textId="3DD15EF5" w:rsidR="00316082" w:rsidRDefault="0779E4EE" w:rsidP="00397D4E">
      <w:pPr>
        <w:spacing w:after="0" w:line="240" w:lineRule="auto"/>
        <w:rPr>
          <w:rFonts w:eastAsia="Garamond" w:cs="Garamond"/>
          <w:szCs w:val="24"/>
        </w:rPr>
      </w:pPr>
      <w:r w:rsidRPr="003B2660">
        <w:rPr>
          <w:rFonts w:eastAsia="Californian FB" w:cs="Californian FB"/>
          <w:b/>
          <w:bCs/>
          <w:szCs w:val="24"/>
        </w:rPr>
        <w:t xml:space="preserve">Line 1600 </w:t>
      </w:r>
      <w:r w:rsidR="04B17A7D" w:rsidRPr="003B2660">
        <w:rPr>
          <w:rFonts w:eastAsia="Calibri" w:cs="Calibri"/>
          <w:b/>
          <w:bCs/>
          <w:szCs w:val="24"/>
        </w:rPr>
        <w:t xml:space="preserve">Pipeline Safety Enhancement Program (PSEP) Application </w:t>
      </w:r>
      <w:r w:rsidR="00582FBE" w:rsidRPr="00BC4009">
        <w:rPr>
          <w:rFonts w:eastAsia="Californian FB" w:cs="Californian FB"/>
          <w:b/>
          <w:bCs/>
          <w:szCs w:val="24"/>
        </w:rPr>
        <w:t>(</w:t>
      </w:r>
      <w:r w:rsidR="083C6605" w:rsidRPr="00BC4009">
        <w:rPr>
          <w:rFonts w:eastAsia="Californian FB" w:cs="Californian FB"/>
          <w:b/>
          <w:bCs/>
          <w:szCs w:val="24"/>
        </w:rPr>
        <w:t>A. 15-09-013</w:t>
      </w:r>
      <w:r w:rsidR="00582FBE" w:rsidRPr="00BC4009">
        <w:rPr>
          <w:rFonts w:eastAsia="Californian FB" w:cs="Californian FB"/>
          <w:b/>
          <w:bCs/>
          <w:szCs w:val="24"/>
        </w:rPr>
        <w:t>)</w:t>
      </w:r>
      <w:r w:rsidR="00600E07" w:rsidRPr="00BC4009">
        <w:rPr>
          <w:rFonts w:eastAsia="Californian FB" w:cs="Californian FB"/>
          <w:b/>
          <w:bCs/>
          <w:szCs w:val="24"/>
        </w:rPr>
        <w:t xml:space="preserve"> </w:t>
      </w:r>
      <w:r w:rsidR="00492B98" w:rsidRPr="00E90881">
        <w:rPr>
          <w:b/>
          <w:bCs/>
          <w:szCs w:val="24"/>
        </w:rPr>
        <w:t>(Commissioner R</w:t>
      </w:r>
      <w:r w:rsidR="0000403E" w:rsidRPr="00E90881">
        <w:rPr>
          <w:b/>
          <w:bCs/>
          <w:szCs w:val="24"/>
        </w:rPr>
        <w:t>andolph</w:t>
      </w:r>
      <w:r w:rsidR="00492B98" w:rsidRPr="00E90881">
        <w:rPr>
          <w:b/>
          <w:bCs/>
          <w:szCs w:val="24"/>
        </w:rPr>
        <w:t>/ALJ</w:t>
      </w:r>
      <w:r w:rsidR="00765578">
        <w:rPr>
          <w:b/>
          <w:bCs/>
          <w:szCs w:val="24"/>
        </w:rPr>
        <w:t xml:space="preserve"> </w:t>
      </w:r>
      <w:r w:rsidR="0000403E" w:rsidRPr="0085684E">
        <w:rPr>
          <w:b/>
          <w:bCs/>
          <w:szCs w:val="24"/>
        </w:rPr>
        <w:t>Kersten</w:t>
      </w:r>
      <w:r w:rsidR="00492B98" w:rsidRPr="00BC4009">
        <w:rPr>
          <w:b/>
          <w:bCs/>
          <w:sz w:val="22"/>
        </w:rPr>
        <w:t>)</w:t>
      </w:r>
      <w:r w:rsidR="009D4F83">
        <w:rPr>
          <w:b/>
          <w:bCs/>
          <w:sz w:val="22"/>
        </w:rPr>
        <w:t xml:space="preserve"> (SED Advisory)</w:t>
      </w:r>
      <w:r w:rsidR="00492B98" w:rsidRPr="00BC4009">
        <w:rPr>
          <w:b/>
          <w:bCs/>
          <w:sz w:val="22"/>
        </w:rPr>
        <w:t xml:space="preserve"> </w:t>
      </w:r>
      <w:r w:rsidR="00052681" w:rsidRPr="00F26FFE">
        <w:rPr>
          <w:szCs w:val="24"/>
        </w:rPr>
        <w:t>I</w:t>
      </w:r>
      <w:r w:rsidR="75D435F0" w:rsidRPr="00F26FFE">
        <w:rPr>
          <w:szCs w:val="24"/>
        </w:rPr>
        <w:t xml:space="preserve">n </w:t>
      </w:r>
      <w:r w:rsidR="14FD6BBF" w:rsidRPr="00B44751">
        <w:rPr>
          <w:szCs w:val="24"/>
        </w:rPr>
        <w:t>Decision D.</w:t>
      </w:r>
      <w:r w:rsidR="6083AFC7" w:rsidRPr="00877C83">
        <w:rPr>
          <w:szCs w:val="24"/>
        </w:rPr>
        <w:t>20</w:t>
      </w:r>
      <w:r w:rsidR="14FD6BBF" w:rsidRPr="00BD144E">
        <w:rPr>
          <w:szCs w:val="24"/>
        </w:rPr>
        <w:t>-0</w:t>
      </w:r>
      <w:r w:rsidR="60ABF2F8" w:rsidRPr="00BD144E">
        <w:rPr>
          <w:szCs w:val="24"/>
        </w:rPr>
        <w:t>2</w:t>
      </w:r>
      <w:r w:rsidR="14FD6BBF" w:rsidRPr="00063B0B">
        <w:rPr>
          <w:szCs w:val="24"/>
        </w:rPr>
        <w:t>-02</w:t>
      </w:r>
      <w:r w:rsidR="08D1FB01" w:rsidRPr="00063B0B">
        <w:rPr>
          <w:szCs w:val="24"/>
        </w:rPr>
        <w:t>4</w:t>
      </w:r>
      <w:r w:rsidR="17A3FDA4" w:rsidRPr="00063B0B">
        <w:rPr>
          <w:szCs w:val="24"/>
        </w:rPr>
        <w:t>,</w:t>
      </w:r>
      <w:r w:rsidR="2A2FC5D2" w:rsidRPr="009B6E7C">
        <w:rPr>
          <w:szCs w:val="24"/>
        </w:rPr>
        <w:t xml:space="preserve"> </w:t>
      </w:r>
      <w:r w:rsidR="00052681" w:rsidRPr="009B6E7C">
        <w:rPr>
          <w:szCs w:val="24"/>
        </w:rPr>
        <w:t xml:space="preserve">the Commission </w:t>
      </w:r>
      <w:r w:rsidR="6844EA82" w:rsidRPr="009B6E7C">
        <w:rPr>
          <w:szCs w:val="24"/>
        </w:rPr>
        <w:t>requir</w:t>
      </w:r>
      <w:r w:rsidR="00C421B1" w:rsidRPr="009B6E7C">
        <w:rPr>
          <w:szCs w:val="24"/>
        </w:rPr>
        <w:t>ed</w:t>
      </w:r>
      <w:r w:rsidR="005047A2" w:rsidRPr="009B6E7C">
        <w:rPr>
          <w:szCs w:val="24"/>
        </w:rPr>
        <w:t xml:space="preserve"> </w:t>
      </w:r>
      <w:r w:rsidR="6844EA82" w:rsidRPr="00BC4009">
        <w:rPr>
          <w:szCs w:val="24"/>
        </w:rPr>
        <w:t>A</w:t>
      </w:r>
      <w:r w:rsidR="0856F140" w:rsidRPr="00BC4009">
        <w:rPr>
          <w:szCs w:val="24"/>
        </w:rPr>
        <w:t>pplicants</w:t>
      </w:r>
      <w:r w:rsidR="00D4090F" w:rsidRPr="00BC4009">
        <w:rPr>
          <w:szCs w:val="24"/>
        </w:rPr>
        <w:t xml:space="preserve"> (SoCalGas/SDG&amp;E)</w:t>
      </w:r>
      <w:r w:rsidR="0856F140" w:rsidRPr="00866C19">
        <w:rPr>
          <w:szCs w:val="24"/>
        </w:rPr>
        <w:t xml:space="preserve">, “Within six months of </w:t>
      </w:r>
      <w:r w:rsidR="6932AFE8" w:rsidRPr="00866C19">
        <w:rPr>
          <w:szCs w:val="24"/>
        </w:rPr>
        <w:t>approv</w:t>
      </w:r>
      <w:r w:rsidR="50A9705A" w:rsidRPr="00866C19">
        <w:rPr>
          <w:szCs w:val="24"/>
        </w:rPr>
        <w:t>ing</w:t>
      </w:r>
      <w:r w:rsidR="6932AFE8" w:rsidRPr="00866C19">
        <w:rPr>
          <w:szCs w:val="24"/>
        </w:rPr>
        <w:t xml:space="preserve"> limited modifications to </w:t>
      </w:r>
      <w:r w:rsidR="35BCD783" w:rsidRPr="00866C19">
        <w:rPr>
          <w:szCs w:val="24"/>
        </w:rPr>
        <w:t xml:space="preserve">the </w:t>
      </w:r>
      <w:r w:rsidR="6932AFE8" w:rsidRPr="00866C19">
        <w:rPr>
          <w:szCs w:val="24"/>
        </w:rPr>
        <w:t>Decision D.18</w:t>
      </w:r>
      <w:r w:rsidR="00C421B1" w:rsidRPr="00866C19">
        <w:rPr>
          <w:szCs w:val="24"/>
        </w:rPr>
        <w:t>-</w:t>
      </w:r>
      <w:r w:rsidR="6932AFE8" w:rsidRPr="00866C19">
        <w:rPr>
          <w:szCs w:val="24"/>
        </w:rPr>
        <w:t>06</w:t>
      </w:r>
      <w:r w:rsidR="00C421B1" w:rsidRPr="00866C19">
        <w:rPr>
          <w:szCs w:val="24"/>
        </w:rPr>
        <w:t>-</w:t>
      </w:r>
      <w:r w:rsidR="6932AFE8" w:rsidRPr="00866C19">
        <w:rPr>
          <w:szCs w:val="24"/>
        </w:rPr>
        <w:t>028, Appli</w:t>
      </w:r>
      <w:r w:rsidR="44AC7D31" w:rsidRPr="00866C19">
        <w:rPr>
          <w:szCs w:val="24"/>
        </w:rPr>
        <w:t>cants shall file cost information that includes, but is not limited to the C</w:t>
      </w:r>
      <w:r w:rsidR="2C5DA032" w:rsidRPr="00866C19">
        <w:rPr>
          <w:szCs w:val="24"/>
        </w:rPr>
        <w:t>lass Three cost forecast for all the Line 1600 segments, cost estimating m</w:t>
      </w:r>
      <w:r w:rsidR="2995C281" w:rsidRPr="00866C19">
        <w:rPr>
          <w:szCs w:val="24"/>
        </w:rPr>
        <w:t>ethodology, proposed accounting treatment, contingency</w:t>
      </w:r>
      <w:r w:rsidR="20E98F16" w:rsidRPr="00866C19">
        <w:rPr>
          <w:szCs w:val="24"/>
        </w:rPr>
        <w:t>.</w:t>
      </w:r>
      <w:r w:rsidR="66AE8B28" w:rsidRPr="00866C19">
        <w:rPr>
          <w:szCs w:val="24"/>
        </w:rPr>
        <w:t>.</w:t>
      </w:r>
      <w:r w:rsidR="00DC40E7" w:rsidRPr="00866C19">
        <w:rPr>
          <w:szCs w:val="24"/>
        </w:rPr>
        <w:t>.</w:t>
      </w:r>
      <w:r w:rsidR="66AE8B28" w:rsidRPr="00640691">
        <w:rPr>
          <w:szCs w:val="24"/>
        </w:rPr>
        <w:t>”</w:t>
      </w:r>
      <w:r w:rsidR="7C4C23BF" w:rsidRPr="00640691">
        <w:rPr>
          <w:szCs w:val="24"/>
        </w:rPr>
        <w:t xml:space="preserve"> </w:t>
      </w:r>
      <w:r w:rsidR="00E90881" w:rsidRPr="00640691">
        <w:rPr>
          <w:rFonts w:eastAsia="Times New Roman"/>
          <w:szCs w:val="24"/>
        </w:rPr>
        <w:t xml:space="preserve">On August 10, 2020, SDG&amp;E and SoCalGas </w:t>
      </w:r>
      <w:r w:rsidR="00E90881" w:rsidRPr="008C5AF8">
        <w:rPr>
          <w:rFonts w:eastAsia="Times New Roman"/>
          <w:szCs w:val="24"/>
        </w:rPr>
        <w:t>met w</w:t>
      </w:r>
      <w:r w:rsidR="00345FC2">
        <w:rPr>
          <w:rFonts w:eastAsia="Times New Roman"/>
          <w:szCs w:val="24"/>
        </w:rPr>
        <w:t xml:space="preserve">ith </w:t>
      </w:r>
      <w:r w:rsidR="00E90881" w:rsidRPr="008C5AF8">
        <w:rPr>
          <w:rFonts w:eastAsia="Times New Roman"/>
          <w:szCs w:val="24"/>
        </w:rPr>
        <w:t xml:space="preserve">SED and Energy Division staff </w:t>
      </w:r>
      <w:r w:rsidR="00A05715">
        <w:rPr>
          <w:rFonts w:eastAsia="Times New Roman"/>
          <w:szCs w:val="24"/>
        </w:rPr>
        <w:t xml:space="preserve">to </w:t>
      </w:r>
      <w:r w:rsidR="00B10DB5">
        <w:rPr>
          <w:rFonts w:eastAsia="Times New Roman"/>
          <w:szCs w:val="24"/>
        </w:rPr>
        <w:t xml:space="preserve">review </w:t>
      </w:r>
      <w:r w:rsidR="00B338AB">
        <w:rPr>
          <w:rFonts w:eastAsia="Times New Roman"/>
          <w:szCs w:val="24"/>
        </w:rPr>
        <w:t>this</w:t>
      </w:r>
      <w:r w:rsidR="00D26104">
        <w:rPr>
          <w:rFonts w:eastAsia="Times New Roman"/>
          <w:szCs w:val="24"/>
        </w:rPr>
        <w:t xml:space="preserve"> information</w:t>
      </w:r>
      <w:r w:rsidR="00ED4D58">
        <w:rPr>
          <w:rFonts w:eastAsia="Times New Roman"/>
          <w:szCs w:val="24"/>
        </w:rPr>
        <w:t>.  T</w:t>
      </w:r>
      <w:r w:rsidR="001D0B40">
        <w:rPr>
          <w:rFonts w:eastAsia="Times New Roman"/>
          <w:szCs w:val="24"/>
        </w:rPr>
        <w:t>hey</w:t>
      </w:r>
      <w:r w:rsidR="00E90881" w:rsidRPr="008C5AF8">
        <w:rPr>
          <w:rFonts w:eastAsia="Times New Roman"/>
          <w:szCs w:val="24"/>
        </w:rPr>
        <w:t xml:space="preserve"> </w:t>
      </w:r>
      <w:r w:rsidR="000154B3">
        <w:rPr>
          <w:rFonts w:eastAsia="Times New Roman"/>
          <w:szCs w:val="24"/>
        </w:rPr>
        <w:t xml:space="preserve">made their compliance </w:t>
      </w:r>
      <w:r w:rsidR="00E90881" w:rsidRPr="008C5AF8">
        <w:rPr>
          <w:rFonts w:eastAsia="Times New Roman"/>
          <w:szCs w:val="24"/>
        </w:rPr>
        <w:t>fil</w:t>
      </w:r>
      <w:r w:rsidR="000154B3">
        <w:rPr>
          <w:rFonts w:eastAsia="Times New Roman"/>
          <w:szCs w:val="24"/>
        </w:rPr>
        <w:t xml:space="preserve">ing </w:t>
      </w:r>
      <w:r w:rsidR="00E90881" w:rsidRPr="008C5AF8">
        <w:rPr>
          <w:rFonts w:eastAsia="Times New Roman"/>
          <w:szCs w:val="24"/>
        </w:rPr>
        <w:t>on August 12, 2020. This concludes the</w:t>
      </w:r>
      <w:r w:rsidR="003B2660" w:rsidRPr="008C5AF8">
        <w:rPr>
          <w:rFonts w:eastAsia="Times New Roman"/>
          <w:szCs w:val="24"/>
        </w:rPr>
        <w:t xml:space="preserve"> </w:t>
      </w:r>
      <w:r w:rsidR="00E90881" w:rsidRPr="008C5AF8">
        <w:rPr>
          <w:rFonts w:eastAsia="Times New Roman"/>
          <w:szCs w:val="24"/>
        </w:rPr>
        <w:t>requirement</w:t>
      </w:r>
      <w:r w:rsidR="00210E40" w:rsidRPr="008C5AF8">
        <w:rPr>
          <w:rFonts w:eastAsia="Times New Roman"/>
          <w:szCs w:val="24"/>
        </w:rPr>
        <w:t>s</w:t>
      </w:r>
      <w:r w:rsidR="00E90881" w:rsidRPr="008C5AF8">
        <w:rPr>
          <w:rFonts w:eastAsia="Times New Roman"/>
          <w:szCs w:val="24"/>
        </w:rPr>
        <w:t xml:space="preserve"> of </w:t>
      </w:r>
      <w:r w:rsidR="001A224C">
        <w:rPr>
          <w:rFonts w:eastAsia="Times New Roman"/>
          <w:szCs w:val="24"/>
        </w:rPr>
        <w:t xml:space="preserve">the </w:t>
      </w:r>
      <w:r w:rsidR="00210E40" w:rsidRPr="001A224C">
        <w:rPr>
          <w:rFonts w:eastAsia="Times New Roman"/>
          <w:szCs w:val="24"/>
        </w:rPr>
        <w:t>D. 18-06-028</w:t>
      </w:r>
      <w:r w:rsidR="003B2660" w:rsidRPr="001A224C">
        <w:rPr>
          <w:rFonts w:eastAsia="Times New Roman"/>
          <w:szCs w:val="24"/>
        </w:rPr>
        <w:t xml:space="preserve"> Ordering Paragraph</w:t>
      </w:r>
      <w:r w:rsidR="00210E40" w:rsidRPr="00BC4009">
        <w:rPr>
          <w:rFonts w:eastAsia="Times New Roman"/>
          <w:szCs w:val="24"/>
        </w:rPr>
        <w:t>.</w:t>
      </w:r>
    </w:p>
    <w:p w14:paraId="1071F51E" w14:textId="77777777" w:rsidR="007039FC" w:rsidRDefault="007039FC" w:rsidP="00A85CDD">
      <w:pPr>
        <w:pStyle w:val="Tabletext"/>
      </w:pPr>
    </w:p>
    <w:p w14:paraId="48336FE3" w14:textId="38779390" w:rsidR="006D2E48" w:rsidRPr="009C60CB" w:rsidRDefault="006D2E48">
      <w:pPr>
        <w:pStyle w:val="Heading2"/>
        <w:pageBreakBefore/>
        <w:rPr>
          <w:rFonts w:asciiTheme="majorHAnsi" w:eastAsia="Garamond" w:hAnsiTheme="majorHAnsi" w:cs="Garamond"/>
          <w:b/>
          <w:bCs/>
        </w:rPr>
      </w:pPr>
      <w:bookmarkStart w:id="50" w:name="_Toc58401340"/>
      <w:r w:rsidRPr="009C60CB">
        <w:rPr>
          <w:rFonts w:asciiTheme="majorHAnsi" w:eastAsia="Garamond" w:hAnsiTheme="majorHAnsi" w:cs="Garamond"/>
          <w:b/>
          <w:bCs/>
        </w:rPr>
        <w:t>ELECTRIC SAFETY AND RELIABILITY BRANCH (ESRB)</w:t>
      </w:r>
      <w:bookmarkEnd w:id="50"/>
    </w:p>
    <w:p w14:paraId="06B4CD15" w14:textId="72FA4820" w:rsidR="000741FB" w:rsidRPr="000D2298" w:rsidRDefault="000741FB" w:rsidP="00604928">
      <w:pPr>
        <w:spacing w:before="240"/>
      </w:pPr>
      <w:bookmarkStart w:id="51" w:name="_Toc381721019"/>
      <w:bookmarkStart w:id="52" w:name="_Toc381721122"/>
      <w:r>
        <w:t>The mission of ESRB</w:t>
      </w:r>
      <w:r w:rsidR="00F9756E">
        <w:t xml:space="preserve"> </w:t>
      </w:r>
      <w:r>
        <w:t xml:space="preserve">is to enforce state statutes and regulations regarding the safety and reliability of electric facilities, communication facilities, and power plants that </w:t>
      </w:r>
      <w:r w:rsidR="0037655D">
        <w:t>are within</w:t>
      </w:r>
      <w:r>
        <w:t xml:space="preserve"> the jurisdiction of this Commission in California, to ensure that the facilities are operated and maintained in a safe and reliable manner to protect and promote the public health and safety, and to facilitate an environment inside and outside of the Commission that increases the safety and reliability of these facilities</w:t>
      </w:r>
      <w:r w:rsidR="0038770E">
        <w:t xml:space="preserve">. </w:t>
      </w:r>
      <w:r w:rsidR="1CC32DF6">
        <w:t>October</w:t>
      </w:r>
      <w:r>
        <w:t xml:space="preserve"> activities </w:t>
      </w:r>
      <w:r w:rsidR="00346C39">
        <w:t>are below</w:t>
      </w:r>
      <w:r>
        <w:t>:</w:t>
      </w:r>
      <w:bookmarkEnd w:id="51"/>
      <w:bookmarkEnd w:id="52"/>
    </w:p>
    <w:p w14:paraId="7D496955" w14:textId="380BF76A" w:rsidR="000741FB" w:rsidRDefault="000741FB" w:rsidP="0D53C514">
      <w:pPr>
        <w:pStyle w:val="ListParagraph"/>
        <w:numPr>
          <w:ilvl w:val="0"/>
          <w:numId w:val="29"/>
        </w:numPr>
        <w:rPr>
          <w:rFonts w:eastAsia="Garamond" w:cs="Garamond"/>
        </w:rPr>
      </w:pPr>
      <w:r>
        <w:t xml:space="preserve">Issued </w:t>
      </w:r>
      <w:r w:rsidR="71C18E0B">
        <w:t>2</w:t>
      </w:r>
      <w:r w:rsidR="0B18DB27">
        <w:t xml:space="preserve"> electric distribution </w:t>
      </w:r>
      <w:r w:rsidR="0097669A">
        <w:t xml:space="preserve">audit reports </w:t>
      </w:r>
      <w:r w:rsidR="67149CBE">
        <w:t xml:space="preserve">and </w:t>
      </w:r>
      <w:r w:rsidR="51F611AD">
        <w:t>1</w:t>
      </w:r>
      <w:r w:rsidR="67149CBE">
        <w:t xml:space="preserve"> power plant </w:t>
      </w:r>
      <w:r>
        <w:t xml:space="preserve">audit </w:t>
      </w:r>
      <w:r w:rsidR="00CB592C">
        <w:t>report</w:t>
      </w:r>
      <w:r w:rsidR="658512CA">
        <w:t>.</w:t>
      </w:r>
    </w:p>
    <w:p w14:paraId="045AE2C2" w14:textId="1BA5EBCF" w:rsidR="000741FB" w:rsidRDefault="000741FB" w:rsidP="00197E77">
      <w:pPr>
        <w:pStyle w:val="ListParagraph"/>
        <w:numPr>
          <w:ilvl w:val="0"/>
          <w:numId w:val="29"/>
        </w:numPr>
      </w:pPr>
      <w:r>
        <w:t>Performed</w:t>
      </w:r>
      <w:r w:rsidR="2517E1B2">
        <w:t xml:space="preserve"> </w:t>
      </w:r>
      <w:r w:rsidR="075D674F">
        <w:t>2</w:t>
      </w:r>
      <w:r>
        <w:t xml:space="preserve"> electric distribution audit</w:t>
      </w:r>
      <w:r w:rsidR="4D21279E">
        <w:t>s</w:t>
      </w:r>
      <w:r w:rsidR="08A4B7EF">
        <w:t xml:space="preserve">, </w:t>
      </w:r>
      <w:r w:rsidR="01E837BE">
        <w:t xml:space="preserve">1 substation audit, </w:t>
      </w:r>
      <w:r w:rsidR="2B1D97A5">
        <w:t>3</w:t>
      </w:r>
      <w:r w:rsidR="08A4B7EF">
        <w:t xml:space="preserve"> Co</w:t>
      </w:r>
      <w:r w:rsidR="6E2E2D23">
        <w:t>m</w:t>
      </w:r>
      <w:r w:rsidR="08A4B7EF">
        <w:t>munication Infrastructure Provider audit</w:t>
      </w:r>
      <w:r w:rsidR="288F26D8">
        <w:t>s</w:t>
      </w:r>
      <w:r w:rsidR="08A4B7EF">
        <w:t xml:space="preserve">, </w:t>
      </w:r>
      <w:r w:rsidR="68FCD8E9">
        <w:t xml:space="preserve">and </w:t>
      </w:r>
      <w:r w:rsidR="4C681D8D">
        <w:t>2</w:t>
      </w:r>
      <w:r w:rsidR="08A4B7EF">
        <w:t xml:space="preserve"> electric transmission audit</w:t>
      </w:r>
      <w:r w:rsidR="43470BBC">
        <w:t>s</w:t>
      </w:r>
      <w:r w:rsidR="0022397F">
        <w:t>.</w:t>
      </w:r>
      <w:r w:rsidR="4D21279E">
        <w:t xml:space="preserve"> </w:t>
      </w:r>
      <w:r w:rsidR="006517C6">
        <w:t xml:space="preserve"> </w:t>
      </w:r>
      <w:r>
        <w:t xml:space="preserve">  </w:t>
      </w:r>
    </w:p>
    <w:p w14:paraId="728FA357" w14:textId="2A6A6AFA" w:rsidR="002C5EF4" w:rsidRDefault="2E16252F" w:rsidP="006517C6">
      <w:pPr>
        <w:pStyle w:val="ListParagraph"/>
        <w:numPr>
          <w:ilvl w:val="0"/>
          <w:numId w:val="29"/>
        </w:numPr>
      </w:pPr>
      <w:r>
        <w:t xml:space="preserve">Monitored </w:t>
      </w:r>
      <w:r w:rsidR="1CB4F4DC">
        <w:t>14</w:t>
      </w:r>
      <w:r w:rsidR="6F862661">
        <w:t xml:space="preserve"> </w:t>
      </w:r>
      <w:r>
        <w:t>planned</w:t>
      </w:r>
      <w:r w:rsidR="00A936C2">
        <w:t xml:space="preserve"> outages</w:t>
      </w:r>
      <w:r>
        <w:t xml:space="preserve"> and </w:t>
      </w:r>
      <w:r w:rsidR="5FF228AE">
        <w:t>32</w:t>
      </w:r>
      <w:r>
        <w:t xml:space="preserve"> forced outages</w:t>
      </w:r>
      <w:r w:rsidR="2B3E89F7">
        <w:t xml:space="preserve"> </w:t>
      </w:r>
      <w:r>
        <w:t>reported by natural gas and renewable energy power plants.</w:t>
      </w:r>
    </w:p>
    <w:p w14:paraId="0CC0C771" w14:textId="393E7812" w:rsidR="00A936C2" w:rsidRDefault="651864D9" w:rsidP="00A936C2">
      <w:pPr>
        <w:pStyle w:val="Heading3"/>
      </w:pPr>
      <w:bookmarkStart w:id="53" w:name="_Toc58401341"/>
      <w:r>
        <w:t xml:space="preserve">Electric </w:t>
      </w:r>
      <w:r w:rsidR="00A936C2">
        <w:t>Incidents Reported</w:t>
      </w:r>
      <w:r w:rsidR="00696123">
        <w:t xml:space="preserve"> </w:t>
      </w:r>
      <w:r w:rsidR="007D5F9F">
        <w:t>through October 31, 2020</w:t>
      </w:r>
      <w:bookmarkEnd w:id="53"/>
      <w:r w:rsidR="00A936C2">
        <w:t xml:space="preserve"> </w:t>
      </w:r>
    </w:p>
    <w:p w14:paraId="2BA95381" w14:textId="47541F64" w:rsidR="00A936C2" w:rsidRDefault="00114A1A" w:rsidP="00A936C2">
      <w:r>
        <w:t>ESRB r</w:t>
      </w:r>
      <w:r w:rsidR="00A936C2">
        <w:t xml:space="preserve">eceived </w:t>
      </w:r>
      <w:r w:rsidR="4C68E2E4">
        <w:t>6</w:t>
      </w:r>
      <w:r w:rsidR="00A936C2">
        <w:t xml:space="preserve"> electric incident </w:t>
      </w:r>
      <w:r w:rsidR="005B3624">
        <w:t xml:space="preserve">reports </w:t>
      </w:r>
      <w:r w:rsidR="0005307C">
        <w:t xml:space="preserve">in </w:t>
      </w:r>
      <w:r w:rsidR="714EC930">
        <w:t>October</w:t>
      </w:r>
      <w:r w:rsidR="00C23A74">
        <w:t xml:space="preserve"> </w:t>
      </w:r>
      <w:r w:rsidR="005B3624">
        <w:t>and</w:t>
      </w:r>
      <w:r w:rsidR="00A936C2">
        <w:t xml:space="preserve"> closed </w:t>
      </w:r>
      <w:r w:rsidR="565C7533">
        <w:t>10</w:t>
      </w:r>
      <w:r w:rsidR="00A936C2">
        <w:t xml:space="preserve"> previously reported </w:t>
      </w:r>
      <w:r w:rsidR="008A62C6">
        <w:t>electric incidents</w:t>
      </w:r>
      <w:r w:rsidR="5694FD7D">
        <w:t>.</w:t>
      </w:r>
      <w:r w:rsidR="00A936C2">
        <w:t xml:space="preserve">  </w:t>
      </w:r>
    </w:p>
    <w:p w14:paraId="10C85F35" w14:textId="0431C730" w:rsidR="2B88A601" w:rsidRDefault="470F7768" w:rsidP="74B9ADDB">
      <w:r>
        <w:rPr>
          <w:noProof/>
        </w:rPr>
        <w:drawing>
          <wp:inline distT="0" distB="0" distL="0" distR="0" wp14:anchorId="0F5160DD" wp14:editId="23915B55">
            <wp:extent cx="5634258" cy="3040152"/>
            <wp:effectExtent l="0" t="0" r="0" b="0"/>
            <wp:docPr id="1081171961" name="Picture 10811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71961"/>
                    <pic:cNvPicPr/>
                  </pic:nvPicPr>
                  <pic:blipFill>
                    <a:blip r:embed="rId16">
                      <a:extLst>
                        <a:ext uri="{28A0092B-C50C-407E-A947-70E740481C1C}">
                          <a14:useLocalDpi xmlns:a14="http://schemas.microsoft.com/office/drawing/2010/main" val="0"/>
                        </a:ext>
                      </a:extLst>
                    </a:blip>
                    <a:stretch>
                      <a:fillRect/>
                    </a:stretch>
                  </pic:blipFill>
                  <pic:spPr>
                    <a:xfrm>
                      <a:off x="0" y="0"/>
                      <a:ext cx="5634258" cy="3040152"/>
                    </a:xfrm>
                    <a:prstGeom prst="rect">
                      <a:avLst/>
                    </a:prstGeom>
                  </pic:spPr>
                </pic:pic>
              </a:graphicData>
            </a:graphic>
          </wp:inline>
        </w:drawing>
      </w:r>
    </w:p>
    <w:p w14:paraId="213960AF" w14:textId="45CCF9BF" w:rsidR="00A936C2" w:rsidRDefault="00A936C2" w:rsidP="00A936C2"/>
    <w:p w14:paraId="6395F7D1" w14:textId="38971453" w:rsidR="007B1625" w:rsidRDefault="007B1625" w:rsidP="00A936C2"/>
    <w:p w14:paraId="16F38407" w14:textId="77777777" w:rsidR="007B1625" w:rsidRDefault="007B1625" w:rsidP="00A936C2"/>
    <w:p w14:paraId="4EC69715" w14:textId="77777777" w:rsidR="00E40B08" w:rsidRDefault="00E40B08" w:rsidP="009E63F2">
      <w:pPr>
        <w:pStyle w:val="Heading3"/>
      </w:pPr>
      <w:bookmarkStart w:id="54" w:name="_Toc49099727"/>
    </w:p>
    <w:p w14:paraId="6F7DC748" w14:textId="77777777" w:rsidR="00E40B08" w:rsidRDefault="00E40B08" w:rsidP="009E63F2">
      <w:pPr>
        <w:pStyle w:val="Heading3"/>
      </w:pPr>
    </w:p>
    <w:p w14:paraId="5761D372" w14:textId="77777777" w:rsidR="00E40B08" w:rsidRDefault="00E40B08" w:rsidP="009E63F2">
      <w:pPr>
        <w:pStyle w:val="Heading3"/>
      </w:pPr>
    </w:p>
    <w:p w14:paraId="2AEE8BCB" w14:textId="77777777" w:rsidR="00E40B08" w:rsidRDefault="00E40B08" w:rsidP="009E63F2">
      <w:pPr>
        <w:pStyle w:val="Heading3"/>
      </w:pPr>
    </w:p>
    <w:p w14:paraId="68381762" w14:textId="77777777" w:rsidR="00E40B08" w:rsidRDefault="00E40B08" w:rsidP="009E63F2">
      <w:pPr>
        <w:pStyle w:val="Heading3"/>
      </w:pPr>
    </w:p>
    <w:p w14:paraId="535424AC" w14:textId="1C75A498" w:rsidR="001401F3" w:rsidRPr="000741FB" w:rsidRDefault="001401F3" w:rsidP="009E63F2">
      <w:pPr>
        <w:pStyle w:val="Heading3"/>
      </w:pPr>
      <w:bookmarkStart w:id="55" w:name="_Toc58401342"/>
      <w:r w:rsidRPr="000741FB">
        <w:t>Electric</w:t>
      </w:r>
      <w:r>
        <w:t xml:space="preserve"> Facilities </w:t>
      </w:r>
      <w:r w:rsidRPr="000741FB">
        <w:t xml:space="preserve">and </w:t>
      </w:r>
      <w:r>
        <w:t>Power Plant/</w:t>
      </w:r>
      <w:r w:rsidRPr="000741FB">
        <w:t xml:space="preserve">Generation </w:t>
      </w:r>
      <w:r>
        <w:t>Incident</w:t>
      </w:r>
      <w:r w:rsidRPr="000741FB">
        <w:t xml:space="preserve"> Investigations</w:t>
      </w:r>
      <w:bookmarkEnd w:id="54"/>
      <w:bookmarkEnd w:id="55"/>
      <w:r w:rsidRPr="000741FB">
        <w:t xml:space="preserve"> </w:t>
      </w:r>
    </w:p>
    <w:tbl>
      <w:tblPr>
        <w:tblStyle w:val="GridTable4-Accent4"/>
        <w:tblW w:w="9985" w:type="dxa"/>
        <w:tblLook w:val="04A0" w:firstRow="1" w:lastRow="0" w:firstColumn="1" w:lastColumn="0" w:noHBand="0" w:noVBand="1"/>
      </w:tblPr>
      <w:tblGrid>
        <w:gridCol w:w="3055"/>
        <w:gridCol w:w="1700"/>
        <w:gridCol w:w="905"/>
        <w:gridCol w:w="923"/>
        <w:gridCol w:w="921"/>
        <w:gridCol w:w="976"/>
        <w:gridCol w:w="1505"/>
      </w:tblGrid>
      <w:tr w:rsidR="001401F3" w:rsidRPr="000D2298" w14:paraId="66EAEF8E" w14:textId="77777777" w:rsidTr="18AF3A3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55" w:type="dxa"/>
            <w:hideMark/>
          </w:tcPr>
          <w:p w14:paraId="5E0FCC39" w14:textId="77777777" w:rsidR="001401F3" w:rsidRPr="00F55724" w:rsidRDefault="001401F3" w:rsidP="008D36C8">
            <w:pPr>
              <w:spacing w:after="0" w:line="252" w:lineRule="auto"/>
              <w:rPr>
                <w:sz w:val="22"/>
              </w:rPr>
            </w:pPr>
            <w:r w:rsidRPr="00F55724">
              <w:rPr>
                <w:sz w:val="22"/>
              </w:rPr>
              <w:t xml:space="preserve">ESRB </w:t>
            </w:r>
          </w:p>
        </w:tc>
        <w:tc>
          <w:tcPr>
            <w:tcW w:w="1700" w:type="dxa"/>
          </w:tcPr>
          <w:p w14:paraId="1F1A9C92" w14:textId="77777777" w:rsidR="001401F3" w:rsidRPr="00F55724" w:rsidRDefault="001401F3" w:rsidP="008D36C8">
            <w:pPr>
              <w:spacing w:after="0" w:line="252" w:lineRule="auto"/>
              <w:ind w:left="5"/>
              <w:cnfStyle w:val="100000000000" w:firstRow="1" w:lastRow="0" w:firstColumn="0" w:lastColumn="0" w:oddVBand="0" w:evenVBand="0" w:oddHBand="0" w:evenHBand="0" w:firstRowFirstColumn="0" w:firstRowLastColumn="0" w:lastRowFirstColumn="0" w:lastRowLastColumn="0"/>
              <w:rPr>
                <w:sz w:val="22"/>
              </w:rPr>
            </w:pPr>
          </w:p>
        </w:tc>
        <w:tc>
          <w:tcPr>
            <w:tcW w:w="905" w:type="dxa"/>
            <w:hideMark/>
          </w:tcPr>
          <w:p w14:paraId="5AF55C29" w14:textId="77777777" w:rsidR="001401F3" w:rsidRPr="00F55724" w:rsidRDefault="001401F3" w:rsidP="008D36C8">
            <w:pPr>
              <w:spacing w:after="0" w:line="252" w:lineRule="auto"/>
              <w:ind w:left="5"/>
              <w:jc w:val="center"/>
              <w:cnfStyle w:val="100000000000" w:firstRow="1" w:lastRow="0" w:firstColumn="0" w:lastColumn="0" w:oddVBand="0" w:evenVBand="0" w:oddHBand="0" w:evenHBand="0" w:firstRowFirstColumn="0" w:firstRowLastColumn="0" w:lastRowFirstColumn="0" w:lastRowLastColumn="0"/>
              <w:rPr>
                <w:sz w:val="22"/>
              </w:rPr>
            </w:pPr>
            <w:r w:rsidRPr="00F55724">
              <w:rPr>
                <w:sz w:val="22"/>
              </w:rPr>
              <w:t>Level 1</w:t>
            </w:r>
          </w:p>
        </w:tc>
        <w:tc>
          <w:tcPr>
            <w:tcW w:w="923" w:type="dxa"/>
            <w:hideMark/>
          </w:tcPr>
          <w:p w14:paraId="11DD89E8" w14:textId="77777777" w:rsidR="001401F3" w:rsidRPr="00F55724" w:rsidRDefault="001401F3" w:rsidP="008D36C8">
            <w:pPr>
              <w:spacing w:after="0" w:line="252" w:lineRule="auto"/>
              <w:ind w:left="5"/>
              <w:jc w:val="center"/>
              <w:cnfStyle w:val="100000000000" w:firstRow="1" w:lastRow="0" w:firstColumn="0" w:lastColumn="0" w:oddVBand="0" w:evenVBand="0" w:oddHBand="0" w:evenHBand="0" w:firstRowFirstColumn="0" w:firstRowLastColumn="0" w:lastRowFirstColumn="0" w:lastRowLastColumn="0"/>
              <w:rPr>
                <w:sz w:val="22"/>
              </w:rPr>
            </w:pPr>
            <w:r w:rsidRPr="00F55724">
              <w:rPr>
                <w:sz w:val="22"/>
              </w:rPr>
              <w:t>Level 2</w:t>
            </w:r>
          </w:p>
        </w:tc>
        <w:tc>
          <w:tcPr>
            <w:tcW w:w="921" w:type="dxa"/>
            <w:hideMark/>
          </w:tcPr>
          <w:p w14:paraId="7B004A2A" w14:textId="77777777" w:rsidR="001401F3" w:rsidRPr="00F55724" w:rsidRDefault="001401F3" w:rsidP="008D36C8">
            <w:pPr>
              <w:spacing w:after="0" w:line="252" w:lineRule="auto"/>
              <w:ind w:left="5"/>
              <w:jc w:val="center"/>
              <w:cnfStyle w:val="100000000000" w:firstRow="1" w:lastRow="0" w:firstColumn="0" w:lastColumn="0" w:oddVBand="0" w:evenVBand="0" w:oddHBand="0" w:evenHBand="0" w:firstRowFirstColumn="0" w:firstRowLastColumn="0" w:lastRowFirstColumn="0" w:lastRowLastColumn="0"/>
              <w:rPr>
                <w:sz w:val="22"/>
              </w:rPr>
            </w:pPr>
            <w:r w:rsidRPr="00F55724">
              <w:rPr>
                <w:sz w:val="22"/>
              </w:rPr>
              <w:t>Level 3</w:t>
            </w:r>
          </w:p>
        </w:tc>
        <w:tc>
          <w:tcPr>
            <w:tcW w:w="976" w:type="dxa"/>
            <w:hideMark/>
          </w:tcPr>
          <w:p w14:paraId="552A3900" w14:textId="77777777" w:rsidR="001401F3" w:rsidRPr="00F55724" w:rsidRDefault="001401F3" w:rsidP="008D36C8">
            <w:pPr>
              <w:spacing w:after="0" w:line="252" w:lineRule="auto"/>
              <w:ind w:left="2"/>
              <w:jc w:val="center"/>
              <w:cnfStyle w:val="100000000000" w:firstRow="1" w:lastRow="0" w:firstColumn="0" w:lastColumn="0" w:oddVBand="0" w:evenVBand="0" w:oddHBand="0" w:evenHBand="0" w:firstRowFirstColumn="0" w:firstRowLastColumn="0" w:lastRowFirstColumn="0" w:lastRowLastColumn="0"/>
              <w:rPr>
                <w:sz w:val="22"/>
              </w:rPr>
            </w:pPr>
            <w:r w:rsidRPr="00F55724">
              <w:rPr>
                <w:sz w:val="22"/>
              </w:rPr>
              <w:t>Level 4</w:t>
            </w:r>
          </w:p>
        </w:tc>
        <w:tc>
          <w:tcPr>
            <w:tcW w:w="1505" w:type="dxa"/>
            <w:hideMark/>
          </w:tcPr>
          <w:p w14:paraId="4FD985B2" w14:textId="77777777" w:rsidR="001401F3" w:rsidRPr="00F55724" w:rsidRDefault="001401F3" w:rsidP="008D36C8">
            <w:pPr>
              <w:spacing w:after="0" w:line="252" w:lineRule="auto"/>
              <w:ind w:left="10"/>
              <w:jc w:val="center"/>
              <w:cnfStyle w:val="100000000000" w:firstRow="1" w:lastRow="0" w:firstColumn="0" w:lastColumn="0" w:oddVBand="0" w:evenVBand="0" w:oddHBand="0" w:evenHBand="0" w:firstRowFirstColumn="0" w:firstRowLastColumn="0" w:lastRowFirstColumn="0" w:lastRowLastColumn="0"/>
              <w:rPr>
                <w:sz w:val="22"/>
              </w:rPr>
            </w:pPr>
            <w:r w:rsidRPr="00F55724">
              <w:rPr>
                <w:sz w:val="22"/>
              </w:rPr>
              <w:t>Total</w:t>
            </w:r>
            <w:r w:rsidRPr="00197E77">
              <w:rPr>
                <w:vertAlign w:val="superscript"/>
              </w:rPr>
              <w:footnoteReference w:id="5"/>
            </w:r>
          </w:p>
        </w:tc>
      </w:tr>
      <w:tr w:rsidR="001401F3" w:rsidRPr="000D2298" w14:paraId="64E649A7" w14:textId="77777777" w:rsidTr="18AF3A3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5DF4F805" w14:textId="0CC4AB49" w:rsidR="001401F3" w:rsidRPr="00F55724" w:rsidRDefault="001401F3" w:rsidP="008D36C8">
            <w:pPr>
              <w:spacing w:after="0" w:line="252" w:lineRule="auto"/>
              <w:rPr>
                <w:sz w:val="22"/>
              </w:rPr>
            </w:pPr>
            <w:r w:rsidRPr="00F55724">
              <w:rPr>
                <w:sz w:val="22"/>
              </w:rPr>
              <w:t>Total open incidents</w:t>
            </w:r>
            <w:r w:rsidR="00A25231">
              <w:rPr>
                <w:sz w:val="22"/>
              </w:rPr>
              <w:t xml:space="preserve"> in 2020</w:t>
            </w:r>
          </w:p>
        </w:tc>
        <w:tc>
          <w:tcPr>
            <w:tcW w:w="1700" w:type="dxa"/>
            <w:hideMark/>
          </w:tcPr>
          <w:p w14:paraId="19DBC511"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1F23CA36" w14:textId="58293A7E" w:rsidR="001401F3" w:rsidRPr="00BA038D" w:rsidRDefault="5A9CFCF0"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7</w:t>
            </w:r>
          </w:p>
        </w:tc>
        <w:tc>
          <w:tcPr>
            <w:tcW w:w="923" w:type="dxa"/>
          </w:tcPr>
          <w:p w14:paraId="3B113376" w14:textId="40B5DF98" w:rsidR="001401F3" w:rsidRPr="00BA038D" w:rsidRDefault="2673948C"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BA038D">
              <w:rPr>
                <w:rFonts w:eastAsia="Garamond" w:cs="Garamond"/>
                <w:sz w:val="22"/>
              </w:rPr>
              <w:t>14</w:t>
            </w:r>
          </w:p>
        </w:tc>
        <w:tc>
          <w:tcPr>
            <w:tcW w:w="921" w:type="dxa"/>
          </w:tcPr>
          <w:p w14:paraId="1DF01866" w14:textId="1C4FB2AC" w:rsidR="001401F3" w:rsidRPr="00F55724" w:rsidRDefault="10B078CC"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53</w:t>
            </w:r>
          </w:p>
        </w:tc>
        <w:tc>
          <w:tcPr>
            <w:tcW w:w="976" w:type="dxa"/>
          </w:tcPr>
          <w:p w14:paraId="1EE4D56D" w14:textId="70DC9D73" w:rsidR="001401F3" w:rsidRPr="00F55724" w:rsidRDefault="69121E4C" w:rsidP="18AF3A3E">
            <w:pPr>
              <w:spacing w:after="0" w:line="252" w:lineRule="auto"/>
              <w:ind w:left="8"/>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71</w:t>
            </w:r>
          </w:p>
        </w:tc>
        <w:tc>
          <w:tcPr>
            <w:tcW w:w="1505" w:type="dxa"/>
          </w:tcPr>
          <w:p w14:paraId="4BDC7E4E" w14:textId="5A912C24" w:rsidR="001401F3" w:rsidRPr="00F55724" w:rsidRDefault="417399C8" w:rsidP="18AF3A3E">
            <w:pPr>
              <w:spacing w:after="0" w:line="252" w:lineRule="auto"/>
              <w:ind w:left="1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145</w:t>
            </w:r>
          </w:p>
        </w:tc>
      </w:tr>
      <w:tr w:rsidR="001401F3" w:rsidRPr="000D2298" w14:paraId="52689620" w14:textId="77777777" w:rsidTr="18AF3A3E">
        <w:trPr>
          <w:trHeight w:val="266"/>
        </w:trPr>
        <w:tc>
          <w:tcPr>
            <w:cnfStyle w:val="001000000000" w:firstRow="0" w:lastRow="0" w:firstColumn="1" w:lastColumn="0" w:oddVBand="0" w:evenVBand="0" w:oddHBand="0" w:evenHBand="0" w:firstRowFirstColumn="0" w:firstRowLastColumn="0" w:lastRowFirstColumn="0" w:lastRowLastColumn="0"/>
            <w:tcW w:w="3055" w:type="dxa"/>
            <w:vMerge/>
            <w:hideMark/>
          </w:tcPr>
          <w:p w14:paraId="71A48B45" w14:textId="77777777" w:rsidR="001401F3" w:rsidRPr="00F55724" w:rsidRDefault="001401F3" w:rsidP="008D36C8">
            <w:pPr>
              <w:spacing w:after="0" w:line="240" w:lineRule="auto"/>
              <w:rPr>
                <w:sz w:val="22"/>
              </w:rPr>
            </w:pPr>
          </w:p>
        </w:tc>
        <w:tc>
          <w:tcPr>
            <w:tcW w:w="1700" w:type="dxa"/>
            <w:hideMark/>
          </w:tcPr>
          <w:p w14:paraId="507FBCB8" w14:textId="77777777" w:rsidR="001401F3" w:rsidRPr="00F55724"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rPr>
                <w:sz w:val="22"/>
              </w:rPr>
            </w:pPr>
            <w:r w:rsidRPr="00F55724">
              <w:rPr>
                <w:sz w:val="22"/>
              </w:rPr>
              <w:t>Generation</w:t>
            </w:r>
          </w:p>
        </w:tc>
        <w:tc>
          <w:tcPr>
            <w:tcW w:w="905" w:type="dxa"/>
          </w:tcPr>
          <w:p w14:paraId="4F77B2FD" w14:textId="12265175" w:rsidR="001401F3" w:rsidRPr="00081161" w:rsidRDefault="7DF501BC"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1</w:t>
            </w:r>
          </w:p>
        </w:tc>
        <w:tc>
          <w:tcPr>
            <w:tcW w:w="923" w:type="dxa"/>
          </w:tcPr>
          <w:p w14:paraId="3E1A6D13" w14:textId="77777777" w:rsidR="001401F3" w:rsidRPr="00081161" w:rsidRDefault="6F5B26E2"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1" w:type="dxa"/>
          </w:tcPr>
          <w:p w14:paraId="16D75197" w14:textId="1A7E917F" w:rsidR="001401F3" w:rsidRPr="00081161" w:rsidRDefault="1B96619A"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3</w:t>
            </w:r>
          </w:p>
        </w:tc>
        <w:tc>
          <w:tcPr>
            <w:tcW w:w="976" w:type="dxa"/>
          </w:tcPr>
          <w:p w14:paraId="5D61BF9B" w14:textId="77777777" w:rsidR="001401F3" w:rsidRPr="00081161" w:rsidRDefault="6F5B26E2" w:rsidP="18AF3A3E">
            <w:pPr>
              <w:spacing w:after="0" w:line="252" w:lineRule="auto"/>
              <w:ind w:left="8"/>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1</w:t>
            </w:r>
          </w:p>
        </w:tc>
        <w:tc>
          <w:tcPr>
            <w:tcW w:w="1505" w:type="dxa"/>
          </w:tcPr>
          <w:p w14:paraId="0A008E87" w14:textId="065B3A4F" w:rsidR="001401F3" w:rsidRPr="00F55724" w:rsidRDefault="1A355723" w:rsidP="18AF3A3E">
            <w:pPr>
              <w:spacing w:after="0" w:line="252" w:lineRule="auto"/>
              <w:ind w:left="1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5</w:t>
            </w:r>
          </w:p>
        </w:tc>
      </w:tr>
      <w:tr w:rsidR="001401F3" w:rsidRPr="000D2298" w14:paraId="7C1A46A1" w14:textId="77777777" w:rsidTr="18AF3A3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1154359A" w14:textId="77777777" w:rsidR="001401F3" w:rsidRPr="00F55724" w:rsidRDefault="001401F3" w:rsidP="008D36C8">
            <w:pPr>
              <w:spacing w:after="0" w:line="252" w:lineRule="auto"/>
              <w:rPr>
                <w:sz w:val="22"/>
              </w:rPr>
            </w:pPr>
            <w:r w:rsidRPr="00F55724">
              <w:rPr>
                <w:sz w:val="22"/>
              </w:rPr>
              <w:t>Total incidents reported in 2020</w:t>
            </w:r>
          </w:p>
        </w:tc>
        <w:tc>
          <w:tcPr>
            <w:tcW w:w="1700" w:type="dxa"/>
            <w:hideMark/>
          </w:tcPr>
          <w:p w14:paraId="6698FE9A"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166C59DA" w14:textId="7E6EF238" w:rsidR="001401F3" w:rsidRPr="00081161" w:rsidRDefault="0B07233F"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6</w:t>
            </w:r>
          </w:p>
        </w:tc>
        <w:tc>
          <w:tcPr>
            <w:tcW w:w="923" w:type="dxa"/>
          </w:tcPr>
          <w:p w14:paraId="55BFB5FE" w14:textId="4A3B8C40" w:rsidR="001401F3" w:rsidRPr="004D3EF6" w:rsidRDefault="7ADEC7E4"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15</w:t>
            </w:r>
          </w:p>
        </w:tc>
        <w:tc>
          <w:tcPr>
            <w:tcW w:w="921" w:type="dxa"/>
          </w:tcPr>
          <w:p w14:paraId="36B5BB26" w14:textId="0E573DC5" w:rsidR="001401F3" w:rsidRPr="004D3EF6" w:rsidRDefault="31083EAD"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47</w:t>
            </w:r>
          </w:p>
        </w:tc>
        <w:tc>
          <w:tcPr>
            <w:tcW w:w="976" w:type="dxa"/>
          </w:tcPr>
          <w:p w14:paraId="74D96D87" w14:textId="43E95621" w:rsidR="001401F3" w:rsidRPr="004D3EF6" w:rsidRDefault="1FE7F352" w:rsidP="18AF3A3E">
            <w:pPr>
              <w:spacing w:after="0" w:line="252" w:lineRule="auto"/>
              <w:ind w:left="8"/>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44</w:t>
            </w:r>
          </w:p>
        </w:tc>
        <w:tc>
          <w:tcPr>
            <w:tcW w:w="1505" w:type="dxa"/>
          </w:tcPr>
          <w:p w14:paraId="544BD43F" w14:textId="699A063B" w:rsidR="001401F3" w:rsidRPr="004D3EF6" w:rsidRDefault="3DAB3DF7" w:rsidP="18AF3A3E">
            <w:pPr>
              <w:spacing w:after="0" w:line="252" w:lineRule="auto"/>
              <w:ind w:left="1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112</w:t>
            </w:r>
          </w:p>
        </w:tc>
      </w:tr>
      <w:tr w:rsidR="001401F3" w:rsidRPr="000D2298" w14:paraId="40A5C58B" w14:textId="77777777" w:rsidTr="18AF3A3E">
        <w:trPr>
          <w:trHeight w:val="272"/>
        </w:trPr>
        <w:tc>
          <w:tcPr>
            <w:cnfStyle w:val="001000000000" w:firstRow="0" w:lastRow="0" w:firstColumn="1" w:lastColumn="0" w:oddVBand="0" w:evenVBand="0" w:oddHBand="0" w:evenHBand="0" w:firstRowFirstColumn="0" w:firstRowLastColumn="0" w:lastRowFirstColumn="0" w:lastRowLastColumn="0"/>
            <w:tcW w:w="3055" w:type="dxa"/>
            <w:vMerge/>
            <w:hideMark/>
          </w:tcPr>
          <w:p w14:paraId="17149536" w14:textId="77777777" w:rsidR="001401F3" w:rsidRPr="00F55724" w:rsidRDefault="001401F3" w:rsidP="008D36C8">
            <w:pPr>
              <w:spacing w:after="0" w:line="240" w:lineRule="auto"/>
              <w:rPr>
                <w:sz w:val="22"/>
              </w:rPr>
            </w:pPr>
          </w:p>
        </w:tc>
        <w:tc>
          <w:tcPr>
            <w:tcW w:w="1700" w:type="dxa"/>
            <w:hideMark/>
          </w:tcPr>
          <w:p w14:paraId="0BAD02E0" w14:textId="77777777" w:rsidR="001401F3" w:rsidRPr="00F55724"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rPr>
                <w:sz w:val="22"/>
              </w:rPr>
            </w:pPr>
            <w:r w:rsidRPr="00F55724">
              <w:rPr>
                <w:sz w:val="22"/>
              </w:rPr>
              <w:t>Generation</w:t>
            </w:r>
          </w:p>
        </w:tc>
        <w:tc>
          <w:tcPr>
            <w:tcW w:w="905" w:type="dxa"/>
          </w:tcPr>
          <w:p w14:paraId="0753FF14" w14:textId="630FBD49" w:rsidR="001401F3" w:rsidRPr="00081161" w:rsidRDefault="5CB617C4"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1</w:t>
            </w:r>
          </w:p>
        </w:tc>
        <w:tc>
          <w:tcPr>
            <w:tcW w:w="923" w:type="dxa"/>
          </w:tcPr>
          <w:p w14:paraId="3C6D627B" w14:textId="77777777" w:rsidR="001401F3" w:rsidRPr="00081161" w:rsidRDefault="6F5B26E2"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1" w:type="dxa"/>
          </w:tcPr>
          <w:p w14:paraId="4B67D5B6" w14:textId="0D892C7D" w:rsidR="001401F3" w:rsidRPr="00081161" w:rsidRDefault="31BF9F03"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5</w:t>
            </w:r>
          </w:p>
        </w:tc>
        <w:tc>
          <w:tcPr>
            <w:tcW w:w="976" w:type="dxa"/>
          </w:tcPr>
          <w:p w14:paraId="697E7677" w14:textId="77777777" w:rsidR="001401F3" w:rsidRPr="00081161" w:rsidRDefault="6F5B26E2" w:rsidP="18AF3A3E">
            <w:pPr>
              <w:spacing w:after="0" w:line="252" w:lineRule="auto"/>
              <w:ind w:left="8"/>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1505" w:type="dxa"/>
          </w:tcPr>
          <w:p w14:paraId="33939AC8" w14:textId="56B569BB" w:rsidR="001401F3" w:rsidRPr="00F55724" w:rsidRDefault="0064C6AB" w:rsidP="18AF3A3E">
            <w:pPr>
              <w:spacing w:after="0" w:line="252" w:lineRule="auto"/>
              <w:ind w:left="1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6</w:t>
            </w:r>
          </w:p>
        </w:tc>
      </w:tr>
      <w:tr w:rsidR="001401F3" w:rsidRPr="000D2298" w14:paraId="7A521176" w14:textId="77777777" w:rsidTr="18AF3A3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32984C00" w14:textId="77777777" w:rsidR="001401F3" w:rsidRPr="00F55724" w:rsidRDefault="001401F3" w:rsidP="008D36C8">
            <w:pPr>
              <w:spacing w:after="0" w:line="252" w:lineRule="auto"/>
              <w:rPr>
                <w:sz w:val="22"/>
              </w:rPr>
            </w:pPr>
            <w:r w:rsidRPr="00F55724">
              <w:rPr>
                <w:sz w:val="22"/>
              </w:rPr>
              <w:t>Total incidents closed in 2020</w:t>
            </w:r>
          </w:p>
        </w:tc>
        <w:tc>
          <w:tcPr>
            <w:tcW w:w="1700" w:type="dxa"/>
            <w:hideMark/>
          </w:tcPr>
          <w:p w14:paraId="17A86210"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31C6ACEC" w14:textId="54EDE1E5" w:rsidR="001401F3" w:rsidRPr="00081161" w:rsidRDefault="5C51A517"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11</w:t>
            </w:r>
          </w:p>
        </w:tc>
        <w:tc>
          <w:tcPr>
            <w:tcW w:w="923" w:type="dxa"/>
          </w:tcPr>
          <w:p w14:paraId="2DE49A8C" w14:textId="44FFED93" w:rsidR="001401F3" w:rsidRPr="00F55724" w:rsidRDefault="103B3E8F"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22</w:t>
            </w:r>
          </w:p>
        </w:tc>
        <w:tc>
          <w:tcPr>
            <w:tcW w:w="921" w:type="dxa"/>
          </w:tcPr>
          <w:p w14:paraId="3609CB45" w14:textId="294A0302" w:rsidR="001401F3" w:rsidRPr="00F55724" w:rsidRDefault="50958E6F"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55</w:t>
            </w:r>
          </w:p>
        </w:tc>
        <w:tc>
          <w:tcPr>
            <w:tcW w:w="976" w:type="dxa"/>
          </w:tcPr>
          <w:p w14:paraId="30C7EAD0" w14:textId="17623F11" w:rsidR="001401F3" w:rsidRPr="00F55724" w:rsidRDefault="65465588" w:rsidP="18AF3A3E">
            <w:pPr>
              <w:spacing w:after="0" w:line="252" w:lineRule="auto"/>
              <w:ind w:left="8"/>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40</w:t>
            </w:r>
          </w:p>
        </w:tc>
        <w:tc>
          <w:tcPr>
            <w:tcW w:w="1505" w:type="dxa"/>
          </w:tcPr>
          <w:p w14:paraId="0087F1C0" w14:textId="25A6F6B3" w:rsidR="001401F3" w:rsidRPr="00F55724" w:rsidRDefault="6050166B" w:rsidP="18AF3A3E">
            <w:pPr>
              <w:spacing w:after="0" w:line="252" w:lineRule="auto"/>
              <w:ind w:left="1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128</w:t>
            </w:r>
          </w:p>
        </w:tc>
      </w:tr>
      <w:tr w:rsidR="001401F3" w:rsidRPr="000D2298" w14:paraId="11F5DC5D" w14:textId="77777777" w:rsidTr="18AF3A3E">
        <w:trPr>
          <w:trHeight w:val="263"/>
        </w:trPr>
        <w:tc>
          <w:tcPr>
            <w:cnfStyle w:val="001000000000" w:firstRow="0" w:lastRow="0" w:firstColumn="1" w:lastColumn="0" w:oddVBand="0" w:evenVBand="0" w:oddHBand="0" w:evenHBand="0" w:firstRowFirstColumn="0" w:firstRowLastColumn="0" w:lastRowFirstColumn="0" w:lastRowLastColumn="0"/>
            <w:tcW w:w="3055" w:type="dxa"/>
            <w:vMerge/>
            <w:hideMark/>
          </w:tcPr>
          <w:p w14:paraId="3974DD58" w14:textId="77777777" w:rsidR="001401F3" w:rsidRPr="00F55724" w:rsidRDefault="001401F3" w:rsidP="008D36C8">
            <w:pPr>
              <w:spacing w:after="0" w:line="240" w:lineRule="auto"/>
              <w:rPr>
                <w:sz w:val="22"/>
              </w:rPr>
            </w:pPr>
          </w:p>
        </w:tc>
        <w:tc>
          <w:tcPr>
            <w:tcW w:w="1700" w:type="dxa"/>
            <w:hideMark/>
          </w:tcPr>
          <w:p w14:paraId="535C598D" w14:textId="77777777" w:rsidR="001401F3" w:rsidRPr="00F55724"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rPr>
                <w:sz w:val="22"/>
              </w:rPr>
            </w:pPr>
            <w:r w:rsidRPr="00F55724">
              <w:rPr>
                <w:sz w:val="22"/>
              </w:rPr>
              <w:t>Generation</w:t>
            </w:r>
          </w:p>
        </w:tc>
        <w:tc>
          <w:tcPr>
            <w:tcW w:w="905" w:type="dxa"/>
          </w:tcPr>
          <w:p w14:paraId="18E4553C" w14:textId="77777777" w:rsidR="001401F3" w:rsidRPr="00081161"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3" w:type="dxa"/>
          </w:tcPr>
          <w:p w14:paraId="0AA69E90" w14:textId="77777777" w:rsidR="001401F3" w:rsidRPr="00081161"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1" w:type="dxa"/>
          </w:tcPr>
          <w:p w14:paraId="351DC3E5" w14:textId="77777777" w:rsidR="001401F3" w:rsidRPr="00081161"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3</w:t>
            </w:r>
          </w:p>
        </w:tc>
        <w:tc>
          <w:tcPr>
            <w:tcW w:w="976" w:type="dxa"/>
          </w:tcPr>
          <w:p w14:paraId="51F0E9E7" w14:textId="77777777" w:rsidR="001401F3" w:rsidRPr="00081161" w:rsidRDefault="6F5B26E2" w:rsidP="18AF3A3E">
            <w:pPr>
              <w:spacing w:after="0" w:line="252" w:lineRule="auto"/>
              <w:ind w:left="8"/>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1505" w:type="dxa"/>
          </w:tcPr>
          <w:p w14:paraId="224A2839" w14:textId="77777777" w:rsidR="001401F3" w:rsidRPr="00081161" w:rsidRDefault="6F5B26E2" w:rsidP="18AF3A3E">
            <w:pPr>
              <w:spacing w:after="0" w:line="252" w:lineRule="auto"/>
              <w:ind w:left="1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3</w:t>
            </w:r>
          </w:p>
        </w:tc>
      </w:tr>
      <w:tr w:rsidR="001401F3" w:rsidRPr="000D2298" w14:paraId="5B94C424" w14:textId="77777777" w:rsidTr="18AF3A3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2013A478" w14:textId="1574ABB9" w:rsidR="001401F3" w:rsidRPr="00F55724" w:rsidRDefault="001401F3" w:rsidP="008D36C8">
            <w:pPr>
              <w:spacing w:after="0" w:line="252" w:lineRule="auto"/>
              <w:rPr>
                <w:sz w:val="22"/>
              </w:rPr>
            </w:pPr>
            <w:r w:rsidRPr="00F55724">
              <w:rPr>
                <w:sz w:val="22"/>
              </w:rPr>
              <w:t>Total open 2020 incidents</w:t>
            </w:r>
            <w:r w:rsidR="000D7931">
              <w:rPr>
                <w:sz w:val="22"/>
              </w:rPr>
              <w:t xml:space="preserve"> in </w:t>
            </w:r>
            <w:r w:rsidR="00E21372">
              <w:rPr>
                <w:sz w:val="22"/>
              </w:rPr>
              <w:t xml:space="preserve">October </w:t>
            </w:r>
            <w:r w:rsidR="000D7931">
              <w:rPr>
                <w:sz w:val="22"/>
              </w:rPr>
              <w:t>2020</w:t>
            </w:r>
          </w:p>
        </w:tc>
        <w:tc>
          <w:tcPr>
            <w:tcW w:w="1700" w:type="dxa"/>
            <w:hideMark/>
          </w:tcPr>
          <w:p w14:paraId="2C994A6A"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0FC88E8A" w14:textId="1152EF39" w:rsidR="001401F3" w:rsidRPr="00081161" w:rsidRDefault="1CDC3AB8"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4</w:t>
            </w:r>
          </w:p>
        </w:tc>
        <w:tc>
          <w:tcPr>
            <w:tcW w:w="923" w:type="dxa"/>
          </w:tcPr>
          <w:p w14:paraId="1C11094B" w14:textId="35B0080B" w:rsidR="001401F3" w:rsidRPr="00F55724" w:rsidRDefault="615DB820"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8</w:t>
            </w:r>
          </w:p>
        </w:tc>
        <w:tc>
          <w:tcPr>
            <w:tcW w:w="921" w:type="dxa"/>
          </w:tcPr>
          <w:p w14:paraId="549E4ED2" w14:textId="3D315986" w:rsidR="001401F3" w:rsidRPr="00F55724" w:rsidRDefault="34C2CBFF"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37</w:t>
            </w:r>
          </w:p>
        </w:tc>
        <w:tc>
          <w:tcPr>
            <w:tcW w:w="976" w:type="dxa"/>
          </w:tcPr>
          <w:p w14:paraId="5842C08E" w14:textId="2944471E" w:rsidR="001401F3" w:rsidRPr="00F55724" w:rsidRDefault="513FDED3" w:rsidP="18AF3A3E">
            <w:pPr>
              <w:spacing w:after="0" w:line="252" w:lineRule="auto"/>
              <w:ind w:left="8"/>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36</w:t>
            </w:r>
          </w:p>
        </w:tc>
        <w:tc>
          <w:tcPr>
            <w:tcW w:w="1505" w:type="dxa"/>
          </w:tcPr>
          <w:p w14:paraId="13E1E181" w14:textId="3B6910C8" w:rsidR="001401F3" w:rsidRPr="001072D8" w:rsidRDefault="1D402A39" w:rsidP="18AF3A3E">
            <w:pPr>
              <w:spacing w:after="0" w:line="252" w:lineRule="auto"/>
              <w:ind w:left="1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85</w:t>
            </w:r>
          </w:p>
        </w:tc>
      </w:tr>
      <w:tr w:rsidR="001401F3" w:rsidRPr="000D2298" w14:paraId="73F32E47" w14:textId="77777777" w:rsidTr="18AF3A3E">
        <w:trPr>
          <w:trHeight w:val="272"/>
        </w:trPr>
        <w:tc>
          <w:tcPr>
            <w:cnfStyle w:val="001000000000" w:firstRow="0" w:lastRow="0" w:firstColumn="1" w:lastColumn="0" w:oddVBand="0" w:evenVBand="0" w:oddHBand="0" w:evenHBand="0" w:firstRowFirstColumn="0" w:firstRowLastColumn="0" w:lastRowFirstColumn="0" w:lastRowLastColumn="0"/>
            <w:tcW w:w="3055" w:type="dxa"/>
            <w:vMerge/>
            <w:hideMark/>
          </w:tcPr>
          <w:p w14:paraId="75356E58" w14:textId="77777777" w:rsidR="001401F3" w:rsidRPr="00F55724" w:rsidRDefault="001401F3" w:rsidP="008D36C8">
            <w:pPr>
              <w:spacing w:after="0" w:line="240" w:lineRule="auto"/>
              <w:rPr>
                <w:sz w:val="22"/>
              </w:rPr>
            </w:pPr>
          </w:p>
        </w:tc>
        <w:tc>
          <w:tcPr>
            <w:tcW w:w="1700" w:type="dxa"/>
            <w:hideMark/>
          </w:tcPr>
          <w:p w14:paraId="1DD71AEF" w14:textId="77777777" w:rsidR="001401F3" w:rsidRPr="00F55724"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rPr>
                <w:sz w:val="22"/>
              </w:rPr>
            </w:pPr>
            <w:r w:rsidRPr="00F55724">
              <w:rPr>
                <w:sz w:val="22"/>
              </w:rPr>
              <w:t>Generation</w:t>
            </w:r>
          </w:p>
        </w:tc>
        <w:tc>
          <w:tcPr>
            <w:tcW w:w="905" w:type="dxa"/>
          </w:tcPr>
          <w:p w14:paraId="60310B21" w14:textId="63ADDA9B" w:rsidR="001401F3" w:rsidRPr="00081161" w:rsidRDefault="7D12CA19"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1</w:t>
            </w:r>
          </w:p>
        </w:tc>
        <w:tc>
          <w:tcPr>
            <w:tcW w:w="923" w:type="dxa"/>
          </w:tcPr>
          <w:p w14:paraId="5484D5B1" w14:textId="77777777" w:rsidR="001401F3" w:rsidRPr="00081161" w:rsidRDefault="6F5B26E2"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1" w:type="dxa"/>
          </w:tcPr>
          <w:p w14:paraId="0706C5F0" w14:textId="469F67DA" w:rsidR="001401F3" w:rsidRPr="00081161" w:rsidRDefault="7520E543"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3</w:t>
            </w:r>
          </w:p>
        </w:tc>
        <w:tc>
          <w:tcPr>
            <w:tcW w:w="976" w:type="dxa"/>
          </w:tcPr>
          <w:p w14:paraId="29E44B7A" w14:textId="77777777" w:rsidR="001401F3" w:rsidRPr="00081161" w:rsidRDefault="6F5B26E2" w:rsidP="18AF3A3E">
            <w:pPr>
              <w:spacing w:after="0" w:line="252" w:lineRule="auto"/>
              <w:ind w:left="8"/>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1505" w:type="dxa"/>
          </w:tcPr>
          <w:p w14:paraId="36303F25" w14:textId="23BC652D" w:rsidR="001401F3" w:rsidRPr="00F55724" w:rsidRDefault="490CBC93" w:rsidP="18AF3A3E">
            <w:pPr>
              <w:spacing w:after="0" w:line="252" w:lineRule="auto"/>
              <w:ind w:left="1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4</w:t>
            </w:r>
          </w:p>
        </w:tc>
      </w:tr>
      <w:tr w:rsidR="001401F3" w:rsidRPr="000D2298" w14:paraId="6D393E03" w14:textId="77777777" w:rsidTr="18AF3A3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534350B4" w14:textId="2D611347" w:rsidR="001401F3" w:rsidRPr="00F55724" w:rsidRDefault="001401F3" w:rsidP="74B9ADDB">
            <w:pPr>
              <w:spacing w:after="0" w:line="252" w:lineRule="auto"/>
              <w:rPr>
                <w:sz w:val="22"/>
              </w:rPr>
            </w:pPr>
            <w:r w:rsidRPr="74B9ADDB">
              <w:rPr>
                <w:sz w:val="22"/>
              </w:rPr>
              <w:t xml:space="preserve">Incidents reported in </w:t>
            </w:r>
            <w:r w:rsidR="272DA8F3" w:rsidRPr="74B9ADDB">
              <w:rPr>
                <w:sz w:val="22"/>
              </w:rPr>
              <w:t xml:space="preserve">October </w:t>
            </w:r>
            <w:r w:rsidRPr="74B9ADDB">
              <w:rPr>
                <w:sz w:val="22"/>
              </w:rPr>
              <w:t>2020</w:t>
            </w:r>
          </w:p>
        </w:tc>
        <w:tc>
          <w:tcPr>
            <w:tcW w:w="1700" w:type="dxa"/>
            <w:hideMark/>
          </w:tcPr>
          <w:p w14:paraId="587BED6B"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25500E85" w14:textId="1FA84733" w:rsidR="001401F3" w:rsidRPr="00081161" w:rsidRDefault="14324C97"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0</w:t>
            </w:r>
          </w:p>
        </w:tc>
        <w:tc>
          <w:tcPr>
            <w:tcW w:w="923" w:type="dxa"/>
          </w:tcPr>
          <w:p w14:paraId="0B49C655" w14:textId="48B59C0D" w:rsidR="001401F3" w:rsidRPr="0039154E" w:rsidRDefault="6D3275D8"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0</w:t>
            </w:r>
          </w:p>
        </w:tc>
        <w:tc>
          <w:tcPr>
            <w:tcW w:w="921" w:type="dxa"/>
          </w:tcPr>
          <w:p w14:paraId="284A5F55" w14:textId="7A307EED" w:rsidR="001401F3" w:rsidRPr="0039154E" w:rsidRDefault="02DE281D"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3</w:t>
            </w:r>
          </w:p>
        </w:tc>
        <w:tc>
          <w:tcPr>
            <w:tcW w:w="976" w:type="dxa"/>
          </w:tcPr>
          <w:p w14:paraId="4837F90D" w14:textId="318252FE" w:rsidR="001401F3" w:rsidRPr="0039154E" w:rsidRDefault="4D29E903" w:rsidP="18AF3A3E">
            <w:pPr>
              <w:spacing w:after="0" w:line="252" w:lineRule="auto"/>
              <w:ind w:left="8"/>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18AF3A3E">
              <w:rPr>
                <w:rFonts w:eastAsia="Garamond" w:cs="Garamond"/>
                <w:sz w:val="22"/>
              </w:rPr>
              <w:t>3</w:t>
            </w:r>
          </w:p>
        </w:tc>
        <w:tc>
          <w:tcPr>
            <w:tcW w:w="1505" w:type="dxa"/>
          </w:tcPr>
          <w:p w14:paraId="265A31E7" w14:textId="6FB6AEB7" w:rsidR="001401F3" w:rsidRPr="00F55724" w:rsidRDefault="7DE6E52B" w:rsidP="18AF3A3E">
            <w:pPr>
              <w:spacing w:after="0" w:line="252" w:lineRule="auto"/>
              <w:ind w:left="1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6</w:t>
            </w:r>
          </w:p>
        </w:tc>
      </w:tr>
      <w:tr w:rsidR="001401F3" w:rsidRPr="000D2298" w14:paraId="45DBE8A1" w14:textId="77777777" w:rsidTr="18AF3A3E">
        <w:trPr>
          <w:trHeight w:val="264"/>
        </w:trPr>
        <w:tc>
          <w:tcPr>
            <w:cnfStyle w:val="001000000000" w:firstRow="0" w:lastRow="0" w:firstColumn="1" w:lastColumn="0" w:oddVBand="0" w:evenVBand="0" w:oddHBand="0" w:evenHBand="0" w:firstRowFirstColumn="0" w:firstRowLastColumn="0" w:lastRowFirstColumn="0" w:lastRowLastColumn="0"/>
            <w:tcW w:w="3055" w:type="dxa"/>
            <w:vMerge/>
            <w:hideMark/>
          </w:tcPr>
          <w:p w14:paraId="480CE3CA" w14:textId="77777777" w:rsidR="001401F3" w:rsidRPr="00F55724" w:rsidRDefault="001401F3" w:rsidP="008D36C8">
            <w:pPr>
              <w:spacing w:after="0" w:line="240" w:lineRule="auto"/>
              <w:rPr>
                <w:sz w:val="22"/>
              </w:rPr>
            </w:pPr>
          </w:p>
        </w:tc>
        <w:tc>
          <w:tcPr>
            <w:tcW w:w="1700" w:type="dxa"/>
            <w:hideMark/>
          </w:tcPr>
          <w:p w14:paraId="318B8909" w14:textId="77777777" w:rsidR="001401F3" w:rsidRPr="00F55724"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rPr>
                <w:sz w:val="22"/>
              </w:rPr>
            </w:pPr>
            <w:r w:rsidRPr="00F55724">
              <w:rPr>
                <w:sz w:val="22"/>
              </w:rPr>
              <w:t>Generation</w:t>
            </w:r>
          </w:p>
        </w:tc>
        <w:tc>
          <w:tcPr>
            <w:tcW w:w="905" w:type="dxa"/>
          </w:tcPr>
          <w:p w14:paraId="5114F124" w14:textId="3D249C4D" w:rsidR="001401F3" w:rsidRPr="00081161" w:rsidRDefault="15A476ED"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1</w:t>
            </w:r>
          </w:p>
        </w:tc>
        <w:tc>
          <w:tcPr>
            <w:tcW w:w="923" w:type="dxa"/>
          </w:tcPr>
          <w:p w14:paraId="2B73C7DF" w14:textId="77777777" w:rsidR="001401F3" w:rsidRPr="00081161"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921" w:type="dxa"/>
          </w:tcPr>
          <w:p w14:paraId="13C78F08" w14:textId="4C1AA569" w:rsidR="001401F3" w:rsidRPr="00F55724" w:rsidRDefault="260ECDE1"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2</w:t>
            </w:r>
          </w:p>
        </w:tc>
        <w:tc>
          <w:tcPr>
            <w:tcW w:w="976" w:type="dxa"/>
          </w:tcPr>
          <w:p w14:paraId="69C6D14A" w14:textId="77777777" w:rsidR="001401F3" w:rsidRPr="00081161" w:rsidRDefault="6F5B26E2"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0</w:t>
            </w:r>
          </w:p>
        </w:tc>
        <w:tc>
          <w:tcPr>
            <w:tcW w:w="1505" w:type="dxa"/>
          </w:tcPr>
          <w:p w14:paraId="0B57E43E" w14:textId="35488437" w:rsidR="001401F3" w:rsidRPr="00F55724" w:rsidRDefault="5C596E96" w:rsidP="18AF3A3E">
            <w:pPr>
              <w:spacing w:after="0" w:line="252" w:lineRule="auto"/>
              <w:ind w:left="11"/>
              <w:jc w:val="center"/>
              <w:cnfStyle w:val="000000000000" w:firstRow="0" w:lastRow="0" w:firstColumn="0" w:lastColumn="0" w:oddVBand="0" w:evenVBand="0" w:oddHBand="0" w:evenHBand="0" w:firstRowFirstColumn="0" w:firstRowLastColumn="0" w:lastRowFirstColumn="0" w:lastRowLastColumn="0"/>
              <w:rPr>
                <w:rFonts w:eastAsia="Garamond" w:cs="Garamond"/>
                <w:sz w:val="22"/>
              </w:rPr>
            </w:pPr>
            <w:r w:rsidRPr="00081161">
              <w:rPr>
                <w:rFonts w:eastAsia="Garamond" w:cs="Garamond"/>
                <w:sz w:val="22"/>
              </w:rPr>
              <w:t>3</w:t>
            </w:r>
          </w:p>
        </w:tc>
      </w:tr>
      <w:tr w:rsidR="001401F3" w:rsidRPr="000D2298" w14:paraId="1610ED5F" w14:textId="77777777" w:rsidTr="18AF3A3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5" w:type="dxa"/>
            <w:vMerge w:val="restart"/>
            <w:hideMark/>
          </w:tcPr>
          <w:p w14:paraId="2078349E" w14:textId="6B54EA93" w:rsidR="001401F3" w:rsidRPr="00F55724" w:rsidRDefault="001401F3" w:rsidP="74B9ADDB">
            <w:pPr>
              <w:spacing w:after="0" w:line="252" w:lineRule="auto"/>
              <w:rPr>
                <w:sz w:val="22"/>
              </w:rPr>
            </w:pPr>
            <w:r w:rsidRPr="74B9ADDB">
              <w:rPr>
                <w:sz w:val="22"/>
              </w:rPr>
              <w:t xml:space="preserve">Incidents closed in </w:t>
            </w:r>
            <w:r w:rsidR="7D800D28" w:rsidRPr="74B9ADDB">
              <w:rPr>
                <w:sz w:val="22"/>
              </w:rPr>
              <w:t xml:space="preserve">October </w:t>
            </w:r>
            <w:r w:rsidRPr="74B9ADDB">
              <w:rPr>
                <w:sz w:val="22"/>
              </w:rPr>
              <w:t>2020</w:t>
            </w:r>
          </w:p>
        </w:tc>
        <w:tc>
          <w:tcPr>
            <w:tcW w:w="1700" w:type="dxa"/>
            <w:hideMark/>
          </w:tcPr>
          <w:p w14:paraId="3E8759DB" w14:textId="77777777" w:rsidR="001401F3" w:rsidRPr="00F55724" w:rsidRDefault="001401F3" w:rsidP="008D36C8">
            <w:pPr>
              <w:spacing w:after="0" w:line="252" w:lineRule="auto"/>
              <w:ind w:left="3"/>
              <w:cnfStyle w:val="000000100000" w:firstRow="0" w:lastRow="0" w:firstColumn="0" w:lastColumn="0" w:oddVBand="0" w:evenVBand="0" w:oddHBand="1" w:evenHBand="0" w:firstRowFirstColumn="0" w:firstRowLastColumn="0" w:lastRowFirstColumn="0" w:lastRowLastColumn="0"/>
              <w:rPr>
                <w:sz w:val="22"/>
              </w:rPr>
            </w:pPr>
            <w:r w:rsidRPr="00F55724">
              <w:rPr>
                <w:sz w:val="22"/>
              </w:rPr>
              <w:t>Electric Facilities</w:t>
            </w:r>
          </w:p>
        </w:tc>
        <w:tc>
          <w:tcPr>
            <w:tcW w:w="905" w:type="dxa"/>
          </w:tcPr>
          <w:p w14:paraId="698EF2D5" w14:textId="6B506F3D" w:rsidR="001401F3" w:rsidRPr="00081161" w:rsidRDefault="345ED3B4"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w:t>
            </w:r>
          </w:p>
        </w:tc>
        <w:tc>
          <w:tcPr>
            <w:tcW w:w="923" w:type="dxa"/>
          </w:tcPr>
          <w:p w14:paraId="2C06D223" w14:textId="7E58516B" w:rsidR="001401F3" w:rsidRPr="00F55724" w:rsidRDefault="58D6DFBD"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w:t>
            </w:r>
          </w:p>
        </w:tc>
        <w:tc>
          <w:tcPr>
            <w:tcW w:w="921" w:type="dxa"/>
          </w:tcPr>
          <w:p w14:paraId="1CB84CC1" w14:textId="1D385F99" w:rsidR="001401F3" w:rsidRPr="001072D8" w:rsidRDefault="70DE0B58" w:rsidP="18AF3A3E">
            <w:pPr>
              <w:spacing w:after="0" w:line="252" w:lineRule="auto"/>
              <w:ind w:left="3"/>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6</w:t>
            </w:r>
          </w:p>
        </w:tc>
        <w:tc>
          <w:tcPr>
            <w:tcW w:w="976" w:type="dxa"/>
          </w:tcPr>
          <w:p w14:paraId="656538E4" w14:textId="16B82F73" w:rsidR="001401F3" w:rsidRPr="00F55724" w:rsidRDefault="0A14D15A" w:rsidP="18AF3A3E">
            <w:pPr>
              <w:spacing w:after="0" w:line="252" w:lineRule="auto"/>
              <w:ind w:left="5"/>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2</w:t>
            </w:r>
          </w:p>
        </w:tc>
        <w:tc>
          <w:tcPr>
            <w:tcW w:w="1505" w:type="dxa"/>
          </w:tcPr>
          <w:p w14:paraId="7744662E" w14:textId="5B7B2C00" w:rsidR="001401F3" w:rsidRPr="00081161" w:rsidRDefault="54DE0DC7" w:rsidP="18AF3A3E">
            <w:pPr>
              <w:spacing w:after="0" w:line="252" w:lineRule="auto"/>
              <w:ind w:left="11"/>
              <w:jc w:val="center"/>
              <w:cnfStyle w:val="000000100000" w:firstRow="0" w:lastRow="0" w:firstColumn="0" w:lastColumn="0" w:oddVBand="0" w:evenVBand="0" w:oddHBand="1" w:evenHBand="0" w:firstRowFirstColumn="0" w:firstRowLastColumn="0" w:lastRowFirstColumn="0" w:lastRowLastColumn="0"/>
              <w:rPr>
                <w:rFonts w:eastAsia="Garamond" w:cs="Garamond"/>
                <w:sz w:val="22"/>
              </w:rPr>
            </w:pPr>
            <w:r w:rsidRPr="00081161">
              <w:rPr>
                <w:rFonts w:eastAsia="Garamond" w:cs="Garamond"/>
                <w:sz w:val="22"/>
              </w:rPr>
              <w:t>10</w:t>
            </w:r>
          </w:p>
        </w:tc>
      </w:tr>
      <w:tr w:rsidR="001401F3" w:rsidRPr="000D2298" w14:paraId="2538398D" w14:textId="77777777" w:rsidTr="18AF3A3E">
        <w:trPr>
          <w:trHeight w:val="272"/>
        </w:trPr>
        <w:tc>
          <w:tcPr>
            <w:cnfStyle w:val="001000000000" w:firstRow="0" w:lastRow="0" w:firstColumn="1" w:lastColumn="0" w:oddVBand="0" w:evenVBand="0" w:oddHBand="0" w:evenHBand="0" w:firstRowFirstColumn="0" w:firstRowLastColumn="0" w:lastRowFirstColumn="0" w:lastRowLastColumn="0"/>
            <w:tcW w:w="3055" w:type="dxa"/>
            <w:vMerge/>
            <w:hideMark/>
          </w:tcPr>
          <w:p w14:paraId="226F1654" w14:textId="77777777" w:rsidR="001401F3" w:rsidRPr="000D2298" w:rsidRDefault="001401F3" w:rsidP="008D36C8">
            <w:pPr>
              <w:spacing w:after="0" w:line="240" w:lineRule="auto"/>
            </w:pPr>
          </w:p>
        </w:tc>
        <w:tc>
          <w:tcPr>
            <w:tcW w:w="1700" w:type="dxa"/>
            <w:hideMark/>
          </w:tcPr>
          <w:p w14:paraId="1AB84C91" w14:textId="77777777" w:rsidR="001401F3" w:rsidRPr="000D2298" w:rsidRDefault="001401F3" w:rsidP="008D36C8">
            <w:pPr>
              <w:spacing w:after="0" w:line="252" w:lineRule="auto"/>
              <w:ind w:left="3"/>
              <w:cnfStyle w:val="000000000000" w:firstRow="0" w:lastRow="0" w:firstColumn="0" w:lastColumn="0" w:oddVBand="0" w:evenVBand="0" w:oddHBand="0" w:evenHBand="0" w:firstRowFirstColumn="0" w:firstRowLastColumn="0" w:lastRowFirstColumn="0" w:lastRowLastColumn="0"/>
            </w:pPr>
            <w:r>
              <w:t>Generation</w:t>
            </w:r>
          </w:p>
        </w:tc>
        <w:tc>
          <w:tcPr>
            <w:tcW w:w="905" w:type="dxa"/>
          </w:tcPr>
          <w:p w14:paraId="2B5E050F" w14:textId="77777777" w:rsidR="001401F3" w:rsidRPr="000D2298"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rPr>
            </w:pPr>
            <w:r w:rsidRPr="001A3900">
              <w:rPr>
                <w:rFonts w:eastAsia="Garamond" w:cs="Garamond"/>
              </w:rPr>
              <w:t>0</w:t>
            </w:r>
          </w:p>
        </w:tc>
        <w:tc>
          <w:tcPr>
            <w:tcW w:w="923" w:type="dxa"/>
          </w:tcPr>
          <w:p w14:paraId="50F4D4A2" w14:textId="77777777" w:rsidR="001401F3" w:rsidRPr="000D2298"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rPr>
            </w:pPr>
            <w:r w:rsidRPr="001A3900">
              <w:rPr>
                <w:rFonts w:eastAsia="Garamond" w:cs="Garamond"/>
              </w:rPr>
              <w:t>0</w:t>
            </w:r>
          </w:p>
        </w:tc>
        <w:tc>
          <w:tcPr>
            <w:tcW w:w="921" w:type="dxa"/>
          </w:tcPr>
          <w:p w14:paraId="5B8E2FEE" w14:textId="77777777" w:rsidR="001401F3" w:rsidRPr="000D2298" w:rsidRDefault="6F5B26E2" w:rsidP="18AF3A3E">
            <w:pPr>
              <w:spacing w:after="0" w:line="252" w:lineRule="auto"/>
              <w:ind w:left="3"/>
              <w:jc w:val="center"/>
              <w:cnfStyle w:val="000000000000" w:firstRow="0" w:lastRow="0" w:firstColumn="0" w:lastColumn="0" w:oddVBand="0" w:evenVBand="0" w:oddHBand="0" w:evenHBand="0" w:firstRowFirstColumn="0" w:firstRowLastColumn="0" w:lastRowFirstColumn="0" w:lastRowLastColumn="0"/>
              <w:rPr>
                <w:rFonts w:eastAsia="Garamond" w:cs="Garamond"/>
              </w:rPr>
            </w:pPr>
            <w:r w:rsidRPr="001A3900">
              <w:rPr>
                <w:rFonts w:eastAsia="Garamond" w:cs="Garamond"/>
              </w:rPr>
              <w:t>0</w:t>
            </w:r>
          </w:p>
        </w:tc>
        <w:tc>
          <w:tcPr>
            <w:tcW w:w="976" w:type="dxa"/>
          </w:tcPr>
          <w:p w14:paraId="78D19892" w14:textId="77777777" w:rsidR="001401F3" w:rsidRPr="000D2298" w:rsidRDefault="6F5B26E2" w:rsidP="18AF3A3E">
            <w:pPr>
              <w:spacing w:after="0" w:line="252" w:lineRule="auto"/>
              <w:ind w:left="5"/>
              <w:jc w:val="center"/>
              <w:cnfStyle w:val="000000000000" w:firstRow="0" w:lastRow="0" w:firstColumn="0" w:lastColumn="0" w:oddVBand="0" w:evenVBand="0" w:oddHBand="0" w:evenHBand="0" w:firstRowFirstColumn="0" w:firstRowLastColumn="0" w:lastRowFirstColumn="0" w:lastRowLastColumn="0"/>
              <w:rPr>
                <w:rFonts w:eastAsia="Garamond" w:cs="Garamond"/>
              </w:rPr>
            </w:pPr>
            <w:r w:rsidRPr="001A3900">
              <w:rPr>
                <w:rFonts w:eastAsia="Garamond" w:cs="Garamond"/>
              </w:rPr>
              <w:t>0</w:t>
            </w:r>
          </w:p>
        </w:tc>
        <w:tc>
          <w:tcPr>
            <w:tcW w:w="1505" w:type="dxa"/>
          </w:tcPr>
          <w:p w14:paraId="1BD71473" w14:textId="77777777" w:rsidR="001401F3" w:rsidRPr="000D2298" w:rsidRDefault="6F5B26E2" w:rsidP="18AF3A3E">
            <w:pPr>
              <w:spacing w:after="0" w:line="252" w:lineRule="auto"/>
              <w:ind w:left="11"/>
              <w:jc w:val="center"/>
              <w:cnfStyle w:val="000000000000" w:firstRow="0" w:lastRow="0" w:firstColumn="0" w:lastColumn="0" w:oddVBand="0" w:evenVBand="0" w:oddHBand="0" w:evenHBand="0" w:firstRowFirstColumn="0" w:firstRowLastColumn="0" w:lastRowFirstColumn="0" w:lastRowLastColumn="0"/>
              <w:rPr>
                <w:rFonts w:eastAsia="Garamond" w:cs="Garamond"/>
              </w:rPr>
            </w:pPr>
            <w:r w:rsidRPr="001A3900">
              <w:rPr>
                <w:rFonts w:eastAsia="Garamond" w:cs="Garamond"/>
              </w:rPr>
              <w:t>0</w:t>
            </w:r>
          </w:p>
        </w:tc>
      </w:tr>
    </w:tbl>
    <w:p w14:paraId="18D85306" w14:textId="77777777" w:rsidR="00AA3D7A" w:rsidRDefault="00AA3D7A" w:rsidP="000741FB"/>
    <w:p w14:paraId="5F40DA9C" w14:textId="66063684" w:rsidR="000741FB" w:rsidRDefault="000741FB" w:rsidP="000741FB">
      <w:r>
        <w:t xml:space="preserve">The above table shows information about ESRB incident investigations as of </w:t>
      </w:r>
      <w:r w:rsidR="3D8A4E8E">
        <w:t xml:space="preserve">October </w:t>
      </w:r>
      <w:r w:rsidR="0032D2C8">
        <w:t>31</w:t>
      </w:r>
      <w:r w:rsidR="00E00016">
        <w:t>, 2020</w:t>
      </w:r>
      <w:r>
        <w:t>.  The level designation indicates increasing severity, with Level 4 as the most severe.  Please see footnote 2 for detail</w:t>
      </w:r>
      <w:r w:rsidR="00A32573">
        <w:t>ed</w:t>
      </w:r>
      <w:r>
        <w:t xml:space="preserve"> definitions of each level. The guidelines to close incident reports are similar to those GRSB follows (see </w:t>
      </w:r>
      <w:r w:rsidR="00DD25D9">
        <w:t xml:space="preserve">Guidelines </w:t>
      </w:r>
      <w:r>
        <w:t xml:space="preserve">table </w:t>
      </w:r>
      <w:r w:rsidR="000D0740">
        <w:t xml:space="preserve">on page </w:t>
      </w:r>
      <w:r w:rsidR="009C60CB">
        <w:t>7)</w:t>
      </w:r>
      <w:r>
        <w:t>.</w:t>
      </w:r>
    </w:p>
    <w:p w14:paraId="41E60B5B" w14:textId="5D689819" w:rsidR="00771509" w:rsidRPr="0022397F" w:rsidRDefault="00771509" w:rsidP="00771509">
      <w:pPr>
        <w:pStyle w:val="Heading3"/>
      </w:pPr>
      <w:bookmarkStart w:id="56" w:name="_Toc58401343"/>
      <w:r w:rsidRPr="0022397F">
        <w:t>Customer Safety Complaints</w:t>
      </w:r>
      <w:bookmarkEnd w:id="56"/>
    </w:p>
    <w:p w14:paraId="5F5B9DFF" w14:textId="07879ABE" w:rsidR="00771509" w:rsidRPr="000D2298" w:rsidRDefault="00771509" w:rsidP="009C60CB">
      <w:r>
        <w:t xml:space="preserve">Investigated </w:t>
      </w:r>
      <w:r w:rsidR="3637EDBC">
        <w:t>15</w:t>
      </w:r>
      <w:r>
        <w:t xml:space="preserve"> electric and communication safety and reliability </w:t>
      </w:r>
      <w:r w:rsidR="3C9E8420">
        <w:t xml:space="preserve">customer </w:t>
      </w:r>
      <w:r>
        <w:t>complaints.</w:t>
      </w:r>
    </w:p>
    <w:p w14:paraId="1AC1686B" w14:textId="41BE7EBD" w:rsidR="00EF0030" w:rsidRDefault="00EF0030" w:rsidP="00A106C8">
      <w:pPr>
        <w:pStyle w:val="Heading3"/>
      </w:pPr>
      <w:bookmarkStart w:id="57" w:name="_Toc58401344"/>
      <w:r>
        <w:t>Notice of Probable Violation Letters</w:t>
      </w:r>
      <w:bookmarkEnd w:id="57"/>
    </w:p>
    <w:p w14:paraId="57DF8084" w14:textId="306E36E3" w:rsidR="00371015" w:rsidRDefault="00371015" w:rsidP="40BBD0D6">
      <w:pPr>
        <w:rPr>
          <w:rFonts w:asciiTheme="minorHAnsi" w:hAnsiTheme="minorHAnsi"/>
          <w:sz w:val="22"/>
        </w:rPr>
      </w:pPr>
      <w:r>
        <w:t>ESRB i</w:t>
      </w:r>
      <w:r w:rsidR="00EF0030">
        <w:t xml:space="preserve">ssued </w:t>
      </w:r>
      <w:r w:rsidR="64217095">
        <w:t>2</w:t>
      </w:r>
      <w:r w:rsidR="00EF0030">
        <w:t xml:space="preserve"> Notice of </w:t>
      </w:r>
      <w:r w:rsidR="00BE0843">
        <w:t xml:space="preserve">Probable </w:t>
      </w:r>
      <w:r w:rsidR="00EF0030">
        <w:t>Violation</w:t>
      </w:r>
      <w:r>
        <w:t xml:space="preserve"> (NO</w:t>
      </w:r>
      <w:r w:rsidR="00E944F0">
        <w:t>P</w:t>
      </w:r>
      <w:r>
        <w:t>V)</w:t>
      </w:r>
      <w:r w:rsidR="00EF0030">
        <w:t xml:space="preserve"> letters</w:t>
      </w:r>
      <w:r w:rsidR="000D5F0A">
        <w:t xml:space="preserve"> in October</w:t>
      </w:r>
      <w:r w:rsidR="00EF0030">
        <w:t>.</w:t>
      </w:r>
      <w:r>
        <w:t xml:space="preserve"> </w:t>
      </w:r>
      <w:r w:rsidR="102C2E35">
        <w:t>ESRB</w:t>
      </w:r>
      <w:r>
        <w:t xml:space="preserve"> may issue an NO</w:t>
      </w:r>
      <w:r w:rsidR="00E944F0">
        <w:t>P</w:t>
      </w:r>
      <w:r>
        <w:t xml:space="preserve">V in response to an investigation or customer complaint </w:t>
      </w:r>
      <w:r w:rsidR="00DE5763">
        <w:t xml:space="preserve">for </w:t>
      </w:r>
      <w:r>
        <w:t xml:space="preserve">a violation of an applicable law or regulation. </w:t>
      </w:r>
    </w:p>
    <w:p w14:paraId="560F7A12" w14:textId="25F3443B" w:rsidR="000741FB" w:rsidRPr="00BB6DC9" w:rsidRDefault="000741FB" w:rsidP="00BB6DC9">
      <w:pPr>
        <w:pStyle w:val="Heading3"/>
      </w:pPr>
      <w:bookmarkStart w:id="58" w:name="_Toc58401345"/>
      <w:r w:rsidRPr="00BB6DC9">
        <w:t>Electric Safety and Reliability: Proceedings</w:t>
      </w:r>
      <w:bookmarkEnd w:id="58"/>
    </w:p>
    <w:p w14:paraId="2ACAF7DB" w14:textId="4398FC8D" w:rsidR="000741FB" w:rsidRPr="005C0516" w:rsidRDefault="000741FB" w:rsidP="74B9ADDB">
      <w:pPr>
        <w:spacing w:before="240"/>
      </w:pPr>
      <w:bookmarkStart w:id="59" w:name="_Hlk534386614"/>
      <w:bookmarkStart w:id="60" w:name="_Hlk531433244"/>
      <w:r w:rsidRPr="18AF3A3E">
        <w:rPr>
          <w:b/>
          <w:bCs/>
        </w:rPr>
        <w:t>PSPS Order Instituting Investigation (I.19-11-013) (Commissioner Batjer/ALJ DeAngelis) (SED Advisory).</w:t>
      </w:r>
      <w:r>
        <w:t xml:space="preserve"> This OII was initiated by the Commission on November 13, 2019 to determine whether California’s investor-owned electric utilities prioritized safety and complied with the Commission’s regulations and requirements with respect to their Public Safety Power Shutoff (PSPS) events in late 2019. This OII is a companion to R.18-12-005, the Commission’s rulemaking to examine the practice of utility de-energization of powerlines during dangerous conditions. </w:t>
      </w:r>
      <w:r w:rsidR="0F85B740" w:rsidRPr="18AF3A3E">
        <w:rPr>
          <w:rFonts w:eastAsia="Garamond" w:cs="Garamond"/>
        </w:rPr>
        <w:t xml:space="preserve"> On September 2, 2020, PG&amp;E, SCE and SDG&amp;E filed comments on the issues identified in the Phase 2 Scoping Memo and Ruling</w:t>
      </w:r>
      <w:r w:rsidR="562F9EE8" w:rsidRPr="18AF3A3E">
        <w:rPr>
          <w:rFonts w:eastAsia="Garamond" w:cs="Garamond"/>
          <w:sz w:val="22"/>
        </w:rPr>
        <w:t>.</w:t>
      </w:r>
      <w:r w:rsidRPr="00BA038D">
        <w:rPr>
          <w:rFonts w:eastAsia="Garamond" w:cs="Garamond"/>
        </w:rPr>
        <w:t xml:space="preserve"> </w:t>
      </w:r>
      <w:r w:rsidR="7CD1E2F4" w:rsidRPr="0033490F">
        <w:rPr>
          <w:rFonts w:eastAsia="Garamond" w:cs="Garamond"/>
          <w:szCs w:val="24"/>
        </w:rPr>
        <w:t>On October 16, 2020, all other parties filed comments regarding the Phase 2 Scoping Memo and Ruling.</w:t>
      </w:r>
      <w:r w:rsidR="7CD1E2F4" w:rsidRPr="0033490F">
        <w:rPr>
          <w:rFonts w:ascii="Calibri" w:eastAsia="Calibri" w:hAnsi="Calibri" w:cs="Calibri"/>
          <w:szCs w:val="24"/>
        </w:rPr>
        <w:t xml:space="preserve"> </w:t>
      </w:r>
      <w:r w:rsidRPr="000268B4">
        <w:rPr>
          <w:szCs w:val="24"/>
        </w:rPr>
        <w:t>P</w:t>
      </w:r>
      <w:r>
        <w:t>ending.</w:t>
      </w:r>
      <w:bookmarkStart w:id="61" w:name="_Hlk40203440"/>
      <w:bookmarkEnd w:id="61"/>
    </w:p>
    <w:bookmarkEnd w:id="59"/>
    <w:p w14:paraId="303BDFC9" w14:textId="2434AE9B" w:rsidR="00C60035" w:rsidRDefault="000741FB" w:rsidP="009B2E97">
      <w:r w:rsidRPr="47E6F01D">
        <w:rPr>
          <w:b/>
          <w:bCs/>
        </w:rPr>
        <w:t>PG&amp;E’s 2017 Wildfires OII (I.19-06-015) (Commissioner Rechtschaffen/ALJ Park) (SED Advocacy):</w:t>
      </w:r>
      <w:r>
        <w:t xml:space="preserve">  </w:t>
      </w:r>
      <w:r w:rsidRPr="47E6F01D">
        <w:rPr>
          <w:rFonts w:eastAsia="Calibri" w:cs="Calibri"/>
        </w:rPr>
        <w:t>On May 8, 2020, a Final Decision (D.20-05-019) was issued approving a settlement agreement, with modifications, between SED, PG&amp;E, Coalition of California Utility Employees (CUE), and the Office of Safety Advocates (OSA)</w:t>
      </w:r>
      <w:r w:rsidR="005C0516" w:rsidRPr="47E6F01D">
        <w:rPr>
          <w:rFonts w:eastAsia="Calibri" w:cs="Calibri"/>
        </w:rPr>
        <w:t>.  This</w:t>
      </w:r>
      <w:r w:rsidRPr="47E6F01D">
        <w:rPr>
          <w:rFonts w:eastAsia="Calibri" w:cs="Calibri"/>
        </w:rPr>
        <w:t xml:space="preserve"> decision imposes penalties totaling $2.137 billion consisting of $1.823 billion in disallowances for wildfire-related expenditures, $114 million in shareholder-funded System Enhancement Initiatives, and a $200 million fine payable to the General Fund (the fine shall be permanently suspended). </w:t>
      </w:r>
      <w:r w:rsidR="5559A00A" w:rsidRPr="47E6F01D">
        <w:rPr>
          <w:rFonts w:eastAsia="Calibri" w:cs="Calibri"/>
        </w:rPr>
        <w:t>I</w:t>
      </w:r>
      <w:r w:rsidR="5559A00A">
        <w:t>n June</w:t>
      </w:r>
      <w:r w:rsidR="00F77554">
        <w:t xml:space="preserve"> and July</w:t>
      </w:r>
      <w:r w:rsidR="5559A00A">
        <w:t>, SED began implement</w:t>
      </w:r>
      <w:r w:rsidR="007D71BF">
        <w:t>ing</w:t>
      </w:r>
      <w:r w:rsidR="5559A00A">
        <w:t xml:space="preserve"> OP 1(h) of D.20-05-019, which requires PG&amp;E to consult with SED within thirty days of the effective date of the settlement agreement to discuss the appropriate format, content and treatment of the quarterly electric maintenance reports and “near hit” data required by sections of the settlement agreement.</w:t>
      </w:r>
      <w:r w:rsidR="5559A00A" w:rsidRPr="47E6F01D">
        <w:rPr>
          <w:rFonts w:eastAsia="Calibri" w:cs="Calibri"/>
        </w:rPr>
        <w:t xml:space="preserve"> </w:t>
      </w:r>
      <w:r w:rsidR="4D507162" w:rsidRPr="47E6F01D">
        <w:rPr>
          <w:rFonts w:eastAsia="Calibri" w:cs="Calibri"/>
        </w:rPr>
        <w:t>On August 31, 2020, PG&amp;E filed Advice Letter (AL)</w:t>
      </w:r>
      <w:r w:rsidR="7CA1E4F9" w:rsidRPr="47E6F01D">
        <w:rPr>
          <w:rFonts w:eastAsia="Calibri" w:cs="Calibri"/>
        </w:rPr>
        <w:t xml:space="preserve"> 5934-E </w:t>
      </w:r>
      <w:r w:rsidR="36B2A47F" w:rsidRPr="47E6F01D">
        <w:rPr>
          <w:rFonts w:eastAsia="Calibri" w:cs="Calibri"/>
        </w:rPr>
        <w:t xml:space="preserve">that </w:t>
      </w:r>
      <w:r w:rsidR="60B32242" w:rsidRPr="47E6F01D">
        <w:rPr>
          <w:rFonts w:eastAsia="Calibri" w:cs="Calibri"/>
        </w:rPr>
        <w:t xml:space="preserve">memorializes the details of the data and reports to be shared by PG&amp;E with </w:t>
      </w:r>
      <w:r w:rsidR="092A70D4">
        <w:t>SED and SPD regarding</w:t>
      </w:r>
      <w:r w:rsidR="5F6E1004" w:rsidRPr="47E6F01D">
        <w:rPr>
          <w:rFonts w:eastAsia="Calibri" w:cs="Calibri"/>
        </w:rPr>
        <w:t xml:space="preserve"> the quarterly electric maintenance reports and “near hit” data</w:t>
      </w:r>
      <w:r w:rsidRPr="47E6F01D">
        <w:rPr>
          <w:rFonts w:eastAsia="Calibri" w:cs="Calibri"/>
        </w:rPr>
        <w:t xml:space="preserve">. </w:t>
      </w:r>
      <w:r>
        <w:t xml:space="preserve"> </w:t>
      </w:r>
      <w:r w:rsidR="1083721F">
        <w:t xml:space="preserve">Per the Settlement Agreement, </w:t>
      </w:r>
      <w:r w:rsidR="2E7A4CAE">
        <w:t xml:space="preserve">SED and SPD are </w:t>
      </w:r>
      <w:r w:rsidR="709E27DF">
        <w:t xml:space="preserve">also </w:t>
      </w:r>
      <w:r w:rsidR="17AB9CD4">
        <w:t xml:space="preserve">in the </w:t>
      </w:r>
      <w:r w:rsidR="709E27DF">
        <w:t>beginning</w:t>
      </w:r>
      <w:r w:rsidR="19233C5C">
        <w:t xml:space="preserve"> stages of working with PG&amp;E to select </w:t>
      </w:r>
      <w:r w:rsidR="709E27DF">
        <w:t xml:space="preserve">a consultant </w:t>
      </w:r>
      <w:r w:rsidR="5BA84C08">
        <w:t xml:space="preserve">to </w:t>
      </w:r>
      <w:r w:rsidR="5EF4E8B9">
        <w:t>perform a</w:t>
      </w:r>
      <w:r w:rsidR="709E27DF">
        <w:t xml:space="preserve"> Root Cause Analysis (RCA)</w:t>
      </w:r>
      <w:r w:rsidR="75C4FC3E">
        <w:t xml:space="preserve"> for each of the wildfires. </w:t>
      </w:r>
      <w:r w:rsidR="07149978">
        <w:t>Pending</w:t>
      </w:r>
      <w:r>
        <w:t>.</w:t>
      </w:r>
    </w:p>
    <w:p w14:paraId="54AF4787" w14:textId="561150FC" w:rsidR="719BDB95" w:rsidRPr="004E7D88" w:rsidRDefault="719BDB95" w:rsidP="2891828D">
      <w:pPr>
        <w:spacing w:line="288" w:lineRule="auto"/>
        <w:rPr>
          <w:rFonts w:eastAsia="Garamond" w:cs="Garamond"/>
        </w:rPr>
      </w:pPr>
      <w:bookmarkStart w:id="62" w:name="_Hlk40204170"/>
      <w:bookmarkStart w:id="63" w:name="_Hlk40204198"/>
      <w:bookmarkEnd w:id="62"/>
      <w:bookmarkEnd w:id="63"/>
      <w:r w:rsidRPr="18AF3A3E">
        <w:rPr>
          <w:rFonts w:eastAsia="Garamond" w:cs="Garamond"/>
          <w:b/>
          <w:bCs/>
        </w:rPr>
        <w:t>PG&amp;E Locate and Mark Practices OII (I.18-12-007) (Commissioner Rechtschaffen/ALJ Allen) (SED Advocacy):</w:t>
      </w:r>
      <w:r w:rsidR="00C30A15">
        <w:rPr>
          <w:rFonts w:eastAsia="Garamond" w:cs="Garamond"/>
          <w:b/>
          <w:bCs/>
        </w:rPr>
        <w:t xml:space="preserve"> </w:t>
      </w:r>
      <w:r w:rsidRPr="18AF3A3E">
        <w:rPr>
          <w:rFonts w:eastAsia="Garamond" w:cs="Garamond"/>
        </w:rPr>
        <w:t>D.20-02-036 approv</w:t>
      </w:r>
      <w:r w:rsidR="004344A3" w:rsidRPr="18AF3A3E">
        <w:rPr>
          <w:rFonts w:eastAsia="Garamond" w:cs="Garamond"/>
        </w:rPr>
        <w:t>ed</w:t>
      </w:r>
      <w:r w:rsidRPr="18AF3A3E">
        <w:rPr>
          <w:rFonts w:eastAsia="Garamond" w:cs="Garamond"/>
        </w:rPr>
        <w:t xml:space="preserve"> several</w:t>
      </w:r>
      <w:r w:rsidR="6352ED22" w:rsidRPr="18AF3A3E">
        <w:rPr>
          <w:rFonts w:eastAsia="Garamond" w:cs="Garamond"/>
        </w:rPr>
        <w:t xml:space="preserve"> </w:t>
      </w:r>
      <w:r w:rsidRPr="18AF3A3E">
        <w:rPr>
          <w:rFonts w:eastAsia="Garamond" w:cs="Garamond"/>
        </w:rPr>
        <w:t>shareholder-funded gas and electric System Enhancement Initiatives</w:t>
      </w:r>
      <w:r w:rsidR="4E87DC00" w:rsidRPr="18AF3A3E">
        <w:rPr>
          <w:rFonts w:eastAsia="Garamond" w:cs="Garamond"/>
        </w:rPr>
        <w:t xml:space="preserve"> </w:t>
      </w:r>
      <w:r w:rsidRPr="18AF3A3E">
        <w:rPr>
          <w:rFonts w:eastAsia="Garamond" w:cs="Garamond"/>
        </w:rPr>
        <w:t>but with a longer compliance audit period of four years</w:t>
      </w:r>
      <w:r w:rsidR="107277DC" w:rsidRPr="18AF3A3E">
        <w:rPr>
          <w:rFonts w:eastAsia="Garamond" w:cs="Garamond"/>
        </w:rPr>
        <w:t xml:space="preserve"> </w:t>
      </w:r>
      <w:r w:rsidRPr="18AF3A3E">
        <w:rPr>
          <w:rFonts w:eastAsia="Garamond" w:cs="Garamond"/>
        </w:rPr>
        <w:t>and a $110 million total penalty.</w:t>
      </w:r>
      <w:r w:rsidR="0F1E71A1" w:rsidRPr="18AF3A3E">
        <w:rPr>
          <w:rFonts w:eastAsia="Garamond" w:cs="Garamond"/>
        </w:rPr>
        <w:t xml:space="preserve"> </w:t>
      </w:r>
      <w:r w:rsidR="0850DBBC" w:rsidRPr="18AF3A3E">
        <w:rPr>
          <w:rFonts w:eastAsia="Garamond" w:cs="Garamond"/>
        </w:rPr>
        <w:t xml:space="preserve">Following the Commission decision, </w:t>
      </w:r>
      <w:r w:rsidR="3224BBF8" w:rsidRPr="18AF3A3E">
        <w:rPr>
          <w:rFonts w:eastAsia="Garamond" w:cs="Garamond"/>
        </w:rPr>
        <w:t xml:space="preserve">in September 2020, SED provided comments on selecting candidates for consulting </w:t>
      </w:r>
      <w:r w:rsidR="00063411" w:rsidRPr="18AF3A3E">
        <w:rPr>
          <w:rFonts w:eastAsia="Garamond" w:cs="Garamond"/>
        </w:rPr>
        <w:t>s</w:t>
      </w:r>
      <w:r w:rsidR="3224BBF8" w:rsidRPr="18AF3A3E">
        <w:rPr>
          <w:rFonts w:eastAsia="Garamond" w:cs="Garamond"/>
        </w:rPr>
        <w:t xml:space="preserve">ervices </w:t>
      </w:r>
      <w:r w:rsidR="000C210D" w:rsidRPr="18AF3A3E">
        <w:rPr>
          <w:rFonts w:eastAsia="Garamond" w:cs="Garamond"/>
        </w:rPr>
        <w:t xml:space="preserve">for </w:t>
      </w:r>
      <w:r w:rsidR="00F659CF" w:rsidRPr="18AF3A3E">
        <w:rPr>
          <w:rFonts w:eastAsia="Garamond" w:cs="Garamond"/>
        </w:rPr>
        <w:t>this investigation</w:t>
      </w:r>
      <w:r w:rsidR="0850DBBC" w:rsidRPr="18AF3A3E">
        <w:rPr>
          <w:rFonts w:eastAsia="Garamond" w:cs="Garamond"/>
        </w:rPr>
        <w:t>.</w:t>
      </w:r>
      <w:r w:rsidR="2A7A8761" w:rsidRPr="18AF3A3E">
        <w:rPr>
          <w:rFonts w:eastAsia="Garamond" w:cs="Garamond"/>
        </w:rPr>
        <w:t xml:space="preserve"> </w:t>
      </w:r>
    </w:p>
    <w:p w14:paraId="3B583FC6" w14:textId="439C4914" w:rsidR="000741FB" w:rsidRPr="00C4767D" w:rsidRDefault="000741FB" w:rsidP="00C4767D">
      <w:pPr>
        <w:rPr>
          <w:rFonts w:eastAsia="Garamond" w:cs="Garamond"/>
          <w:szCs w:val="24"/>
        </w:rPr>
      </w:pPr>
      <w:bookmarkStart w:id="64" w:name="_Hlk34322808"/>
      <w:bookmarkEnd w:id="60"/>
      <w:r w:rsidRPr="74B9ADDB">
        <w:rPr>
          <w:b/>
          <w:bCs/>
        </w:rPr>
        <w:t>Rulemaking to Evaluate the Mobilehome Park Pilot Program and to Adopt Programmatic Modifications (</w:t>
      </w:r>
      <w:r w:rsidRPr="74B9ADDB">
        <w:rPr>
          <w:rFonts w:eastAsia="Times New Roman"/>
          <w:b/>
          <w:bCs/>
          <w:color w:val="4C4C4C" w:themeColor="text1"/>
        </w:rPr>
        <w:t>R.18-04-018</w:t>
      </w:r>
      <w:r w:rsidRPr="74B9ADDB">
        <w:rPr>
          <w:b/>
          <w:bCs/>
        </w:rPr>
        <w:t xml:space="preserve">) (Commissioner Rechtschaffen /ALJ </w:t>
      </w:r>
      <w:r w:rsidR="00BD1010">
        <w:rPr>
          <w:b/>
          <w:bCs/>
        </w:rPr>
        <w:t>Hecht</w:t>
      </w:r>
      <w:r w:rsidRPr="74B9ADDB">
        <w:rPr>
          <w:b/>
          <w:bCs/>
        </w:rPr>
        <w:t xml:space="preserve">) (SED Advisory): </w:t>
      </w:r>
      <w:r w:rsidRPr="74B9ADDB">
        <w:rPr>
          <w:rFonts w:eastAsia="Times New Roman"/>
        </w:rPr>
        <w:t>ESRB’s role in this proceeding is to address the conversion of electric master metered MHPs to direct</w:t>
      </w:r>
      <w:r w:rsidR="00F07341">
        <w:rPr>
          <w:rFonts w:eastAsia="Times New Roman"/>
        </w:rPr>
        <w:t xml:space="preserve"> service by an</w:t>
      </w:r>
      <w:r w:rsidRPr="74B9ADDB">
        <w:rPr>
          <w:rFonts w:eastAsia="Times New Roman"/>
        </w:rPr>
        <w:t xml:space="preserve"> electric utilit</w:t>
      </w:r>
      <w:r w:rsidR="00F07341">
        <w:rPr>
          <w:rFonts w:eastAsia="Times New Roman"/>
        </w:rPr>
        <w:t>y</w:t>
      </w:r>
      <w:r w:rsidRPr="74B9ADDB">
        <w:rPr>
          <w:rFonts w:eastAsia="Times New Roman"/>
        </w:rPr>
        <w:t>.  The Commission issue</w:t>
      </w:r>
      <w:r w:rsidR="00C23A7D" w:rsidRPr="74B9ADDB">
        <w:rPr>
          <w:rFonts w:eastAsia="Times New Roman"/>
        </w:rPr>
        <w:t>d</w:t>
      </w:r>
      <w:r w:rsidRPr="74B9ADDB">
        <w:rPr>
          <w:rFonts w:eastAsia="Times New Roman"/>
        </w:rPr>
        <w:t xml:space="preserve"> D. 20-04-004 on April 24, 2020, adopting most of the language in the proposed decision. SED, E</w:t>
      </w:r>
      <w:r w:rsidR="00F12464" w:rsidRPr="74B9ADDB">
        <w:rPr>
          <w:rFonts w:eastAsia="Times New Roman"/>
        </w:rPr>
        <w:t xml:space="preserve">nergy </w:t>
      </w:r>
      <w:r w:rsidRPr="74B9ADDB">
        <w:rPr>
          <w:rFonts w:eastAsia="Times New Roman"/>
        </w:rPr>
        <w:t>D</w:t>
      </w:r>
      <w:r w:rsidR="00F12464" w:rsidRPr="74B9ADDB">
        <w:rPr>
          <w:rFonts w:eastAsia="Times New Roman"/>
        </w:rPr>
        <w:t>ivision</w:t>
      </w:r>
      <w:r w:rsidRPr="74B9ADDB">
        <w:rPr>
          <w:rFonts w:eastAsia="Times New Roman"/>
        </w:rPr>
        <w:t>, and H</w:t>
      </w:r>
      <w:r w:rsidR="00F12464" w:rsidRPr="74B9ADDB">
        <w:rPr>
          <w:rFonts w:eastAsia="Times New Roman"/>
        </w:rPr>
        <w:t xml:space="preserve">ousing and Community </w:t>
      </w:r>
      <w:r w:rsidRPr="74B9ADDB">
        <w:rPr>
          <w:rFonts w:eastAsia="Times New Roman"/>
        </w:rPr>
        <w:t>D</w:t>
      </w:r>
      <w:r w:rsidR="00F12464" w:rsidRPr="74B9ADDB">
        <w:rPr>
          <w:rFonts w:eastAsia="Times New Roman"/>
        </w:rPr>
        <w:t>evelopment</w:t>
      </w:r>
      <w:r w:rsidRPr="74B9ADDB">
        <w:rPr>
          <w:rFonts w:eastAsia="Times New Roman"/>
        </w:rPr>
        <w:t xml:space="preserve"> will convene workshops within six months from the effective date to discuss mobile home electrification topics. </w:t>
      </w:r>
      <w:r w:rsidR="02B995CB" w:rsidRPr="74B9ADDB">
        <w:rPr>
          <w:rFonts w:eastAsia="Garamond" w:cs="Garamond"/>
        </w:rPr>
        <w:t xml:space="preserve">On </w:t>
      </w:r>
      <w:r w:rsidR="02B995CB" w:rsidRPr="74B9ADDB">
        <w:rPr>
          <w:rFonts w:eastAsia="Garamond" w:cs="Garamond"/>
          <w:color w:val="000000"/>
        </w:rPr>
        <w:t>September 15, 2020</w:t>
      </w:r>
      <w:r w:rsidR="00E76966">
        <w:rPr>
          <w:rFonts w:eastAsia="Garamond" w:cs="Garamond"/>
          <w:color w:val="000000"/>
        </w:rPr>
        <w:t>,</w:t>
      </w:r>
      <w:r w:rsidR="02B995CB" w:rsidRPr="74B9ADDB">
        <w:rPr>
          <w:rFonts w:eastAsia="Garamond" w:cs="Garamond"/>
          <w:color w:val="000000"/>
        </w:rPr>
        <w:t xml:space="preserve"> the Commission held a workshop on the Building Decarbonization Proceeding Phase II Staff Proposal </w:t>
      </w:r>
      <w:r w:rsidR="004D5509" w:rsidRPr="74B9ADDB">
        <w:rPr>
          <w:rFonts w:eastAsia="Garamond" w:cs="Garamond"/>
          <w:color w:val="000000"/>
        </w:rPr>
        <w:t>and the</w:t>
      </w:r>
      <w:r w:rsidR="02B995CB" w:rsidRPr="74B9ADDB">
        <w:rPr>
          <w:rFonts w:eastAsia="Garamond" w:cs="Garamond"/>
          <w:color w:val="000000"/>
        </w:rPr>
        <w:t xml:space="preserve"> Mobilehome Electrification Topics and Tenant Protections</w:t>
      </w:r>
      <w:r w:rsidR="4F911B49" w:rsidRPr="74B9ADDB">
        <w:rPr>
          <w:rFonts w:eastAsia="Garamond" w:cs="Garamond"/>
        </w:rPr>
        <w:t xml:space="preserve">. </w:t>
      </w:r>
      <w:r w:rsidR="1F5D4DCB" w:rsidRPr="00C4767D">
        <w:rPr>
          <w:rFonts w:eastAsia="Garamond" w:cs="Garamond"/>
        </w:rPr>
        <w:t>Also, in</w:t>
      </w:r>
      <w:r w:rsidR="1F5D4DCB" w:rsidRPr="00C4767D">
        <w:rPr>
          <w:rFonts w:eastAsia="Garamond" w:cs="Garamond"/>
          <w:szCs w:val="24"/>
        </w:rPr>
        <w:t xml:space="preserve"> September 2020, all </w:t>
      </w:r>
      <w:r w:rsidR="1F5D4DCB" w:rsidRPr="74B9ADDB">
        <w:rPr>
          <w:rFonts w:eastAsia="Garamond" w:cs="Garamond"/>
          <w:szCs w:val="24"/>
        </w:rPr>
        <w:t xml:space="preserve">the </w:t>
      </w:r>
      <w:r w:rsidR="1F5D4DCB" w:rsidRPr="00C4767D">
        <w:rPr>
          <w:rFonts w:eastAsia="Garamond" w:cs="Garamond"/>
          <w:szCs w:val="24"/>
        </w:rPr>
        <w:t>parties responded to PG&amp;E’s August submittal of a supplemental advice letter</w:t>
      </w:r>
      <w:r w:rsidR="001817C2">
        <w:rPr>
          <w:rFonts w:eastAsia="Garamond" w:cs="Garamond"/>
          <w:szCs w:val="24"/>
        </w:rPr>
        <w:t xml:space="preserve"> (AL)</w:t>
      </w:r>
      <w:r w:rsidR="1F5D4DCB" w:rsidRPr="00C4767D">
        <w:rPr>
          <w:rFonts w:eastAsia="Garamond" w:cs="Garamond"/>
          <w:szCs w:val="24"/>
        </w:rPr>
        <w:t xml:space="preserve"> regarding tariff revisions. The </w:t>
      </w:r>
      <w:r w:rsidR="001817C2">
        <w:rPr>
          <w:rFonts w:eastAsia="Garamond" w:cs="Garamond"/>
          <w:szCs w:val="24"/>
        </w:rPr>
        <w:t>AL</w:t>
      </w:r>
      <w:r w:rsidR="1F5D4DCB" w:rsidRPr="00C4767D">
        <w:rPr>
          <w:rFonts w:eastAsia="Garamond" w:cs="Garamond"/>
          <w:szCs w:val="24"/>
        </w:rPr>
        <w:t xml:space="preserve"> reflects changes to the program from a pilot program to a full-scale, ten-year program per D. 20-04-004.</w:t>
      </w:r>
      <w:r w:rsidR="1F5D4DCB" w:rsidRPr="74B9ADDB">
        <w:rPr>
          <w:rFonts w:eastAsia="Garamond" w:cs="Garamond"/>
          <w:szCs w:val="24"/>
        </w:rPr>
        <w:t xml:space="preserve"> Pending.</w:t>
      </w:r>
      <w:bookmarkStart w:id="65" w:name="_Hlk40204562"/>
      <w:bookmarkStart w:id="66" w:name="_Hlk40204675"/>
      <w:bookmarkEnd w:id="64"/>
      <w:bookmarkEnd w:id="65"/>
      <w:bookmarkEnd w:id="66"/>
    </w:p>
    <w:p w14:paraId="11AAEC5A" w14:textId="757F7B07" w:rsidR="000741FB" w:rsidRPr="006C543F" w:rsidRDefault="000741FB" w:rsidP="006C543F">
      <w:r w:rsidRPr="47E6F01D">
        <w:rPr>
          <w:b/>
          <w:bCs/>
        </w:rPr>
        <w:t>SCE Appeal of Twentynine Palms Citation (K.18-03-008) (ALJ Kim) (SED Advocacy):</w:t>
      </w:r>
      <w:r>
        <w:t xml:space="preserve"> </w:t>
      </w:r>
      <w:r w:rsidR="00E621D9">
        <w:t>ESRB investigated an incident that occurred on August 1, 2015</w:t>
      </w:r>
      <w:r w:rsidR="00D64BE6">
        <w:t xml:space="preserve"> in Twentynine Palms.</w:t>
      </w:r>
      <w:r>
        <w:t xml:space="preserve"> On February 12, 2018, SED issued a $300,000 citation to SCE for violations related to the incident. SCE appealed the citation on March 14, 2018. On October 3, 2018, SED issued an $8,000,000 amended citation that replaced the $300,000 citation. The amended citation was the result of new violations of GO 95 that SED discovered. Hearings were held in December 2018, February 2019, and March 2019. Briefs and reply briefs were filed in April 2019. Pending.</w:t>
      </w:r>
    </w:p>
    <w:p w14:paraId="41BA780D" w14:textId="132B670D" w:rsidR="00052131" w:rsidRPr="003742A3" w:rsidRDefault="000741FB" w:rsidP="18AF3A3E">
      <w:pPr>
        <w:rPr>
          <w:rFonts w:eastAsia="Garamond" w:cs="Garamond"/>
        </w:rPr>
      </w:pPr>
      <w:r w:rsidRPr="18AF3A3E">
        <w:rPr>
          <w:b/>
          <w:bCs/>
        </w:rPr>
        <w:t xml:space="preserve">Creation of a Shared Database or Statewide Census of Utility Poles and Conduit (I.17-06-027); Communications Provider Access to Poles (R.17-06-028) (Commissioner Batjer/ALJ Mason) (SED </w:t>
      </w:r>
      <w:r w:rsidR="599203B4" w:rsidRPr="18AF3A3E">
        <w:rPr>
          <w:b/>
          <w:bCs/>
        </w:rPr>
        <w:t>Advocacy</w:t>
      </w:r>
      <w:r w:rsidRPr="18AF3A3E">
        <w:rPr>
          <w:b/>
          <w:bCs/>
        </w:rPr>
        <w:t>):</w:t>
      </w:r>
      <w:r>
        <w:t xml:space="preserve">  On January 22 and 23, 2018,</w:t>
      </w:r>
      <w:r w:rsidR="007B6E6F">
        <w:t xml:space="preserve"> </w:t>
      </w:r>
      <w:r w:rsidR="00AC1F3C">
        <w:t>an</w:t>
      </w:r>
      <w:r>
        <w:t xml:space="preserve"> industry group of pole-owners and pole-tenants hosted an informal workshop to discuss a phased approach and path forward regarding access to pole data, attachment data, and conduit data</w:t>
      </w:r>
      <w:r w:rsidR="004A5E32">
        <w:t>.</w:t>
      </w:r>
      <w:r>
        <w:t xml:space="preserve"> ESRB attended and participated in the workshop. The industry group issued a workshop report on February 28, 2019. On June 4, 2019, ALJ Mason issued a ruling approving parties’ recommendation to create working groups to develop requirements for Tracks 1, 2, and 3.</w:t>
      </w:r>
      <w:r w:rsidR="75E9F72C">
        <w:t xml:space="preserve">  </w:t>
      </w:r>
      <w:r w:rsidR="3E799B96" w:rsidRPr="18AF3A3E">
        <w:rPr>
          <w:rFonts w:ascii="Calibri" w:eastAsia="Calibri" w:hAnsi="Calibri" w:cs="Calibri"/>
          <w:sz w:val="22"/>
        </w:rPr>
        <w:t xml:space="preserve"> </w:t>
      </w:r>
      <w:r w:rsidR="3E799B96" w:rsidRPr="18AF3A3E">
        <w:rPr>
          <w:rFonts w:eastAsia="Garamond" w:cs="Garamond"/>
        </w:rPr>
        <w:t>SCE and Frontier submitted Track 1 workplans</w:t>
      </w:r>
      <w:r w:rsidR="00161F3E" w:rsidRPr="18AF3A3E">
        <w:rPr>
          <w:rFonts w:eastAsia="Garamond" w:cs="Garamond"/>
        </w:rPr>
        <w:t xml:space="preserve"> on</w:t>
      </w:r>
      <w:r w:rsidR="3E799B96" w:rsidRPr="18AF3A3E">
        <w:rPr>
          <w:rFonts w:eastAsia="Garamond" w:cs="Garamond"/>
        </w:rPr>
        <w:t xml:space="preserve"> September 14</w:t>
      </w:r>
      <w:r w:rsidR="00C767FD" w:rsidRPr="18AF3A3E">
        <w:rPr>
          <w:rFonts w:eastAsia="Garamond" w:cs="Garamond"/>
        </w:rPr>
        <w:t>,</w:t>
      </w:r>
      <w:r w:rsidR="3E799B96" w:rsidRPr="18AF3A3E">
        <w:rPr>
          <w:rFonts w:eastAsia="Garamond" w:cs="Garamond"/>
        </w:rPr>
        <w:t xml:space="preserve"> 2020.   The </w:t>
      </w:r>
      <w:r w:rsidR="003B095C" w:rsidRPr="18AF3A3E">
        <w:rPr>
          <w:rFonts w:eastAsia="Garamond" w:cs="Garamond"/>
        </w:rPr>
        <w:t>work</w:t>
      </w:r>
      <w:r w:rsidR="3E799B96" w:rsidRPr="18AF3A3E">
        <w:rPr>
          <w:rFonts w:eastAsia="Garamond" w:cs="Garamond"/>
        </w:rPr>
        <w:t>plans reflect measures to enable pole database users to access information on 10 pole datapoints</w:t>
      </w:r>
      <w:r w:rsidR="75E9F72C" w:rsidRPr="18AF3A3E">
        <w:rPr>
          <w:rFonts w:eastAsia="Garamond" w:cs="Garamond"/>
        </w:rPr>
        <w:t xml:space="preserve">. </w:t>
      </w:r>
      <w:r w:rsidR="756B44BA" w:rsidRPr="18AF3A3E">
        <w:rPr>
          <w:rFonts w:eastAsia="Garamond" w:cs="Garamond"/>
        </w:rPr>
        <w:t xml:space="preserve"> </w:t>
      </w:r>
      <w:r w:rsidR="51AE2D83" w:rsidRPr="00273C3D">
        <w:rPr>
          <w:rFonts w:eastAsia="Garamond" w:cs="Garamond"/>
        </w:rPr>
        <w:t>On October 8,</w:t>
      </w:r>
      <w:r w:rsidR="003A11DD">
        <w:rPr>
          <w:rFonts w:eastAsia="Garamond" w:cs="Garamond"/>
        </w:rPr>
        <w:t xml:space="preserve"> 2020</w:t>
      </w:r>
      <w:r w:rsidR="51AE2D83" w:rsidRPr="00273C3D">
        <w:rPr>
          <w:rFonts w:eastAsia="Garamond" w:cs="Garamond"/>
        </w:rPr>
        <w:t xml:space="preserve"> ALJ Mason filed a Track 2 ruling in the Pole OII/OIR </w:t>
      </w:r>
      <w:r w:rsidR="4805E189" w:rsidRPr="18AF3A3E">
        <w:rPr>
          <w:rFonts w:eastAsia="Garamond" w:cs="Garamond"/>
        </w:rPr>
        <w:t xml:space="preserve">requesting party input to a series of questions on </w:t>
      </w:r>
      <w:r w:rsidR="2E1DAC89" w:rsidRPr="18AF3A3E">
        <w:rPr>
          <w:rFonts w:eastAsia="Garamond" w:cs="Garamond"/>
        </w:rPr>
        <w:t>additional requirements for pole</w:t>
      </w:r>
      <w:r w:rsidR="4805E189" w:rsidRPr="18AF3A3E">
        <w:rPr>
          <w:rFonts w:eastAsia="Garamond" w:cs="Garamond"/>
        </w:rPr>
        <w:t xml:space="preserve"> </w:t>
      </w:r>
      <w:r w:rsidR="51AE2D83" w:rsidRPr="00596A36">
        <w:rPr>
          <w:rFonts w:eastAsia="Garamond" w:cs="Garamond"/>
        </w:rPr>
        <w:t>attachment</w:t>
      </w:r>
      <w:r w:rsidR="7B6B9612" w:rsidRPr="18AF3A3E">
        <w:rPr>
          <w:rFonts w:eastAsia="Garamond" w:cs="Garamond"/>
        </w:rPr>
        <w:t xml:space="preserve">s </w:t>
      </w:r>
      <w:r w:rsidR="5B6D2801" w:rsidRPr="18AF3A3E">
        <w:rPr>
          <w:rFonts w:eastAsia="Garamond" w:cs="Garamond"/>
        </w:rPr>
        <w:t>that would be used to develop a Track 2 decision for the proceeding</w:t>
      </w:r>
      <w:r w:rsidR="51AE2D83" w:rsidRPr="00596A36">
        <w:rPr>
          <w:rFonts w:eastAsia="Garamond" w:cs="Garamond"/>
        </w:rPr>
        <w:t xml:space="preserve">. ESRB </w:t>
      </w:r>
      <w:r w:rsidR="746E0370" w:rsidRPr="18AF3A3E">
        <w:rPr>
          <w:rFonts w:eastAsia="Garamond" w:cs="Garamond"/>
        </w:rPr>
        <w:t>has prepared</w:t>
      </w:r>
      <w:r w:rsidR="51AE2D83" w:rsidRPr="00596A36">
        <w:rPr>
          <w:rFonts w:eastAsia="Garamond" w:cs="Garamond"/>
        </w:rPr>
        <w:t xml:space="preserve"> </w:t>
      </w:r>
      <w:r w:rsidR="53CAAA0D" w:rsidRPr="18AF3A3E">
        <w:rPr>
          <w:rFonts w:eastAsia="Garamond" w:cs="Garamond"/>
        </w:rPr>
        <w:t xml:space="preserve">opening </w:t>
      </w:r>
      <w:r w:rsidR="51AE2D83" w:rsidRPr="00273C3D">
        <w:rPr>
          <w:rFonts w:eastAsia="Garamond" w:cs="Garamond"/>
        </w:rPr>
        <w:t xml:space="preserve">comments and </w:t>
      </w:r>
      <w:r w:rsidR="30992314" w:rsidRPr="18AF3A3E">
        <w:rPr>
          <w:rFonts w:eastAsia="Garamond" w:cs="Garamond"/>
        </w:rPr>
        <w:t>will</w:t>
      </w:r>
      <w:r w:rsidR="51AE2D83" w:rsidRPr="00273C3D">
        <w:rPr>
          <w:rFonts w:eastAsia="Garamond" w:cs="Garamond"/>
        </w:rPr>
        <w:t xml:space="preserve"> file </w:t>
      </w:r>
      <w:r w:rsidR="53BA4BAB" w:rsidRPr="18AF3A3E">
        <w:rPr>
          <w:rFonts w:eastAsia="Garamond" w:cs="Garamond"/>
        </w:rPr>
        <w:t xml:space="preserve">on the </w:t>
      </w:r>
      <w:r w:rsidR="51AE2D83" w:rsidRPr="00273C3D">
        <w:rPr>
          <w:rFonts w:eastAsia="Garamond" w:cs="Garamond"/>
        </w:rPr>
        <w:t>November 9</w:t>
      </w:r>
      <w:r w:rsidR="00482C39">
        <w:rPr>
          <w:rFonts w:eastAsia="Garamond" w:cs="Garamond"/>
        </w:rPr>
        <w:t>, 2020</w:t>
      </w:r>
      <w:r w:rsidR="51AE2D83" w:rsidRPr="00273C3D">
        <w:rPr>
          <w:rFonts w:eastAsia="Garamond" w:cs="Garamond"/>
        </w:rPr>
        <w:t xml:space="preserve"> due date.</w:t>
      </w:r>
      <w:r w:rsidR="51AE2D83" w:rsidRPr="18AF3A3E">
        <w:rPr>
          <w:rFonts w:eastAsia="Garamond" w:cs="Garamond"/>
        </w:rPr>
        <w:t xml:space="preserve"> </w:t>
      </w:r>
      <w:r w:rsidR="77DECC53" w:rsidRPr="18AF3A3E">
        <w:rPr>
          <w:rFonts w:eastAsia="Garamond" w:cs="Garamond"/>
        </w:rPr>
        <w:t>Pending.</w:t>
      </w:r>
      <w:bookmarkStart w:id="67" w:name="_Hlk34323121"/>
      <w:bookmarkEnd w:id="67"/>
    </w:p>
    <w:p w14:paraId="7A45C43B" w14:textId="0C879EF3" w:rsidR="000741FB" w:rsidRDefault="000741FB" w:rsidP="74B9ADDB">
      <w:bookmarkStart w:id="68" w:name="_Hlk529023141"/>
      <w:r w:rsidRPr="18AF3A3E">
        <w:rPr>
          <w:b/>
          <w:bCs/>
        </w:rPr>
        <w:t>Physical Security of the Electric System and Disaster and Emergency Preparedness (R.15-06-009) (Commissioner Rechtschaffen/ALJ Kelly) (SED Advocacy):</w:t>
      </w:r>
      <w:r>
        <w:t xml:space="preserve"> On May 22, 2015, the Commission issued an Order Instituting Rulemaking regarding policies and regulation of physical security for electric supply facilities and to establish standards for disaster and emergency preparedness plans. This rulemaking was conducted in phases. Phase I addressed physical security for electric supply systems and was resolved by D.19-01-018. Phase II addresses disaster and emergency preparedness plans for electrical corporations and regulated water companies.</w:t>
      </w:r>
      <w:r w:rsidRPr="18AF3A3E">
        <w:rPr>
          <w:sz w:val="23"/>
          <w:szCs w:val="23"/>
        </w:rPr>
        <w:t xml:space="preserve"> </w:t>
      </w:r>
      <w:r w:rsidR="78E1CC18">
        <w:t xml:space="preserve"> </w:t>
      </w:r>
      <w:r w:rsidR="78E1CC18" w:rsidRPr="18AF3A3E">
        <w:rPr>
          <w:rFonts w:eastAsia="Garamond" w:cs="Garamond"/>
        </w:rPr>
        <w:t>On July 1, 2020, the Safety Policy Division (SPD) submitted a letter dated June 26, 2020 from the Deputy Executive Director of Safety &amp; Enforcement and Safety Policy enacting the Interim Trial Procedures (ITP) to allow Commission staff to receive and review the major utility deliverables required by D.19-01-018.  On July 10, 2020, the six IOUs submitted their Preliminary Assessments under the ITP process to SPD</w:t>
      </w:r>
      <w:r w:rsidR="04F40AA1" w:rsidRPr="18AF3A3E">
        <w:rPr>
          <w:rFonts w:eastAsia="Garamond" w:cs="Garamond"/>
        </w:rPr>
        <w:t xml:space="preserve"> and</w:t>
      </w:r>
      <w:r w:rsidR="2D649140" w:rsidRPr="18AF3A3E">
        <w:rPr>
          <w:rFonts w:eastAsia="Garamond" w:cs="Garamond"/>
        </w:rPr>
        <w:t xml:space="preserve"> </w:t>
      </w:r>
      <w:r w:rsidR="00EC04C2" w:rsidRPr="18AF3A3E">
        <w:rPr>
          <w:rFonts w:eastAsia="Garamond" w:cs="Garamond"/>
        </w:rPr>
        <w:t>subsequently presented</w:t>
      </w:r>
      <w:r w:rsidR="78E1CC18" w:rsidRPr="18AF3A3E">
        <w:rPr>
          <w:rFonts w:eastAsia="Garamond" w:cs="Garamond"/>
        </w:rPr>
        <w:t xml:space="preserve"> </w:t>
      </w:r>
      <w:r w:rsidR="512DFF14" w:rsidRPr="18AF3A3E">
        <w:rPr>
          <w:rFonts w:eastAsia="Garamond" w:cs="Garamond"/>
        </w:rPr>
        <w:t>their</w:t>
      </w:r>
      <w:r w:rsidR="78E1CC18" w:rsidRPr="18AF3A3E">
        <w:rPr>
          <w:rFonts w:eastAsia="Garamond" w:cs="Garamond"/>
        </w:rPr>
        <w:t xml:space="preserve"> briefings regarding their Preliminary Assessment submissions to SPD and SED staff. </w:t>
      </w:r>
      <w:r w:rsidR="6EEF5D05" w:rsidRPr="18AF3A3E">
        <w:rPr>
          <w:rFonts w:eastAsia="Garamond" w:cs="Garamond"/>
        </w:rPr>
        <w:t>Three IOUs submitted supplemental filings and met with SED and SPD</w:t>
      </w:r>
      <w:r w:rsidR="2D25798D" w:rsidRPr="18AF3A3E">
        <w:rPr>
          <w:rFonts w:eastAsia="Garamond" w:cs="Garamond"/>
        </w:rPr>
        <w:t xml:space="preserve"> to discuss their filings</w:t>
      </w:r>
      <w:r w:rsidR="6EEF5D05" w:rsidRPr="18AF3A3E">
        <w:rPr>
          <w:rFonts w:eastAsia="Garamond" w:cs="Garamond"/>
        </w:rPr>
        <w:t xml:space="preserve">.  </w:t>
      </w:r>
      <w:r w:rsidR="71ACC300" w:rsidRPr="18AF3A3E">
        <w:rPr>
          <w:rFonts w:eastAsia="Garamond" w:cs="Garamond"/>
        </w:rPr>
        <w:t xml:space="preserve">On October 26, 2020, </w:t>
      </w:r>
      <w:r w:rsidR="6EEF5D05" w:rsidRPr="18AF3A3E">
        <w:rPr>
          <w:rFonts w:eastAsia="Garamond" w:cs="Garamond"/>
        </w:rPr>
        <w:t xml:space="preserve">SPD </w:t>
      </w:r>
      <w:r w:rsidR="3629DFC2" w:rsidRPr="18AF3A3E">
        <w:rPr>
          <w:rFonts w:eastAsia="Garamond" w:cs="Garamond"/>
        </w:rPr>
        <w:t xml:space="preserve">and SED </w:t>
      </w:r>
      <w:r w:rsidR="6EEF5D05" w:rsidRPr="18AF3A3E">
        <w:rPr>
          <w:rFonts w:eastAsia="Garamond" w:cs="Garamond"/>
        </w:rPr>
        <w:t xml:space="preserve">submitted letters to all six IOUs confirming that the submissions meet the requirements of </w:t>
      </w:r>
      <w:r w:rsidR="69060EA9" w:rsidRPr="18AF3A3E">
        <w:rPr>
          <w:rFonts w:eastAsia="Garamond" w:cs="Garamond"/>
        </w:rPr>
        <w:t>O</w:t>
      </w:r>
      <w:r w:rsidR="6EEF5D05" w:rsidRPr="18AF3A3E">
        <w:rPr>
          <w:rFonts w:eastAsia="Garamond" w:cs="Garamond"/>
        </w:rPr>
        <w:t xml:space="preserve">rdering </w:t>
      </w:r>
      <w:r w:rsidR="5C579540" w:rsidRPr="18AF3A3E">
        <w:rPr>
          <w:rFonts w:eastAsia="Garamond" w:cs="Garamond"/>
        </w:rPr>
        <w:t>P</w:t>
      </w:r>
      <w:r w:rsidR="6EEF5D05" w:rsidRPr="18AF3A3E">
        <w:rPr>
          <w:rFonts w:eastAsia="Garamond" w:cs="Garamond"/>
        </w:rPr>
        <w:t xml:space="preserve">aragraph 1 from D.19-01-018.  However, some IOUs will submit revised thresholds for assumptions </w:t>
      </w:r>
      <w:r w:rsidR="33FAD89B" w:rsidRPr="18AF3A3E">
        <w:rPr>
          <w:rFonts w:eastAsia="Garamond" w:cs="Garamond"/>
        </w:rPr>
        <w:t>of</w:t>
      </w:r>
      <w:r w:rsidR="6EEF5D05" w:rsidRPr="18AF3A3E">
        <w:rPr>
          <w:rFonts w:eastAsia="Garamond" w:cs="Garamond"/>
        </w:rPr>
        <w:t xml:space="preserve"> essential customers. For the next phase of the implementation of the IOU</w:t>
      </w:r>
      <w:r w:rsidR="140136EF" w:rsidRPr="18AF3A3E">
        <w:rPr>
          <w:rFonts w:eastAsia="Garamond" w:cs="Garamond"/>
        </w:rPr>
        <w:t>s</w:t>
      </w:r>
      <w:r w:rsidR="6EEF5D05" w:rsidRPr="18AF3A3E">
        <w:rPr>
          <w:rFonts w:eastAsia="Garamond" w:cs="Garamond"/>
        </w:rPr>
        <w:t xml:space="preserve">’ Physical Security plans, </w:t>
      </w:r>
      <w:r w:rsidR="083ED033" w:rsidRPr="18AF3A3E">
        <w:rPr>
          <w:rFonts w:eastAsia="Garamond" w:cs="Garamond"/>
        </w:rPr>
        <w:t xml:space="preserve">the utilities are </w:t>
      </w:r>
      <w:r w:rsidR="6EEF5D05" w:rsidRPr="18AF3A3E">
        <w:rPr>
          <w:rFonts w:eastAsia="Garamond" w:cs="Garamond"/>
        </w:rPr>
        <w:t>expected t</w:t>
      </w:r>
      <w:r w:rsidR="18D56528" w:rsidRPr="18AF3A3E">
        <w:rPr>
          <w:rFonts w:eastAsia="Garamond" w:cs="Garamond"/>
        </w:rPr>
        <w:t>o</w:t>
      </w:r>
      <w:r w:rsidR="6EEF5D05" w:rsidRPr="18AF3A3E">
        <w:rPr>
          <w:rFonts w:eastAsia="Garamond" w:cs="Garamond"/>
        </w:rPr>
        <w:t xml:space="preserve"> hire an unaffiliated third-party expert to evaluate </w:t>
      </w:r>
      <w:r w:rsidR="00350FA6">
        <w:rPr>
          <w:rFonts w:eastAsia="Garamond" w:cs="Garamond"/>
        </w:rPr>
        <w:t>their</w:t>
      </w:r>
      <w:r w:rsidR="6EEF5D05" w:rsidRPr="18AF3A3E">
        <w:rPr>
          <w:rFonts w:eastAsia="Garamond" w:cs="Garamond"/>
        </w:rPr>
        <w:t xml:space="preserve"> Identification and </w:t>
      </w:r>
      <w:r w:rsidR="00D45AF2" w:rsidRPr="18AF3A3E">
        <w:rPr>
          <w:rFonts w:eastAsia="Garamond" w:cs="Garamond"/>
        </w:rPr>
        <w:t>Assessment evaluations</w:t>
      </w:r>
      <w:r w:rsidR="6EEF5D05" w:rsidRPr="18AF3A3E">
        <w:rPr>
          <w:rFonts w:eastAsia="Garamond" w:cs="Garamond"/>
        </w:rPr>
        <w:t xml:space="preserve"> and Mitigation Plans</w:t>
      </w:r>
      <w:r w:rsidR="67C6BFB6" w:rsidRPr="18AF3A3E">
        <w:rPr>
          <w:rFonts w:eastAsia="Garamond" w:cs="Garamond"/>
        </w:rPr>
        <w:t xml:space="preserve">. </w:t>
      </w:r>
      <w:r>
        <w:t>Pending.</w:t>
      </w:r>
      <w:bookmarkStart w:id="69" w:name="_Hlk40205571"/>
      <w:bookmarkEnd w:id="68"/>
      <w:bookmarkEnd w:id="69"/>
    </w:p>
    <w:p w14:paraId="61860437" w14:textId="2974F21C" w:rsidR="000741FB" w:rsidRPr="001B12CB" w:rsidRDefault="000741FB" w:rsidP="006C543F">
      <w:pPr>
        <w:pStyle w:val="Heading3"/>
      </w:pPr>
      <w:bookmarkStart w:id="70" w:name="_Hlk26626804"/>
      <w:bookmarkStart w:id="71" w:name="_Toc58401346"/>
      <w:bookmarkEnd w:id="70"/>
      <w:r w:rsidRPr="001B12CB">
        <w:t>Other Activities</w:t>
      </w:r>
      <w:bookmarkEnd w:id="71"/>
    </w:p>
    <w:p w14:paraId="6D5CAAB0" w14:textId="37873481" w:rsidR="000741FB" w:rsidRPr="00F55724" w:rsidRDefault="000741FB" w:rsidP="000741FB">
      <w:pPr>
        <w:rPr>
          <w:b/>
          <w:bCs/>
        </w:rPr>
      </w:pPr>
      <w:r w:rsidRPr="74B9ADDB">
        <w:rPr>
          <w:b/>
          <w:bCs/>
        </w:rPr>
        <w:t xml:space="preserve">2019 Wildfires: </w:t>
      </w:r>
      <w:r>
        <w:t xml:space="preserve">In October 2019, California experienced devastating wildfires. In Northern California, the Kincade Fire burned more than 76,800 acres. The fire destroyed and damaged about 260 structures and caused injuries to two firefighters. In Southern California, the Saddle Ridge Fire, the Easy Fire, and the Maria Fire, burned more than 17,000 acres.  The fires destroyed and damaged many structures and caused one fatality and 8 injuries to firefighters. SED is currently working closely with CAL FIRE and other agencies to investigate PG&amp;E, SCE, and </w:t>
      </w:r>
      <w:r w:rsidR="00AF621A">
        <w:t xml:space="preserve">the </w:t>
      </w:r>
      <w:r>
        <w:t xml:space="preserve">communications companies’ compliance with the Commission’s safety rules.  </w:t>
      </w:r>
    </w:p>
    <w:p w14:paraId="4DBAF779" w14:textId="286B2112" w:rsidR="3DD7C177" w:rsidRDefault="3DD7C177" w:rsidP="18AF3A3E">
      <w:pPr>
        <w:rPr>
          <w:rFonts w:eastAsia="Garamond" w:cs="Garamond"/>
          <w:color w:val="D13438"/>
        </w:rPr>
      </w:pPr>
      <w:r w:rsidRPr="004D0B8F">
        <w:rPr>
          <w:rFonts w:eastAsia="Garamond" w:cs="Garamond"/>
          <w:b/>
          <w:bCs/>
        </w:rPr>
        <w:t>2</w:t>
      </w:r>
      <w:r w:rsidRPr="005A30ED">
        <w:rPr>
          <w:rFonts w:eastAsia="Garamond" w:cs="Garamond"/>
          <w:b/>
          <w:bCs/>
        </w:rPr>
        <w:t>020 Wildfires:</w:t>
      </w:r>
      <w:r w:rsidRPr="18AF3A3E">
        <w:rPr>
          <w:rFonts w:eastAsia="Garamond" w:cs="Garamond"/>
          <w:color w:val="D13438"/>
        </w:rPr>
        <w:t xml:space="preserve"> </w:t>
      </w:r>
      <w:r w:rsidRPr="005A30ED">
        <w:rPr>
          <w:rFonts w:eastAsia="Garamond" w:cs="Garamond"/>
        </w:rPr>
        <w:t>In 2020, California again experienced devastating wildfires. In Southern California</w:t>
      </w:r>
      <w:r w:rsidR="14A11501" w:rsidRPr="18AF3A3E">
        <w:rPr>
          <w:rFonts w:eastAsia="Garamond" w:cs="Garamond"/>
        </w:rPr>
        <w:t>, t</w:t>
      </w:r>
      <w:r w:rsidRPr="00AF7F69">
        <w:rPr>
          <w:rFonts w:eastAsia="Garamond" w:cs="Garamond"/>
        </w:rPr>
        <w:t xml:space="preserve">he Bobcat Fire which started in September 2020 burned about 116,000 acres, damaged 47 structures, destroyed 170 structures, and resulted in 6 injuries. The Silverado Fire which started in October 2020 near Santiago Canyon Road and Silverado Canyon Road in the unincorporated area of Orange County, burned approximately 14,000 </w:t>
      </w:r>
      <w:r w:rsidR="00032988">
        <w:rPr>
          <w:rFonts w:eastAsia="Garamond" w:cs="Garamond"/>
        </w:rPr>
        <w:t xml:space="preserve">acres </w:t>
      </w:r>
      <w:r w:rsidRPr="00AF7F69">
        <w:rPr>
          <w:rFonts w:eastAsia="Garamond" w:cs="Garamond"/>
        </w:rPr>
        <w:t xml:space="preserve">and injured two firefighters. </w:t>
      </w:r>
      <w:r w:rsidR="007909AB" w:rsidRPr="00AF7F69">
        <w:rPr>
          <w:rFonts w:eastAsia="Garamond" w:cs="Garamond"/>
        </w:rPr>
        <w:t xml:space="preserve">ESRB </w:t>
      </w:r>
      <w:r w:rsidR="007909AB" w:rsidRPr="18AF3A3E">
        <w:rPr>
          <w:rFonts w:eastAsia="Garamond" w:cs="Garamond"/>
        </w:rPr>
        <w:t>and WSEB are</w:t>
      </w:r>
      <w:r w:rsidR="007909AB" w:rsidRPr="00AF7F69">
        <w:rPr>
          <w:rFonts w:eastAsia="Garamond" w:cs="Garamond"/>
        </w:rPr>
        <w:t xml:space="preserve"> working closely with CAL FIRE, the United States Forest Service (USFS) and other agencies to investigate SCE, and communications companies’ compliance with the Commission’s safety rules</w:t>
      </w:r>
      <w:r w:rsidR="007909AB" w:rsidRPr="18AF3A3E">
        <w:rPr>
          <w:rFonts w:eastAsia="Garamond" w:cs="Garamond"/>
        </w:rPr>
        <w:t>.</w:t>
      </w:r>
    </w:p>
    <w:p w14:paraId="0B4E5D37" w14:textId="16F1BC22" w:rsidR="00A36441" w:rsidRPr="00687933" w:rsidRDefault="11313991" w:rsidP="18AF3A3E">
      <w:pPr>
        <w:rPr>
          <w:rFonts w:eastAsia="Garamond" w:cs="Garamond"/>
          <w:color w:val="D13438"/>
        </w:rPr>
      </w:pPr>
      <w:r w:rsidRPr="18AF3A3E">
        <w:rPr>
          <w:rFonts w:eastAsia="Garamond" w:cs="Garamond"/>
        </w:rPr>
        <w:t>The Slater Fire</w:t>
      </w:r>
      <w:r w:rsidR="2C473FDF" w:rsidRPr="18AF3A3E">
        <w:rPr>
          <w:rFonts w:eastAsia="Garamond" w:cs="Garamond"/>
        </w:rPr>
        <w:t xml:space="preserve"> started on September 9, 2020</w:t>
      </w:r>
      <w:r w:rsidRPr="18AF3A3E">
        <w:rPr>
          <w:rFonts w:eastAsia="Garamond" w:cs="Garamond"/>
        </w:rPr>
        <w:t xml:space="preserve"> in Butte County near the town of Happy Camp</w:t>
      </w:r>
      <w:r w:rsidR="2726165A" w:rsidRPr="18AF3A3E">
        <w:rPr>
          <w:rFonts w:eastAsia="Garamond" w:cs="Garamond"/>
        </w:rPr>
        <w:t>. The fire killed two people</w:t>
      </w:r>
      <w:r w:rsidR="007B1CBD">
        <w:rPr>
          <w:rFonts w:eastAsia="Garamond" w:cs="Garamond"/>
        </w:rPr>
        <w:t xml:space="preserve"> and</w:t>
      </w:r>
      <w:r w:rsidR="2726165A" w:rsidRPr="18AF3A3E">
        <w:rPr>
          <w:rFonts w:eastAsia="Garamond" w:cs="Garamond"/>
        </w:rPr>
        <w:t xml:space="preserve"> injured three</w:t>
      </w:r>
      <w:r w:rsidR="00E876C2">
        <w:rPr>
          <w:rFonts w:eastAsia="Garamond" w:cs="Garamond"/>
        </w:rPr>
        <w:t>. It</w:t>
      </w:r>
      <w:r w:rsidR="07F0820F" w:rsidRPr="18AF3A3E">
        <w:rPr>
          <w:rFonts w:eastAsia="Garamond" w:cs="Garamond"/>
        </w:rPr>
        <w:t xml:space="preserve"> </w:t>
      </w:r>
      <w:r w:rsidR="0066464E" w:rsidRPr="18AF3A3E">
        <w:rPr>
          <w:rFonts w:eastAsia="Garamond" w:cs="Garamond"/>
        </w:rPr>
        <w:t>burn</w:t>
      </w:r>
      <w:r w:rsidR="00233523">
        <w:rPr>
          <w:rFonts w:eastAsia="Garamond" w:cs="Garamond"/>
        </w:rPr>
        <w:t>ed</w:t>
      </w:r>
      <w:r w:rsidR="07F0820F" w:rsidRPr="18AF3A3E">
        <w:rPr>
          <w:rFonts w:eastAsia="Garamond" w:cs="Garamond"/>
        </w:rPr>
        <w:t xml:space="preserve"> approximately 156,000 acres</w:t>
      </w:r>
      <w:r w:rsidR="00187DA4">
        <w:rPr>
          <w:rFonts w:eastAsia="Garamond" w:cs="Garamond"/>
        </w:rPr>
        <w:t xml:space="preserve"> and</w:t>
      </w:r>
      <w:r w:rsidR="07F0820F" w:rsidRPr="18AF3A3E">
        <w:rPr>
          <w:rFonts w:eastAsia="Garamond" w:cs="Garamond"/>
        </w:rPr>
        <w:t xml:space="preserve"> damage</w:t>
      </w:r>
      <w:r w:rsidR="00187DA4">
        <w:rPr>
          <w:rFonts w:eastAsia="Garamond" w:cs="Garamond"/>
        </w:rPr>
        <w:t>d</w:t>
      </w:r>
      <w:r w:rsidR="07F0820F" w:rsidRPr="18AF3A3E">
        <w:rPr>
          <w:rFonts w:eastAsia="Garamond" w:cs="Garamond"/>
        </w:rPr>
        <w:t xml:space="preserve"> 197 residences and 243 structures. </w:t>
      </w:r>
      <w:r w:rsidR="19532767" w:rsidRPr="18AF3A3E">
        <w:rPr>
          <w:rFonts w:eastAsia="Garamond" w:cs="Garamond"/>
        </w:rPr>
        <w:t xml:space="preserve">In Northern California, the Zogg Fire, which began on September 27, 2020 in Igo, Shasta County resulted in four fatalities, one injury, 27 damaged structures and 204 destroyed structures. </w:t>
      </w:r>
    </w:p>
    <w:p w14:paraId="170D13AE" w14:textId="16D14CC6" w:rsidR="000741FB" w:rsidRPr="00F55724" w:rsidRDefault="000741FB" w:rsidP="000741FB">
      <w:pPr>
        <w:rPr>
          <w:b/>
          <w:bCs/>
        </w:rPr>
      </w:pPr>
      <w:r w:rsidRPr="00F55724">
        <w:rPr>
          <w:b/>
          <w:bCs/>
        </w:rPr>
        <w:t>Compliance with D.17-09-024 regarding Long Beach Incident</w:t>
      </w:r>
      <w:r w:rsidRPr="000D2298">
        <w:t xml:space="preserve">: D.17-09-024 adopted a Settlement Agreement between </w:t>
      </w:r>
      <w:r w:rsidR="00AF621A">
        <w:t>SCE</w:t>
      </w:r>
      <w:r w:rsidRPr="000D2298">
        <w:t xml:space="preserve"> and SED. Under the settlement, SCE paid a $4 million penalty and will spend $11 million on various system enhancement projects in Long Beach intended to reduce the chance of public injury, reduce the risk of future system failures, and improve the utility’s operational awareness and network maintenance. ESRB is monitoring SCE’s work to ensure compliance with the settlement agreement.</w:t>
      </w:r>
    </w:p>
    <w:p w14:paraId="6BB8C9DB" w14:textId="05B56AE3" w:rsidR="000741FB" w:rsidRDefault="000741FB" w:rsidP="74B9ADDB">
      <w:r w:rsidRPr="74B9ADDB">
        <w:rPr>
          <w:b/>
          <w:bCs/>
        </w:rPr>
        <w:t>Transmission Maintenance Coordination Committee (TMCC):</w:t>
      </w:r>
      <w:r>
        <w:t xml:space="preserve">  TMCC is an advisory committee to help the California Independent System Operator (CAISO) develop, review, and revise Transmission Maintenance Standards. TMCC holds quarterly meetings to discuss recent improvements in construction and maintenance processes and techniques, and industry best practices. ESRB is a member of TMCC and attends meetings.  </w:t>
      </w:r>
      <w:r w:rsidR="02821BC9" w:rsidRPr="74B9ADDB">
        <w:rPr>
          <w:rFonts w:eastAsia="Garamond" w:cs="Garamond"/>
          <w:szCs w:val="24"/>
        </w:rPr>
        <w:t xml:space="preserve">On October 15, 2020, ESRB attended the CAISO TMCC </w:t>
      </w:r>
      <w:r w:rsidR="00C6108C" w:rsidRPr="74B9ADDB">
        <w:rPr>
          <w:rFonts w:eastAsia="Garamond" w:cs="Garamond"/>
          <w:szCs w:val="24"/>
        </w:rPr>
        <w:t>WebEx</w:t>
      </w:r>
      <w:r w:rsidR="02821BC9" w:rsidRPr="74B9ADDB">
        <w:rPr>
          <w:rFonts w:eastAsia="Garamond" w:cs="Garamond"/>
          <w:szCs w:val="24"/>
        </w:rPr>
        <w:t xml:space="preserve"> meeting. The meeting addressed and discussed a) Western Area Power Administration Sierra Nevada Region (WAPA SNR) Wildfire Mitigation Plan Implementation presentation, b) COVID 19 and Wildfire impacts on transmission facility maintenance, c) Restricted Maintenance Operations notifications, and d) New business issues and future agenda items.</w:t>
      </w:r>
    </w:p>
    <w:p w14:paraId="78809E5D" w14:textId="6A988EAD" w:rsidR="007E6D80" w:rsidRDefault="007E6D80" w:rsidP="000741FB"/>
    <w:p w14:paraId="79A67EC7" w14:textId="597ED679" w:rsidR="0088228D" w:rsidRDefault="0088228D" w:rsidP="000741FB"/>
    <w:p w14:paraId="71F6C110" w14:textId="75763CED" w:rsidR="0088228D" w:rsidRDefault="0088228D" w:rsidP="000741FB"/>
    <w:p w14:paraId="540C33C0" w14:textId="6EFB04A6" w:rsidR="0088228D" w:rsidRDefault="0088228D" w:rsidP="000741FB"/>
    <w:p w14:paraId="2EEE4A3E" w14:textId="6497275D" w:rsidR="0088228D" w:rsidRDefault="0088228D" w:rsidP="000741FB"/>
    <w:p w14:paraId="15CE0ABB" w14:textId="6C9B84A6" w:rsidR="0088228D" w:rsidRDefault="0088228D" w:rsidP="000741FB"/>
    <w:p w14:paraId="253CCA52" w14:textId="7771D6C6" w:rsidR="0088228D" w:rsidRDefault="0088228D" w:rsidP="000741FB"/>
    <w:p w14:paraId="65495227" w14:textId="7D9B31D7" w:rsidR="0088228D" w:rsidRDefault="0088228D" w:rsidP="000741FB"/>
    <w:p w14:paraId="45D3FBB8" w14:textId="77777777" w:rsidR="0088228D" w:rsidRDefault="0088228D" w:rsidP="000741FB"/>
    <w:p w14:paraId="226FC644" w14:textId="77777777" w:rsidR="008563D1" w:rsidRDefault="008563D1" w:rsidP="000741FB"/>
    <w:p w14:paraId="242F5DBA" w14:textId="77777777" w:rsidR="008563D1" w:rsidRDefault="008563D1" w:rsidP="000741FB"/>
    <w:p w14:paraId="5D3B5C84" w14:textId="77777777" w:rsidR="008563D1" w:rsidRDefault="008563D1" w:rsidP="00D61B8A">
      <w:pPr>
        <w:pStyle w:val="Heading2"/>
      </w:pPr>
    </w:p>
    <w:p w14:paraId="79FFA491" w14:textId="77777777" w:rsidR="008563D1" w:rsidRDefault="008563D1" w:rsidP="00D61B8A">
      <w:pPr>
        <w:pStyle w:val="Heading2"/>
      </w:pPr>
    </w:p>
    <w:p w14:paraId="012554A0" w14:textId="77777777" w:rsidR="008563D1" w:rsidRDefault="008563D1" w:rsidP="00D61B8A">
      <w:pPr>
        <w:pStyle w:val="Heading2"/>
      </w:pPr>
    </w:p>
    <w:p w14:paraId="0B4F48EC" w14:textId="77777777" w:rsidR="008563D1" w:rsidRDefault="008563D1" w:rsidP="00D61B8A">
      <w:pPr>
        <w:pStyle w:val="Heading2"/>
      </w:pPr>
    </w:p>
    <w:p w14:paraId="78A5AC04" w14:textId="102C3739" w:rsidR="000741FB" w:rsidRPr="009C60CB" w:rsidRDefault="000741FB" w:rsidP="00D61B8A">
      <w:pPr>
        <w:pStyle w:val="Heading2"/>
        <w:rPr>
          <w:b/>
          <w:bCs/>
        </w:rPr>
      </w:pPr>
      <w:bookmarkStart w:id="72" w:name="_Toc58401347"/>
      <w:r w:rsidRPr="009C60CB">
        <w:rPr>
          <w:b/>
          <w:bCs/>
        </w:rPr>
        <w:t xml:space="preserve">Wildfire Safety </w:t>
      </w:r>
      <w:r w:rsidR="009F7BD6" w:rsidRPr="009C60CB">
        <w:rPr>
          <w:b/>
          <w:bCs/>
        </w:rPr>
        <w:t>and</w:t>
      </w:r>
      <w:r w:rsidRPr="009C60CB">
        <w:rPr>
          <w:b/>
          <w:bCs/>
        </w:rPr>
        <w:t xml:space="preserve"> Enforcement Branch (WSEB)</w:t>
      </w:r>
      <w:bookmarkEnd w:id="72"/>
    </w:p>
    <w:p w14:paraId="07237C07" w14:textId="40BC0F83" w:rsidR="00243C3D" w:rsidRDefault="000741FB" w:rsidP="00243C3D">
      <w:pPr>
        <w:spacing w:before="240"/>
      </w:pPr>
      <w:r>
        <w:t xml:space="preserve">SED’s WSEB is dedicated to the enforcement of public utility wildfire safety and Public Safety Power Shutoffs </w:t>
      </w:r>
      <w:r w:rsidR="005C0E17">
        <w:t xml:space="preserve">(PSPS) </w:t>
      </w:r>
      <w:r>
        <w:t xml:space="preserve">violations. WSEB is the lead investigator for utility incidents relating to wildfire, PSPS events and other aspects related to wildfire events. The staff conducts audits, incident investigations, and provides input into policy development. </w:t>
      </w:r>
      <w:r w:rsidR="00243C3D">
        <w:t>October activities for WSEB, include:</w:t>
      </w:r>
    </w:p>
    <w:p w14:paraId="7759BB75" w14:textId="77777777" w:rsidR="00243C3D" w:rsidRDefault="00243C3D" w:rsidP="00243C3D">
      <w:pPr>
        <w:pStyle w:val="ListParagraph"/>
        <w:numPr>
          <w:ilvl w:val="0"/>
          <w:numId w:val="12"/>
        </w:numPr>
      </w:pPr>
      <w:r>
        <w:t xml:space="preserve">Observed and monitored 7 separate PSPS events. </w:t>
      </w:r>
    </w:p>
    <w:p w14:paraId="48796A12" w14:textId="77777777" w:rsidR="00243C3D" w:rsidRDefault="00243C3D" w:rsidP="00243C3D">
      <w:pPr>
        <w:pStyle w:val="ListParagraph"/>
        <w:numPr>
          <w:ilvl w:val="0"/>
          <w:numId w:val="12"/>
        </w:numPr>
      </w:pPr>
      <w:r>
        <w:t>Initiated 3 Wildfire Investigations.</w:t>
      </w:r>
    </w:p>
    <w:p w14:paraId="74E70409" w14:textId="4CA4DB33" w:rsidR="00243C3D" w:rsidRDefault="00243C3D" w:rsidP="00243C3D">
      <w:pPr>
        <w:pStyle w:val="ListParagraph"/>
        <w:numPr>
          <w:ilvl w:val="0"/>
          <w:numId w:val="12"/>
        </w:numPr>
        <w:rPr>
          <w:rFonts w:eastAsia="Garamond" w:cs="Garamond"/>
          <w:szCs w:val="24"/>
        </w:rPr>
      </w:pPr>
      <w:r>
        <w:t xml:space="preserve">Participated in </w:t>
      </w:r>
      <w:r w:rsidR="009536F1">
        <w:t xml:space="preserve">various </w:t>
      </w:r>
      <w:r>
        <w:t>CPUC proceedings.</w:t>
      </w:r>
    </w:p>
    <w:p w14:paraId="7EFAEC77" w14:textId="77777777" w:rsidR="006A1FDD" w:rsidRDefault="00F85D35" w:rsidP="00D61B8A">
      <w:pPr>
        <w:spacing w:before="240"/>
      </w:pPr>
      <w:r>
        <w:t xml:space="preserve">By way of background, </w:t>
      </w:r>
      <w:r w:rsidR="00AF468D">
        <w:t xml:space="preserve">PSPS events are primarily divided into three phases: </w:t>
      </w:r>
    </w:p>
    <w:p w14:paraId="50C6F5C9" w14:textId="6C35A1FC" w:rsidR="00FC51D6" w:rsidRDefault="00AF468D" w:rsidP="00A526EF">
      <w:pPr>
        <w:pStyle w:val="ListParagraph"/>
        <w:numPr>
          <w:ilvl w:val="0"/>
          <w:numId w:val="40"/>
        </w:numPr>
        <w:spacing w:before="240"/>
      </w:pPr>
      <w:r>
        <w:t xml:space="preserve">Initial notification and scope by the IOUs to the CPUC, SED, CALOES and the communities, </w:t>
      </w:r>
    </w:p>
    <w:p w14:paraId="1525FC5D" w14:textId="77777777" w:rsidR="00C17C9A" w:rsidRDefault="00AF468D" w:rsidP="00A526EF">
      <w:pPr>
        <w:pStyle w:val="ListParagraph"/>
        <w:numPr>
          <w:ilvl w:val="0"/>
          <w:numId w:val="40"/>
        </w:numPr>
        <w:spacing w:before="240"/>
      </w:pPr>
      <w:r>
        <w:t xml:space="preserve">An actual PSPS event when De-Energization occurs, and </w:t>
      </w:r>
    </w:p>
    <w:p w14:paraId="7A47660C" w14:textId="765679E4" w:rsidR="00C04206" w:rsidRDefault="00AF468D" w:rsidP="00A526EF">
      <w:pPr>
        <w:pStyle w:val="ListParagraph"/>
        <w:numPr>
          <w:ilvl w:val="0"/>
          <w:numId w:val="40"/>
        </w:numPr>
        <w:spacing w:before="240"/>
      </w:pPr>
      <w:r>
        <w:t>Restoration and an after-action review and report.</w:t>
      </w:r>
      <w:r w:rsidR="00C04206">
        <w:t xml:space="preserve">  </w:t>
      </w:r>
    </w:p>
    <w:p w14:paraId="555120A7" w14:textId="2637C97C" w:rsidR="000741FB" w:rsidRPr="006C543F" w:rsidRDefault="000741FB" w:rsidP="006C543F">
      <w:pPr>
        <w:pStyle w:val="Heading3"/>
      </w:pPr>
      <w:bookmarkStart w:id="73" w:name="_Toc58401348"/>
      <w:r w:rsidRPr="006C543F">
        <w:t xml:space="preserve">PSPS Activations, De-energizations &amp; Post Event Reports Reviewed </w:t>
      </w:r>
      <w:r w:rsidR="00126109">
        <w:t xml:space="preserve">in </w:t>
      </w:r>
      <w:r w:rsidR="00554EE5">
        <w:t>October</w:t>
      </w:r>
      <w:bookmarkEnd w:id="73"/>
      <w:r w:rsidR="00554EE5">
        <w:t xml:space="preserve"> </w:t>
      </w:r>
    </w:p>
    <w:tbl>
      <w:tblPr>
        <w:tblStyle w:val="GridTable4-Accent4"/>
        <w:tblW w:w="10079" w:type="dxa"/>
        <w:tblLayout w:type="fixed"/>
        <w:tblLook w:val="04A0" w:firstRow="1" w:lastRow="0" w:firstColumn="1" w:lastColumn="0" w:noHBand="0" w:noVBand="1"/>
      </w:tblPr>
      <w:tblGrid>
        <w:gridCol w:w="3405"/>
        <w:gridCol w:w="1065"/>
        <w:gridCol w:w="1065"/>
        <w:gridCol w:w="1136"/>
        <w:gridCol w:w="1136"/>
        <w:gridCol w:w="1136"/>
        <w:gridCol w:w="1136"/>
      </w:tblGrid>
      <w:tr w:rsidR="000741FB" w:rsidRPr="003A792D" w14:paraId="0A84A6FE" w14:textId="77777777" w:rsidTr="18AF3A3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05" w:type="dxa"/>
          </w:tcPr>
          <w:p w14:paraId="245E79D7" w14:textId="77777777" w:rsidR="000741FB" w:rsidRPr="003A792D" w:rsidRDefault="000741FB" w:rsidP="003A792D">
            <w:r w:rsidRPr="003A792D">
              <w:t xml:space="preserve">WSEB </w:t>
            </w:r>
          </w:p>
        </w:tc>
        <w:tc>
          <w:tcPr>
            <w:tcW w:w="1065" w:type="dxa"/>
          </w:tcPr>
          <w:p w14:paraId="3C88F0B6" w14:textId="77777777" w:rsidR="06B3A120" w:rsidRDefault="06B3A120">
            <w:pPr>
              <w:cnfStyle w:val="100000000000" w:firstRow="1" w:lastRow="0" w:firstColumn="0" w:lastColumn="0" w:oddVBand="0" w:evenVBand="0" w:oddHBand="0" w:evenHBand="0" w:firstRowFirstColumn="0" w:firstRowLastColumn="0" w:lastRowFirstColumn="0" w:lastRowLastColumn="0"/>
            </w:pPr>
            <w:r>
              <w:t>PG&amp;E</w:t>
            </w:r>
          </w:p>
        </w:tc>
        <w:tc>
          <w:tcPr>
            <w:tcW w:w="1065" w:type="dxa"/>
          </w:tcPr>
          <w:p w14:paraId="229AC069" w14:textId="77777777" w:rsidR="06B3A120" w:rsidRDefault="06B3A120">
            <w:pPr>
              <w:cnfStyle w:val="100000000000" w:firstRow="1" w:lastRow="0" w:firstColumn="0" w:lastColumn="0" w:oddVBand="0" w:evenVBand="0" w:oddHBand="0" w:evenHBand="0" w:firstRowFirstColumn="0" w:firstRowLastColumn="0" w:lastRowFirstColumn="0" w:lastRowLastColumn="0"/>
            </w:pPr>
            <w:r>
              <w:t>SCE</w:t>
            </w:r>
          </w:p>
        </w:tc>
        <w:tc>
          <w:tcPr>
            <w:tcW w:w="1136" w:type="dxa"/>
          </w:tcPr>
          <w:p w14:paraId="116159C8" w14:textId="77777777" w:rsidR="06B3A120" w:rsidRDefault="06B3A120">
            <w:pPr>
              <w:cnfStyle w:val="100000000000" w:firstRow="1" w:lastRow="0" w:firstColumn="0" w:lastColumn="0" w:oddVBand="0" w:evenVBand="0" w:oddHBand="0" w:evenHBand="0" w:firstRowFirstColumn="0" w:firstRowLastColumn="0" w:lastRowFirstColumn="0" w:lastRowLastColumn="0"/>
            </w:pPr>
            <w:r>
              <w:t>SDG&amp;E</w:t>
            </w:r>
          </w:p>
        </w:tc>
        <w:tc>
          <w:tcPr>
            <w:tcW w:w="1136" w:type="dxa"/>
          </w:tcPr>
          <w:p w14:paraId="04608EDD" w14:textId="2248221E" w:rsidR="60EA9821" w:rsidRDefault="60EA9821" w:rsidP="06B3A120">
            <w:pPr>
              <w:cnfStyle w:val="100000000000" w:firstRow="1" w:lastRow="0" w:firstColumn="0" w:lastColumn="0" w:oddVBand="0" w:evenVBand="0" w:oddHBand="0" w:evenHBand="0" w:firstRowFirstColumn="0" w:firstRowLastColumn="0" w:lastRowFirstColumn="0" w:lastRowLastColumn="0"/>
            </w:pPr>
            <w:r>
              <w:t>Bear Valley</w:t>
            </w:r>
          </w:p>
        </w:tc>
        <w:tc>
          <w:tcPr>
            <w:tcW w:w="1136" w:type="dxa"/>
          </w:tcPr>
          <w:p w14:paraId="48E9DF19" w14:textId="56A26BAC" w:rsidR="60EA9821" w:rsidRDefault="60EA9821" w:rsidP="06B3A120">
            <w:pPr>
              <w:cnfStyle w:val="100000000000" w:firstRow="1" w:lastRow="0" w:firstColumn="0" w:lastColumn="0" w:oddVBand="0" w:evenVBand="0" w:oddHBand="0" w:evenHBand="0" w:firstRowFirstColumn="0" w:firstRowLastColumn="0" w:lastRowFirstColumn="0" w:lastRowLastColumn="0"/>
            </w:pPr>
            <w:r>
              <w:t>Pacific Corp</w:t>
            </w:r>
          </w:p>
        </w:tc>
        <w:tc>
          <w:tcPr>
            <w:tcW w:w="1136" w:type="dxa"/>
          </w:tcPr>
          <w:p w14:paraId="5ADF7222" w14:textId="082D4FCE" w:rsidR="60EA9821" w:rsidRDefault="60EA9821" w:rsidP="06B3A120">
            <w:pPr>
              <w:cnfStyle w:val="100000000000" w:firstRow="1" w:lastRow="0" w:firstColumn="0" w:lastColumn="0" w:oddVBand="0" w:evenVBand="0" w:oddHBand="0" w:evenHBand="0" w:firstRowFirstColumn="0" w:firstRowLastColumn="0" w:lastRowFirstColumn="0" w:lastRowLastColumn="0"/>
            </w:pPr>
            <w:r>
              <w:t>Liberty</w:t>
            </w:r>
          </w:p>
        </w:tc>
      </w:tr>
      <w:tr w:rsidR="000741FB" w:rsidRPr="003A792D" w14:paraId="6E3C2DFD" w14:textId="77777777" w:rsidTr="18AF3A3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05" w:type="dxa"/>
          </w:tcPr>
          <w:p w14:paraId="1E0722AF" w14:textId="77777777" w:rsidR="000741FB" w:rsidRPr="003A792D" w:rsidRDefault="000741FB" w:rsidP="003A792D">
            <w:r w:rsidRPr="003A792D">
              <w:t>Total PSPS Activations</w:t>
            </w:r>
          </w:p>
        </w:tc>
        <w:tc>
          <w:tcPr>
            <w:tcW w:w="1065" w:type="dxa"/>
          </w:tcPr>
          <w:p w14:paraId="12CA6733" w14:textId="7701E913" w:rsidR="000741FB" w:rsidRPr="003A792D" w:rsidRDefault="3D20E5CB" w:rsidP="00B15444">
            <w:pPr>
              <w:jc w:val="center"/>
              <w:cnfStyle w:val="000000100000" w:firstRow="0" w:lastRow="0" w:firstColumn="0" w:lastColumn="0" w:oddVBand="0" w:evenVBand="0" w:oddHBand="1" w:evenHBand="0" w:firstRowFirstColumn="0" w:firstRowLastColumn="0" w:lastRowFirstColumn="0" w:lastRowLastColumn="0"/>
            </w:pPr>
            <w:r>
              <w:t>3</w:t>
            </w:r>
          </w:p>
        </w:tc>
        <w:tc>
          <w:tcPr>
            <w:tcW w:w="1065" w:type="dxa"/>
          </w:tcPr>
          <w:p w14:paraId="79E5B7E9" w14:textId="7C9C1527" w:rsidR="000741FB" w:rsidRPr="003A792D" w:rsidRDefault="455A8894" w:rsidP="00B15444">
            <w:pPr>
              <w:spacing w:after="0"/>
              <w:jc w:val="center"/>
              <w:cnfStyle w:val="000000100000" w:firstRow="0" w:lastRow="0" w:firstColumn="0" w:lastColumn="0" w:oddVBand="0" w:evenVBand="0" w:oddHBand="1" w:evenHBand="0" w:firstRowFirstColumn="0" w:firstRowLastColumn="0" w:lastRowFirstColumn="0" w:lastRowLastColumn="0"/>
            </w:pPr>
            <w:r>
              <w:t>2</w:t>
            </w:r>
          </w:p>
        </w:tc>
        <w:tc>
          <w:tcPr>
            <w:tcW w:w="1136" w:type="dxa"/>
          </w:tcPr>
          <w:p w14:paraId="7CCD622C" w14:textId="3879043F" w:rsidR="000741FB" w:rsidRPr="003A792D" w:rsidRDefault="156CE222" w:rsidP="00B15444">
            <w:pPr>
              <w:spacing w:after="0"/>
              <w:jc w:val="center"/>
              <w:cnfStyle w:val="000000100000" w:firstRow="0" w:lastRow="0" w:firstColumn="0" w:lastColumn="0" w:oddVBand="0" w:evenVBand="0" w:oddHBand="1" w:evenHBand="0" w:firstRowFirstColumn="0" w:firstRowLastColumn="0" w:lastRowFirstColumn="0" w:lastRowLastColumn="0"/>
            </w:pPr>
            <w:r>
              <w:t>1</w:t>
            </w:r>
          </w:p>
        </w:tc>
        <w:tc>
          <w:tcPr>
            <w:tcW w:w="1136" w:type="dxa"/>
          </w:tcPr>
          <w:p w14:paraId="5CB5F0AD" w14:textId="6AC26562" w:rsidR="6FD91A59" w:rsidRDefault="6FD91A59" w:rsidP="00B15444">
            <w:pPr>
              <w:jc w:val="center"/>
              <w:cnfStyle w:val="000000100000" w:firstRow="0" w:lastRow="0" w:firstColumn="0" w:lastColumn="0" w:oddVBand="0" w:evenVBand="0" w:oddHBand="1" w:evenHBand="0" w:firstRowFirstColumn="0" w:firstRowLastColumn="0" w:lastRowFirstColumn="0" w:lastRowLastColumn="0"/>
            </w:pPr>
            <w:r>
              <w:t>0</w:t>
            </w:r>
          </w:p>
        </w:tc>
        <w:tc>
          <w:tcPr>
            <w:tcW w:w="1136" w:type="dxa"/>
          </w:tcPr>
          <w:p w14:paraId="203610BA" w14:textId="1DF4419A" w:rsidR="2BA216B5" w:rsidRDefault="28324305" w:rsidP="00B15444">
            <w:pPr>
              <w:jc w:val="center"/>
              <w:cnfStyle w:val="000000100000" w:firstRow="0" w:lastRow="0" w:firstColumn="0" w:lastColumn="0" w:oddVBand="0" w:evenVBand="0" w:oddHBand="1" w:evenHBand="0" w:firstRowFirstColumn="0" w:firstRowLastColumn="0" w:lastRowFirstColumn="0" w:lastRowLastColumn="0"/>
            </w:pPr>
            <w:r>
              <w:t>1</w:t>
            </w:r>
          </w:p>
        </w:tc>
        <w:tc>
          <w:tcPr>
            <w:tcW w:w="1136" w:type="dxa"/>
          </w:tcPr>
          <w:p w14:paraId="78FBC42D" w14:textId="38AF09BB" w:rsidR="2BA216B5" w:rsidRDefault="2BA216B5" w:rsidP="00B15444">
            <w:pPr>
              <w:jc w:val="center"/>
              <w:cnfStyle w:val="000000100000" w:firstRow="0" w:lastRow="0" w:firstColumn="0" w:lastColumn="0" w:oddVBand="0" w:evenVBand="0" w:oddHBand="1" w:evenHBand="0" w:firstRowFirstColumn="0" w:firstRowLastColumn="0" w:lastRowFirstColumn="0" w:lastRowLastColumn="0"/>
            </w:pPr>
            <w:r>
              <w:t>0</w:t>
            </w:r>
          </w:p>
        </w:tc>
      </w:tr>
      <w:tr w:rsidR="000741FB" w:rsidRPr="003A792D" w14:paraId="20203041" w14:textId="77777777" w:rsidTr="18AF3A3E">
        <w:trPr>
          <w:trHeight w:val="266"/>
        </w:trPr>
        <w:tc>
          <w:tcPr>
            <w:cnfStyle w:val="001000000000" w:firstRow="0" w:lastRow="0" w:firstColumn="1" w:lastColumn="0" w:oddVBand="0" w:evenVBand="0" w:oddHBand="0" w:evenHBand="0" w:firstRowFirstColumn="0" w:firstRowLastColumn="0" w:lastRowFirstColumn="0" w:lastRowLastColumn="0"/>
            <w:tcW w:w="3405" w:type="dxa"/>
          </w:tcPr>
          <w:p w14:paraId="15BD346E" w14:textId="77777777" w:rsidR="000741FB" w:rsidRPr="003A792D" w:rsidRDefault="000741FB" w:rsidP="003A792D">
            <w:r w:rsidRPr="003A792D">
              <w:t>Total PSPS w/ De-energization</w:t>
            </w:r>
          </w:p>
        </w:tc>
        <w:tc>
          <w:tcPr>
            <w:tcW w:w="1065" w:type="dxa"/>
          </w:tcPr>
          <w:p w14:paraId="16911AA2" w14:textId="15A4C985" w:rsidR="000741FB" w:rsidRPr="003A792D" w:rsidRDefault="0DE38B64" w:rsidP="00B15444">
            <w:pPr>
              <w:jc w:val="center"/>
              <w:cnfStyle w:val="000000000000" w:firstRow="0" w:lastRow="0" w:firstColumn="0" w:lastColumn="0" w:oddVBand="0" w:evenVBand="0" w:oddHBand="0" w:evenHBand="0" w:firstRowFirstColumn="0" w:firstRowLastColumn="0" w:lastRowFirstColumn="0" w:lastRowLastColumn="0"/>
            </w:pPr>
            <w:r>
              <w:t>3</w:t>
            </w:r>
          </w:p>
        </w:tc>
        <w:tc>
          <w:tcPr>
            <w:tcW w:w="1065" w:type="dxa"/>
          </w:tcPr>
          <w:p w14:paraId="57B774F1" w14:textId="6DD3A49E" w:rsidR="000741FB" w:rsidRPr="003A792D" w:rsidRDefault="276C0A24" w:rsidP="18AF3A3E">
            <w:pPr>
              <w:spacing w:after="0"/>
              <w:jc w:val="center"/>
              <w:cnfStyle w:val="000000000000" w:firstRow="0" w:lastRow="0" w:firstColumn="0" w:lastColumn="0" w:oddVBand="0" w:evenVBand="0" w:oddHBand="0" w:evenHBand="0" w:firstRowFirstColumn="0" w:firstRowLastColumn="0" w:lastRowFirstColumn="0" w:lastRowLastColumn="0"/>
              <w:rPr>
                <w:rFonts w:eastAsia="Garamond" w:cs="Garamond"/>
              </w:rPr>
            </w:pPr>
            <w:r>
              <w:t>2</w:t>
            </w:r>
          </w:p>
        </w:tc>
        <w:tc>
          <w:tcPr>
            <w:tcW w:w="1136" w:type="dxa"/>
          </w:tcPr>
          <w:p w14:paraId="340E3551" w14:textId="6B5F2F2B" w:rsidR="000741FB" w:rsidRPr="003A792D" w:rsidRDefault="13142421" w:rsidP="18AF3A3E">
            <w:pPr>
              <w:spacing w:after="0"/>
              <w:jc w:val="center"/>
              <w:cnfStyle w:val="000000000000" w:firstRow="0" w:lastRow="0" w:firstColumn="0" w:lastColumn="0" w:oddVBand="0" w:evenVBand="0" w:oddHBand="0" w:evenHBand="0" w:firstRowFirstColumn="0" w:firstRowLastColumn="0" w:lastRowFirstColumn="0" w:lastRowLastColumn="0"/>
              <w:rPr>
                <w:rFonts w:eastAsia="Garamond" w:cs="Garamond"/>
              </w:rPr>
            </w:pPr>
            <w:r>
              <w:t>1</w:t>
            </w:r>
          </w:p>
        </w:tc>
        <w:tc>
          <w:tcPr>
            <w:tcW w:w="1136" w:type="dxa"/>
          </w:tcPr>
          <w:p w14:paraId="3027271E" w14:textId="49EA399E" w:rsidR="257C0604" w:rsidRDefault="257C0604" w:rsidP="00B15444">
            <w:pPr>
              <w:jc w:val="center"/>
              <w:cnfStyle w:val="000000000000" w:firstRow="0" w:lastRow="0" w:firstColumn="0" w:lastColumn="0" w:oddVBand="0" w:evenVBand="0" w:oddHBand="0" w:evenHBand="0" w:firstRowFirstColumn="0" w:firstRowLastColumn="0" w:lastRowFirstColumn="0" w:lastRowLastColumn="0"/>
            </w:pPr>
            <w:r>
              <w:t>0</w:t>
            </w:r>
          </w:p>
        </w:tc>
        <w:tc>
          <w:tcPr>
            <w:tcW w:w="1136" w:type="dxa"/>
          </w:tcPr>
          <w:p w14:paraId="660E79B3" w14:textId="3DA16282" w:rsidR="257C0604" w:rsidRDefault="5AC909E4" w:rsidP="18AF3A3E">
            <w:pPr>
              <w:spacing w:after="0"/>
              <w:jc w:val="center"/>
              <w:cnfStyle w:val="000000000000" w:firstRow="0" w:lastRow="0" w:firstColumn="0" w:lastColumn="0" w:oddVBand="0" w:evenVBand="0" w:oddHBand="0" w:evenHBand="0" w:firstRowFirstColumn="0" w:firstRowLastColumn="0" w:lastRowFirstColumn="0" w:lastRowLastColumn="0"/>
              <w:rPr>
                <w:rFonts w:eastAsia="Garamond" w:cs="Garamond"/>
              </w:rPr>
            </w:pPr>
            <w:r>
              <w:t>0</w:t>
            </w:r>
          </w:p>
        </w:tc>
        <w:tc>
          <w:tcPr>
            <w:tcW w:w="1136" w:type="dxa"/>
          </w:tcPr>
          <w:p w14:paraId="604C49B3" w14:textId="634F139E" w:rsidR="257C0604" w:rsidRDefault="257C0604" w:rsidP="00B15444">
            <w:pPr>
              <w:jc w:val="center"/>
              <w:cnfStyle w:val="000000000000" w:firstRow="0" w:lastRow="0" w:firstColumn="0" w:lastColumn="0" w:oddVBand="0" w:evenVBand="0" w:oddHBand="0" w:evenHBand="0" w:firstRowFirstColumn="0" w:firstRowLastColumn="0" w:lastRowFirstColumn="0" w:lastRowLastColumn="0"/>
            </w:pPr>
            <w:r>
              <w:t>0</w:t>
            </w:r>
          </w:p>
        </w:tc>
      </w:tr>
      <w:tr w:rsidR="000741FB" w:rsidRPr="003A792D" w14:paraId="7C74AA73" w14:textId="77777777" w:rsidTr="18AF3A3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405" w:type="dxa"/>
          </w:tcPr>
          <w:p w14:paraId="0DE80090" w14:textId="77777777" w:rsidR="000741FB" w:rsidRPr="003A792D" w:rsidRDefault="000741FB" w:rsidP="003A792D">
            <w:r w:rsidRPr="003A792D">
              <w:t>Total PSPS Post Event Reports Reviewed</w:t>
            </w:r>
          </w:p>
        </w:tc>
        <w:tc>
          <w:tcPr>
            <w:tcW w:w="1065" w:type="dxa"/>
          </w:tcPr>
          <w:p w14:paraId="186A4AB7" w14:textId="734CDFA1" w:rsidR="000741FB" w:rsidRPr="003A792D" w:rsidRDefault="699D41A8" w:rsidP="00B15444">
            <w:pPr>
              <w:jc w:val="center"/>
              <w:cnfStyle w:val="000000100000" w:firstRow="0" w:lastRow="0" w:firstColumn="0" w:lastColumn="0" w:oddVBand="0" w:evenVBand="0" w:oddHBand="1" w:evenHBand="0" w:firstRowFirstColumn="0" w:firstRowLastColumn="0" w:lastRowFirstColumn="0" w:lastRowLastColumn="0"/>
            </w:pPr>
            <w:r>
              <w:t>2</w:t>
            </w:r>
          </w:p>
        </w:tc>
        <w:tc>
          <w:tcPr>
            <w:tcW w:w="1065" w:type="dxa"/>
          </w:tcPr>
          <w:p w14:paraId="40C0FD03" w14:textId="672C0B7D" w:rsidR="000741FB" w:rsidRPr="003A792D" w:rsidRDefault="397DB162" w:rsidP="18AF3A3E">
            <w:pPr>
              <w:spacing w:after="0"/>
              <w:jc w:val="center"/>
              <w:cnfStyle w:val="000000100000" w:firstRow="0" w:lastRow="0" w:firstColumn="0" w:lastColumn="0" w:oddVBand="0" w:evenVBand="0" w:oddHBand="1" w:evenHBand="0" w:firstRowFirstColumn="0" w:firstRowLastColumn="0" w:lastRowFirstColumn="0" w:lastRowLastColumn="0"/>
              <w:rPr>
                <w:rFonts w:eastAsia="Garamond" w:cs="Garamond"/>
              </w:rPr>
            </w:pPr>
            <w:r>
              <w:t>1</w:t>
            </w:r>
          </w:p>
        </w:tc>
        <w:tc>
          <w:tcPr>
            <w:tcW w:w="1136" w:type="dxa"/>
          </w:tcPr>
          <w:p w14:paraId="46B72E36" w14:textId="1FC198BF" w:rsidR="000741FB" w:rsidRPr="003A792D" w:rsidRDefault="162E747F" w:rsidP="00B15444">
            <w:pPr>
              <w:jc w:val="center"/>
              <w:cnfStyle w:val="000000100000" w:firstRow="0" w:lastRow="0" w:firstColumn="0" w:lastColumn="0" w:oddVBand="0" w:evenVBand="0" w:oddHBand="1" w:evenHBand="0" w:firstRowFirstColumn="0" w:firstRowLastColumn="0" w:lastRowFirstColumn="0" w:lastRowLastColumn="0"/>
            </w:pPr>
            <w:r>
              <w:t>2</w:t>
            </w:r>
          </w:p>
        </w:tc>
        <w:tc>
          <w:tcPr>
            <w:tcW w:w="1136" w:type="dxa"/>
          </w:tcPr>
          <w:p w14:paraId="77DAA228" w14:textId="1B9B33B3" w:rsidR="6DE6EF9B" w:rsidRDefault="6DE6EF9B" w:rsidP="00B15444">
            <w:pPr>
              <w:jc w:val="center"/>
              <w:cnfStyle w:val="000000100000" w:firstRow="0" w:lastRow="0" w:firstColumn="0" w:lastColumn="0" w:oddVBand="0" w:evenVBand="0" w:oddHBand="1" w:evenHBand="0" w:firstRowFirstColumn="0" w:firstRowLastColumn="0" w:lastRowFirstColumn="0" w:lastRowLastColumn="0"/>
            </w:pPr>
            <w:r>
              <w:t>0</w:t>
            </w:r>
          </w:p>
        </w:tc>
        <w:tc>
          <w:tcPr>
            <w:tcW w:w="1136" w:type="dxa"/>
          </w:tcPr>
          <w:p w14:paraId="6E7B50FE" w14:textId="610DA529" w:rsidR="6DE6EF9B" w:rsidRDefault="3647099E" w:rsidP="00AF1323">
            <w:pPr>
              <w:spacing w:after="0"/>
              <w:jc w:val="center"/>
              <w:cnfStyle w:val="000000100000" w:firstRow="0" w:lastRow="0" w:firstColumn="0" w:lastColumn="0" w:oddVBand="0" w:evenVBand="0" w:oddHBand="1" w:evenHBand="0" w:firstRowFirstColumn="0" w:firstRowLastColumn="0" w:lastRowFirstColumn="0" w:lastRowLastColumn="0"/>
              <w:rPr>
                <w:rFonts w:eastAsia="Garamond" w:cs="Garamond"/>
                <w:szCs w:val="24"/>
              </w:rPr>
            </w:pPr>
            <w:r>
              <w:t>1</w:t>
            </w:r>
          </w:p>
        </w:tc>
        <w:tc>
          <w:tcPr>
            <w:tcW w:w="1136" w:type="dxa"/>
          </w:tcPr>
          <w:p w14:paraId="66670199" w14:textId="7FA116AC" w:rsidR="6DE6EF9B" w:rsidRDefault="6DE6EF9B" w:rsidP="00B15444">
            <w:pPr>
              <w:jc w:val="center"/>
              <w:cnfStyle w:val="000000100000" w:firstRow="0" w:lastRow="0" w:firstColumn="0" w:lastColumn="0" w:oddVBand="0" w:evenVBand="0" w:oddHBand="1" w:evenHBand="0" w:firstRowFirstColumn="0" w:firstRowLastColumn="0" w:lastRowFirstColumn="0" w:lastRowLastColumn="0"/>
            </w:pPr>
            <w:r>
              <w:t>0</w:t>
            </w:r>
          </w:p>
        </w:tc>
      </w:tr>
    </w:tbl>
    <w:p w14:paraId="3BBA6B6D" w14:textId="3F020413" w:rsidR="00A53B85" w:rsidRDefault="00A53B85" w:rsidP="0020490D">
      <w:pPr>
        <w:pStyle w:val="Heading3"/>
      </w:pPr>
      <w:bookmarkStart w:id="74" w:name="_Toc58401349"/>
      <w:r>
        <w:t>Summary of</w:t>
      </w:r>
      <w:r w:rsidR="00187633">
        <w:t xml:space="preserve"> PSPS Event</w:t>
      </w:r>
      <w:r w:rsidR="00E16A33">
        <w:t>s</w:t>
      </w:r>
      <w:r w:rsidR="00B40A31">
        <w:t xml:space="preserve"> in October</w:t>
      </w:r>
      <w:bookmarkEnd w:id="74"/>
    </w:p>
    <w:tbl>
      <w:tblPr>
        <w:tblStyle w:val="TableGrid"/>
        <w:tblW w:w="0" w:type="auto"/>
        <w:tblLayout w:type="fixed"/>
        <w:tblLook w:val="06A0" w:firstRow="1" w:lastRow="0" w:firstColumn="1" w:lastColumn="0" w:noHBand="1" w:noVBand="1"/>
      </w:tblPr>
      <w:tblGrid>
        <w:gridCol w:w="1662"/>
        <w:gridCol w:w="1662"/>
        <w:gridCol w:w="1662"/>
        <w:gridCol w:w="1662"/>
        <w:gridCol w:w="1662"/>
        <w:gridCol w:w="1662"/>
      </w:tblGrid>
      <w:tr w:rsidR="18AF3A3E" w14:paraId="60FB17DC" w14:textId="77777777" w:rsidTr="0079448F">
        <w:trPr>
          <w:trHeight w:val="758"/>
        </w:trPr>
        <w:tc>
          <w:tcPr>
            <w:tcW w:w="1662" w:type="dxa"/>
          </w:tcPr>
          <w:p w14:paraId="25C570BD" w14:textId="61C82AFC"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Utility</w:t>
            </w:r>
          </w:p>
        </w:tc>
        <w:tc>
          <w:tcPr>
            <w:tcW w:w="1662" w:type="dxa"/>
          </w:tcPr>
          <w:p w14:paraId="3CAB1CCC" w14:textId="6A7B7213"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Dates</w:t>
            </w:r>
          </w:p>
        </w:tc>
        <w:tc>
          <w:tcPr>
            <w:tcW w:w="1662" w:type="dxa"/>
          </w:tcPr>
          <w:p w14:paraId="0214EEEE" w14:textId="75C5E6AE"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 xml:space="preserve">Total Customers Impacted </w:t>
            </w:r>
          </w:p>
        </w:tc>
        <w:tc>
          <w:tcPr>
            <w:tcW w:w="1662" w:type="dxa"/>
          </w:tcPr>
          <w:p w14:paraId="4BDF99CB" w14:textId="3A9EA062"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Medical Baseline Customers</w:t>
            </w:r>
          </w:p>
        </w:tc>
        <w:tc>
          <w:tcPr>
            <w:tcW w:w="1662" w:type="dxa"/>
          </w:tcPr>
          <w:p w14:paraId="2958F353" w14:textId="51784E61"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Number of Counties Impacted</w:t>
            </w:r>
          </w:p>
        </w:tc>
        <w:tc>
          <w:tcPr>
            <w:tcW w:w="1662" w:type="dxa"/>
          </w:tcPr>
          <w:p w14:paraId="0E57281A" w14:textId="30DDE1B1" w:rsidR="18AF3A3E" w:rsidRPr="0079448F" w:rsidRDefault="18AF3A3E" w:rsidP="0079448F">
            <w:pPr>
              <w:spacing w:after="140" w:line="240" w:lineRule="auto"/>
              <w:jc w:val="center"/>
              <w:rPr>
                <w:rFonts w:eastAsia="Calibri" w:cs="Calibri"/>
                <w:b/>
                <w:bCs/>
                <w:color w:val="000000"/>
                <w:sz w:val="22"/>
              </w:rPr>
            </w:pPr>
            <w:r w:rsidRPr="0079448F">
              <w:rPr>
                <w:rFonts w:eastAsia="Calibri" w:cs="Calibri"/>
                <w:b/>
                <w:bCs/>
                <w:color w:val="000000"/>
                <w:sz w:val="22"/>
              </w:rPr>
              <w:t>Number of Tribes Impacted</w:t>
            </w:r>
          </w:p>
        </w:tc>
      </w:tr>
      <w:tr w:rsidR="18AF3A3E" w14:paraId="0E544F42" w14:textId="77777777" w:rsidTr="0079448F">
        <w:trPr>
          <w:trHeight w:val="264"/>
        </w:trPr>
        <w:tc>
          <w:tcPr>
            <w:tcW w:w="1662" w:type="dxa"/>
          </w:tcPr>
          <w:p w14:paraId="7E870FDC" w14:textId="2029B7C6" w:rsidR="18AF3A3E" w:rsidRPr="0079448F" w:rsidRDefault="18AF3A3E" w:rsidP="006771BB">
            <w:pPr>
              <w:spacing w:after="140"/>
              <w:rPr>
                <w:b/>
                <w:bCs/>
              </w:rPr>
            </w:pPr>
            <w:r w:rsidRPr="0079448F">
              <w:rPr>
                <w:rFonts w:ascii="Calibri" w:eastAsia="Calibri" w:hAnsi="Calibri" w:cs="Calibri"/>
                <w:b/>
                <w:bCs/>
                <w:color w:val="000000"/>
                <w:sz w:val="22"/>
              </w:rPr>
              <w:t>PacifiCorp</w:t>
            </w:r>
          </w:p>
        </w:tc>
        <w:tc>
          <w:tcPr>
            <w:tcW w:w="1662" w:type="dxa"/>
          </w:tcPr>
          <w:p w14:paraId="2FCAABC9" w14:textId="2B47BFFC" w:rsidR="18AF3A3E" w:rsidRDefault="18AF3A3E" w:rsidP="006771BB">
            <w:pPr>
              <w:spacing w:after="140"/>
            </w:pPr>
            <w:r w:rsidRPr="18AF3A3E">
              <w:rPr>
                <w:rFonts w:ascii="Calibri" w:eastAsia="Calibri" w:hAnsi="Calibri" w:cs="Calibri"/>
                <w:color w:val="000000"/>
                <w:sz w:val="22"/>
              </w:rPr>
              <w:t>Oct. 25</w:t>
            </w:r>
          </w:p>
        </w:tc>
        <w:tc>
          <w:tcPr>
            <w:tcW w:w="1662" w:type="dxa"/>
          </w:tcPr>
          <w:p w14:paraId="7EB839ED" w14:textId="638F7FE3" w:rsidR="18AF3A3E" w:rsidRDefault="18AF3A3E" w:rsidP="006771BB">
            <w:pPr>
              <w:spacing w:after="140"/>
              <w:jc w:val="center"/>
              <w:rPr>
                <w:rFonts w:ascii="Calibri" w:eastAsia="Calibri" w:hAnsi="Calibri" w:cs="Calibri"/>
                <w:color w:val="000000"/>
                <w:sz w:val="22"/>
              </w:rPr>
            </w:pPr>
            <w:r w:rsidRPr="18AF3A3E">
              <w:rPr>
                <w:rFonts w:ascii="Calibri" w:eastAsia="Calibri" w:hAnsi="Calibri" w:cs="Calibri"/>
                <w:color w:val="000000"/>
                <w:sz w:val="22"/>
              </w:rPr>
              <w:t>0</w:t>
            </w:r>
          </w:p>
        </w:tc>
        <w:tc>
          <w:tcPr>
            <w:tcW w:w="1662" w:type="dxa"/>
          </w:tcPr>
          <w:p w14:paraId="690CFAAB" w14:textId="0882A268" w:rsidR="18AF3A3E" w:rsidRDefault="18AF3A3E" w:rsidP="006771BB">
            <w:pPr>
              <w:spacing w:after="140"/>
              <w:jc w:val="center"/>
              <w:rPr>
                <w:rFonts w:ascii="Calibri" w:eastAsia="Calibri" w:hAnsi="Calibri" w:cs="Calibri"/>
                <w:color w:val="000000"/>
                <w:sz w:val="22"/>
              </w:rPr>
            </w:pPr>
            <w:r w:rsidRPr="18AF3A3E">
              <w:rPr>
                <w:rFonts w:ascii="Calibri" w:eastAsia="Calibri" w:hAnsi="Calibri" w:cs="Calibri"/>
                <w:color w:val="000000"/>
                <w:sz w:val="22"/>
              </w:rPr>
              <w:t>0</w:t>
            </w:r>
          </w:p>
        </w:tc>
        <w:tc>
          <w:tcPr>
            <w:tcW w:w="1662" w:type="dxa"/>
          </w:tcPr>
          <w:p w14:paraId="0FC36520" w14:textId="336D468D" w:rsidR="18AF3A3E" w:rsidRDefault="18AF3A3E" w:rsidP="006771BB">
            <w:pPr>
              <w:spacing w:after="140"/>
              <w:jc w:val="center"/>
              <w:rPr>
                <w:rFonts w:ascii="Calibri" w:eastAsia="Calibri" w:hAnsi="Calibri" w:cs="Calibri"/>
                <w:color w:val="000000"/>
                <w:sz w:val="22"/>
              </w:rPr>
            </w:pPr>
            <w:r w:rsidRPr="18AF3A3E">
              <w:rPr>
                <w:rFonts w:ascii="Calibri" w:eastAsia="Calibri" w:hAnsi="Calibri" w:cs="Calibri"/>
                <w:color w:val="000000"/>
                <w:sz w:val="22"/>
              </w:rPr>
              <w:t>0</w:t>
            </w:r>
          </w:p>
        </w:tc>
        <w:tc>
          <w:tcPr>
            <w:tcW w:w="1662" w:type="dxa"/>
          </w:tcPr>
          <w:p w14:paraId="11B07BD2" w14:textId="2145B060" w:rsidR="18AF3A3E" w:rsidRDefault="18AF3A3E" w:rsidP="006771BB">
            <w:pPr>
              <w:spacing w:after="140"/>
              <w:jc w:val="center"/>
              <w:rPr>
                <w:rFonts w:ascii="Calibri" w:eastAsia="Calibri" w:hAnsi="Calibri" w:cs="Calibri"/>
                <w:color w:val="000000"/>
                <w:sz w:val="22"/>
              </w:rPr>
            </w:pPr>
            <w:r w:rsidRPr="18AF3A3E">
              <w:rPr>
                <w:rFonts w:ascii="Calibri" w:eastAsia="Calibri" w:hAnsi="Calibri" w:cs="Calibri"/>
                <w:color w:val="000000"/>
                <w:sz w:val="22"/>
              </w:rPr>
              <w:t>0</w:t>
            </w:r>
          </w:p>
        </w:tc>
      </w:tr>
      <w:tr w:rsidR="18AF3A3E" w14:paraId="230C879C" w14:textId="77777777" w:rsidTr="0079448F">
        <w:trPr>
          <w:trHeight w:val="358"/>
        </w:trPr>
        <w:tc>
          <w:tcPr>
            <w:tcW w:w="1662" w:type="dxa"/>
          </w:tcPr>
          <w:p w14:paraId="1C874B02" w14:textId="1F46DC50" w:rsidR="18AF3A3E" w:rsidRPr="006771BB" w:rsidRDefault="18AF3A3E" w:rsidP="006771BB">
            <w:pPr>
              <w:spacing w:after="140"/>
              <w:rPr>
                <w:b/>
                <w:bCs/>
              </w:rPr>
            </w:pPr>
            <w:r w:rsidRPr="006771BB">
              <w:rPr>
                <w:rFonts w:ascii="Calibri" w:eastAsia="Calibri" w:hAnsi="Calibri" w:cs="Calibri"/>
                <w:b/>
                <w:bCs/>
                <w:color w:val="000000"/>
                <w:sz w:val="22"/>
              </w:rPr>
              <w:t>PG&amp;E</w:t>
            </w:r>
          </w:p>
        </w:tc>
        <w:tc>
          <w:tcPr>
            <w:tcW w:w="1662" w:type="dxa"/>
          </w:tcPr>
          <w:p w14:paraId="57D48580" w14:textId="7D59B083" w:rsidR="18AF3A3E" w:rsidRDefault="18AF3A3E" w:rsidP="006771BB">
            <w:pPr>
              <w:spacing w:after="140"/>
            </w:pPr>
            <w:r w:rsidRPr="18AF3A3E">
              <w:rPr>
                <w:rFonts w:ascii="Calibri" w:eastAsia="Calibri" w:hAnsi="Calibri" w:cs="Calibri"/>
                <w:color w:val="000000"/>
                <w:sz w:val="22"/>
              </w:rPr>
              <w:t>Oct. 14-17</w:t>
            </w:r>
          </w:p>
        </w:tc>
        <w:tc>
          <w:tcPr>
            <w:tcW w:w="1662" w:type="dxa"/>
          </w:tcPr>
          <w:p w14:paraId="14400413" w14:textId="2195CC5C" w:rsidR="18AF3A3E" w:rsidRDefault="18AF3A3E" w:rsidP="006771BB">
            <w:pPr>
              <w:spacing w:after="140"/>
              <w:jc w:val="center"/>
            </w:pPr>
            <w:r w:rsidRPr="18AF3A3E">
              <w:rPr>
                <w:rFonts w:ascii="Calibri" w:eastAsia="Calibri" w:hAnsi="Calibri" w:cs="Calibri"/>
                <w:color w:val="000000"/>
                <w:sz w:val="22"/>
              </w:rPr>
              <w:t>40,574</w:t>
            </w:r>
          </w:p>
        </w:tc>
        <w:tc>
          <w:tcPr>
            <w:tcW w:w="1662" w:type="dxa"/>
          </w:tcPr>
          <w:p w14:paraId="1E723CEE" w14:textId="1673554B" w:rsidR="18AF3A3E" w:rsidRDefault="18AF3A3E" w:rsidP="006771BB">
            <w:pPr>
              <w:spacing w:after="140"/>
              <w:jc w:val="center"/>
            </w:pPr>
            <w:r w:rsidRPr="18AF3A3E">
              <w:rPr>
                <w:rFonts w:ascii="Calibri" w:eastAsia="Calibri" w:hAnsi="Calibri" w:cs="Calibri"/>
                <w:color w:val="000000"/>
                <w:sz w:val="22"/>
              </w:rPr>
              <w:t>2,431</w:t>
            </w:r>
          </w:p>
        </w:tc>
        <w:tc>
          <w:tcPr>
            <w:tcW w:w="1662" w:type="dxa"/>
          </w:tcPr>
          <w:p w14:paraId="00EB54AD" w14:textId="3ED0C9C0" w:rsidR="18AF3A3E" w:rsidRDefault="18AF3A3E" w:rsidP="006771BB">
            <w:pPr>
              <w:spacing w:after="140"/>
              <w:jc w:val="center"/>
            </w:pPr>
            <w:r w:rsidRPr="18AF3A3E">
              <w:rPr>
                <w:rFonts w:ascii="Calibri" w:eastAsia="Calibri" w:hAnsi="Calibri" w:cs="Calibri"/>
                <w:color w:val="000000"/>
                <w:sz w:val="22"/>
              </w:rPr>
              <w:t>19</w:t>
            </w:r>
          </w:p>
        </w:tc>
        <w:tc>
          <w:tcPr>
            <w:tcW w:w="1662" w:type="dxa"/>
          </w:tcPr>
          <w:p w14:paraId="690E921D" w14:textId="6F9C5EE8" w:rsidR="18AF3A3E" w:rsidRDefault="18AF3A3E" w:rsidP="006771BB">
            <w:pPr>
              <w:spacing w:after="140"/>
              <w:jc w:val="center"/>
            </w:pPr>
            <w:r w:rsidRPr="18AF3A3E">
              <w:rPr>
                <w:rFonts w:ascii="Calibri" w:eastAsia="Calibri" w:hAnsi="Calibri" w:cs="Calibri"/>
                <w:color w:val="000000"/>
                <w:sz w:val="22"/>
              </w:rPr>
              <w:t>0</w:t>
            </w:r>
          </w:p>
        </w:tc>
      </w:tr>
      <w:tr w:rsidR="18AF3A3E" w14:paraId="06F6D858" w14:textId="77777777" w:rsidTr="0079448F">
        <w:trPr>
          <w:trHeight w:val="368"/>
        </w:trPr>
        <w:tc>
          <w:tcPr>
            <w:tcW w:w="1662" w:type="dxa"/>
          </w:tcPr>
          <w:p w14:paraId="25D6D9F1" w14:textId="287BE40C" w:rsidR="18AF3A3E" w:rsidRPr="006771BB" w:rsidRDefault="18AF3A3E" w:rsidP="006771BB">
            <w:pPr>
              <w:spacing w:after="140"/>
              <w:rPr>
                <w:b/>
                <w:bCs/>
              </w:rPr>
            </w:pPr>
            <w:r w:rsidRPr="006771BB">
              <w:rPr>
                <w:rFonts w:ascii="Calibri" w:eastAsia="Calibri" w:hAnsi="Calibri" w:cs="Calibri"/>
                <w:b/>
                <w:bCs/>
                <w:color w:val="000000"/>
                <w:sz w:val="22"/>
              </w:rPr>
              <w:t>PG&amp;E</w:t>
            </w:r>
          </w:p>
        </w:tc>
        <w:tc>
          <w:tcPr>
            <w:tcW w:w="1662" w:type="dxa"/>
          </w:tcPr>
          <w:p w14:paraId="511E3700" w14:textId="1F8C2149" w:rsidR="18AF3A3E" w:rsidRDefault="18AF3A3E" w:rsidP="006771BB">
            <w:pPr>
              <w:spacing w:after="140"/>
            </w:pPr>
            <w:r w:rsidRPr="18AF3A3E">
              <w:rPr>
                <w:rFonts w:ascii="Calibri" w:eastAsia="Calibri" w:hAnsi="Calibri" w:cs="Calibri"/>
                <w:color w:val="000000"/>
                <w:sz w:val="22"/>
              </w:rPr>
              <w:t>Oct. 21-23</w:t>
            </w:r>
          </w:p>
        </w:tc>
        <w:tc>
          <w:tcPr>
            <w:tcW w:w="1662" w:type="dxa"/>
          </w:tcPr>
          <w:p w14:paraId="65B15F0C" w14:textId="265E4E53" w:rsidR="18AF3A3E" w:rsidRDefault="18AF3A3E" w:rsidP="006771BB">
            <w:pPr>
              <w:spacing w:after="140"/>
              <w:jc w:val="center"/>
            </w:pPr>
            <w:r w:rsidRPr="18AF3A3E">
              <w:rPr>
                <w:rFonts w:ascii="Calibri" w:eastAsia="Calibri" w:hAnsi="Calibri" w:cs="Calibri"/>
                <w:color w:val="000000"/>
                <w:sz w:val="22"/>
              </w:rPr>
              <w:t>30,154</w:t>
            </w:r>
          </w:p>
        </w:tc>
        <w:tc>
          <w:tcPr>
            <w:tcW w:w="1662" w:type="dxa"/>
          </w:tcPr>
          <w:p w14:paraId="6BEC2651" w14:textId="16B6E2B6" w:rsidR="18AF3A3E" w:rsidRDefault="18AF3A3E" w:rsidP="006771BB">
            <w:pPr>
              <w:spacing w:after="140"/>
              <w:jc w:val="center"/>
            </w:pPr>
            <w:r w:rsidRPr="18AF3A3E">
              <w:rPr>
                <w:rFonts w:ascii="Calibri" w:eastAsia="Calibri" w:hAnsi="Calibri" w:cs="Calibri"/>
                <w:color w:val="000000"/>
                <w:sz w:val="22"/>
              </w:rPr>
              <w:t>2,477</w:t>
            </w:r>
          </w:p>
        </w:tc>
        <w:tc>
          <w:tcPr>
            <w:tcW w:w="1662" w:type="dxa"/>
          </w:tcPr>
          <w:p w14:paraId="17BCD745" w14:textId="6B1364BE" w:rsidR="18AF3A3E" w:rsidRDefault="18AF3A3E" w:rsidP="006771BB">
            <w:pPr>
              <w:spacing w:after="140"/>
              <w:jc w:val="center"/>
            </w:pPr>
            <w:r w:rsidRPr="18AF3A3E">
              <w:rPr>
                <w:rFonts w:ascii="Calibri" w:eastAsia="Calibri" w:hAnsi="Calibri" w:cs="Calibri"/>
                <w:color w:val="000000"/>
                <w:sz w:val="22"/>
              </w:rPr>
              <w:t>7</w:t>
            </w:r>
          </w:p>
        </w:tc>
        <w:tc>
          <w:tcPr>
            <w:tcW w:w="1662" w:type="dxa"/>
          </w:tcPr>
          <w:p w14:paraId="23EE58D6" w14:textId="2C166F43" w:rsidR="18AF3A3E" w:rsidRDefault="18AF3A3E" w:rsidP="006771BB">
            <w:pPr>
              <w:spacing w:after="140"/>
              <w:jc w:val="center"/>
            </w:pPr>
            <w:r w:rsidRPr="18AF3A3E">
              <w:rPr>
                <w:rFonts w:ascii="Calibri" w:eastAsia="Calibri" w:hAnsi="Calibri" w:cs="Calibri"/>
                <w:color w:val="000000"/>
                <w:sz w:val="22"/>
              </w:rPr>
              <w:t>0</w:t>
            </w:r>
          </w:p>
        </w:tc>
      </w:tr>
      <w:tr w:rsidR="18AF3A3E" w14:paraId="15053462" w14:textId="77777777" w:rsidTr="0079448F">
        <w:trPr>
          <w:trHeight w:val="358"/>
        </w:trPr>
        <w:tc>
          <w:tcPr>
            <w:tcW w:w="1662" w:type="dxa"/>
          </w:tcPr>
          <w:p w14:paraId="4C7F3C46" w14:textId="0FE35FAB" w:rsidR="18AF3A3E" w:rsidRPr="006771BB" w:rsidRDefault="18AF3A3E" w:rsidP="006771BB">
            <w:pPr>
              <w:spacing w:after="140"/>
              <w:rPr>
                <w:b/>
                <w:bCs/>
              </w:rPr>
            </w:pPr>
            <w:r w:rsidRPr="006771BB">
              <w:rPr>
                <w:rFonts w:ascii="Calibri" w:eastAsia="Calibri" w:hAnsi="Calibri" w:cs="Calibri"/>
                <w:b/>
                <w:bCs/>
                <w:color w:val="000000"/>
                <w:sz w:val="22"/>
              </w:rPr>
              <w:t xml:space="preserve">PG&amp;E </w:t>
            </w:r>
          </w:p>
        </w:tc>
        <w:tc>
          <w:tcPr>
            <w:tcW w:w="1662" w:type="dxa"/>
          </w:tcPr>
          <w:p w14:paraId="082DB507" w14:textId="29DE36A7" w:rsidR="18AF3A3E" w:rsidRDefault="18AF3A3E" w:rsidP="006771BB">
            <w:pPr>
              <w:spacing w:after="140"/>
            </w:pPr>
            <w:r w:rsidRPr="18AF3A3E">
              <w:rPr>
                <w:rFonts w:ascii="Calibri" w:eastAsia="Calibri" w:hAnsi="Calibri" w:cs="Calibri"/>
                <w:color w:val="000000"/>
                <w:sz w:val="22"/>
              </w:rPr>
              <w:t>Oct. 25-28</w:t>
            </w:r>
          </w:p>
        </w:tc>
        <w:tc>
          <w:tcPr>
            <w:tcW w:w="1662" w:type="dxa"/>
          </w:tcPr>
          <w:p w14:paraId="6F9378E3" w14:textId="63E5C27B" w:rsidR="18AF3A3E" w:rsidRDefault="18AF3A3E" w:rsidP="006771BB">
            <w:pPr>
              <w:spacing w:after="140"/>
              <w:jc w:val="center"/>
            </w:pPr>
            <w:r w:rsidRPr="18AF3A3E">
              <w:rPr>
                <w:rFonts w:ascii="Calibri" w:eastAsia="Calibri" w:hAnsi="Calibri" w:cs="Calibri"/>
                <w:color w:val="000000"/>
                <w:sz w:val="22"/>
              </w:rPr>
              <w:t>345,470</w:t>
            </w:r>
          </w:p>
        </w:tc>
        <w:tc>
          <w:tcPr>
            <w:tcW w:w="1662" w:type="dxa"/>
          </w:tcPr>
          <w:p w14:paraId="6131F353" w14:textId="05268488" w:rsidR="18AF3A3E" w:rsidRDefault="18AF3A3E" w:rsidP="006771BB">
            <w:pPr>
              <w:spacing w:after="140"/>
              <w:jc w:val="center"/>
            </w:pPr>
            <w:r w:rsidRPr="18AF3A3E">
              <w:rPr>
                <w:rFonts w:ascii="Calibri" w:eastAsia="Calibri" w:hAnsi="Calibri" w:cs="Calibri"/>
                <w:color w:val="000000"/>
                <w:sz w:val="22"/>
              </w:rPr>
              <w:t>22,124</w:t>
            </w:r>
          </w:p>
        </w:tc>
        <w:tc>
          <w:tcPr>
            <w:tcW w:w="1662" w:type="dxa"/>
          </w:tcPr>
          <w:p w14:paraId="1722CA44" w14:textId="5CFDF566" w:rsidR="18AF3A3E" w:rsidRDefault="18AF3A3E" w:rsidP="006771BB">
            <w:pPr>
              <w:spacing w:after="140"/>
              <w:jc w:val="center"/>
            </w:pPr>
            <w:r w:rsidRPr="18AF3A3E">
              <w:rPr>
                <w:rFonts w:ascii="Calibri" w:eastAsia="Calibri" w:hAnsi="Calibri" w:cs="Calibri"/>
                <w:color w:val="000000"/>
                <w:sz w:val="22"/>
              </w:rPr>
              <w:t>35</w:t>
            </w:r>
          </w:p>
        </w:tc>
        <w:tc>
          <w:tcPr>
            <w:tcW w:w="1662" w:type="dxa"/>
          </w:tcPr>
          <w:p w14:paraId="10A366E1" w14:textId="33B5C2E1" w:rsidR="18AF3A3E" w:rsidRDefault="18AF3A3E" w:rsidP="006771BB">
            <w:pPr>
              <w:spacing w:after="140"/>
              <w:jc w:val="center"/>
            </w:pPr>
            <w:r w:rsidRPr="18AF3A3E">
              <w:rPr>
                <w:rFonts w:ascii="Calibri" w:eastAsia="Calibri" w:hAnsi="Calibri" w:cs="Calibri"/>
                <w:color w:val="000000"/>
                <w:sz w:val="22"/>
              </w:rPr>
              <w:t>14</w:t>
            </w:r>
          </w:p>
        </w:tc>
      </w:tr>
      <w:tr w:rsidR="18AF3A3E" w14:paraId="4F2C6EBA" w14:textId="77777777" w:rsidTr="0079448F">
        <w:trPr>
          <w:trHeight w:val="221"/>
        </w:trPr>
        <w:tc>
          <w:tcPr>
            <w:tcW w:w="1662" w:type="dxa"/>
          </w:tcPr>
          <w:p w14:paraId="37C11E4B" w14:textId="78E3AF89" w:rsidR="18AF3A3E" w:rsidRPr="006771BB" w:rsidRDefault="18AF3A3E" w:rsidP="006771BB">
            <w:pPr>
              <w:spacing w:after="140"/>
              <w:rPr>
                <w:b/>
                <w:bCs/>
              </w:rPr>
            </w:pPr>
            <w:r w:rsidRPr="006771BB">
              <w:rPr>
                <w:rFonts w:ascii="Calibri" w:eastAsia="Calibri" w:hAnsi="Calibri" w:cs="Calibri"/>
                <w:b/>
                <w:bCs/>
                <w:color w:val="000000"/>
                <w:sz w:val="22"/>
              </w:rPr>
              <w:t>SCE</w:t>
            </w:r>
          </w:p>
        </w:tc>
        <w:tc>
          <w:tcPr>
            <w:tcW w:w="1662" w:type="dxa"/>
          </w:tcPr>
          <w:p w14:paraId="6BB207CC" w14:textId="356A0820" w:rsidR="18AF3A3E" w:rsidRDefault="18AF3A3E" w:rsidP="006771BB">
            <w:pPr>
              <w:spacing w:after="140"/>
            </w:pPr>
            <w:r w:rsidRPr="18AF3A3E">
              <w:rPr>
                <w:rFonts w:ascii="Calibri" w:eastAsia="Calibri" w:hAnsi="Calibri" w:cs="Calibri"/>
                <w:color w:val="000000"/>
                <w:sz w:val="22"/>
              </w:rPr>
              <w:t>Oct. 16</w:t>
            </w:r>
          </w:p>
        </w:tc>
        <w:tc>
          <w:tcPr>
            <w:tcW w:w="1662" w:type="dxa"/>
          </w:tcPr>
          <w:p w14:paraId="4E7572E6" w14:textId="2680C03D" w:rsidR="18AF3A3E" w:rsidRDefault="18AF3A3E" w:rsidP="006771BB">
            <w:pPr>
              <w:spacing w:after="140"/>
              <w:jc w:val="center"/>
            </w:pPr>
            <w:r w:rsidRPr="18AF3A3E">
              <w:rPr>
                <w:rFonts w:ascii="Calibri" w:eastAsia="Calibri" w:hAnsi="Calibri" w:cs="Calibri"/>
                <w:color w:val="000000"/>
                <w:sz w:val="22"/>
              </w:rPr>
              <w:t>86</w:t>
            </w:r>
          </w:p>
        </w:tc>
        <w:tc>
          <w:tcPr>
            <w:tcW w:w="1662" w:type="dxa"/>
          </w:tcPr>
          <w:p w14:paraId="2EDD3385" w14:textId="3AA572FD" w:rsidR="18AF3A3E" w:rsidRDefault="18AF3A3E" w:rsidP="006771BB">
            <w:pPr>
              <w:spacing w:after="140"/>
              <w:jc w:val="center"/>
            </w:pPr>
            <w:r w:rsidRPr="18AF3A3E">
              <w:rPr>
                <w:rFonts w:ascii="Calibri" w:eastAsia="Calibri" w:hAnsi="Calibri" w:cs="Calibri"/>
                <w:color w:val="000000"/>
                <w:sz w:val="22"/>
              </w:rPr>
              <w:t>1</w:t>
            </w:r>
          </w:p>
        </w:tc>
        <w:tc>
          <w:tcPr>
            <w:tcW w:w="1662" w:type="dxa"/>
          </w:tcPr>
          <w:p w14:paraId="16E06BDE" w14:textId="2699B455" w:rsidR="18AF3A3E" w:rsidRDefault="18AF3A3E" w:rsidP="006771BB">
            <w:pPr>
              <w:spacing w:after="140"/>
              <w:jc w:val="center"/>
            </w:pPr>
            <w:r w:rsidRPr="18AF3A3E">
              <w:rPr>
                <w:rFonts w:ascii="Calibri" w:eastAsia="Calibri" w:hAnsi="Calibri" w:cs="Calibri"/>
                <w:color w:val="000000"/>
                <w:sz w:val="22"/>
              </w:rPr>
              <w:t>2</w:t>
            </w:r>
          </w:p>
        </w:tc>
        <w:tc>
          <w:tcPr>
            <w:tcW w:w="1662" w:type="dxa"/>
          </w:tcPr>
          <w:p w14:paraId="30E32123" w14:textId="370490A2" w:rsidR="18AF3A3E" w:rsidRDefault="18AF3A3E" w:rsidP="006771BB">
            <w:pPr>
              <w:spacing w:after="140"/>
              <w:jc w:val="center"/>
            </w:pPr>
            <w:r w:rsidRPr="18AF3A3E">
              <w:rPr>
                <w:rFonts w:ascii="Calibri" w:eastAsia="Calibri" w:hAnsi="Calibri" w:cs="Calibri"/>
                <w:color w:val="000000"/>
                <w:sz w:val="22"/>
              </w:rPr>
              <w:t>0</w:t>
            </w:r>
          </w:p>
        </w:tc>
      </w:tr>
      <w:tr w:rsidR="18AF3A3E" w14:paraId="29603FE7" w14:textId="77777777" w:rsidTr="0079448F">
        <w:trPr>
          <w:trHeight w:val="358"/>
        </w:trPr>
        <w:tc>
          <w:tcPr>
            <w:tcW w:w="1662" w:type="dxa"/>
          </w:tcPr>
          <w:p w14:paraId="448ADD60" w14:textId="06A4BC6B" w:rsidR="18AF3A3E" w:rsidRPr="006771BB" w:rsidRDefault="18AF3A3E" w:rsidP="006771BB">
            <w:pPr>
              <w:spacing w:after="140"/>
              <w:rPr>
                <w:b/>
                <w:bCs/>
              </w:rPr>
            </w:pPr>
            <w:r w:rsidRPr="006771BB">
              <w:rPr>
                <w:rFonts w:ascii="Calibri" w:eastAsia="Calibri" w:hAnsi="Calibri" w:cs="Calibri"/>
                <w:b/>
                <w:bCs/>
                <w:color w:val="000000"/>
                <w:sz w:val="22"/>
              </w:rPr>
              <w:t>SCE</w:t>
            </w:r>
          </w:p>
        </w:tc>
        <w:tc>
          <w:tcPr>
            <w:tcW w:w="1662" w:type="dxa"/>
          </w:tcPr>
          <w:p w14:paraId="2978E43D" w14:textId="628F397A" w:rsidR="18AF3A3E" w:rsidRDefault="18AF3A3E" w:rsidP="006771BB">
            <w:pPr>
              <w:spacing w:after="140"/>
            </w:pPr>
            <w:r w:rsidRPr="18AF3A3E">
              <w:rPr>
                <w:rFonts w:ascii="Calibri" w:eastAsia="Calibri" w:hAnsi="Calibri" w:cs="Calibri"/>
                <w:color w:val="000000"/>
                <w:sz w:val="22"/>
              </w:rPr>
              <w:t>Oct. 23-28</w:t>
            </w:r>
          </w:p>
        </w:tc>
        <w:tc>
          <w:tcPr>
            <w:tcW w:w="1662" w:type="dxa"/>
          </w:tcPr>
          <w:p w14:paraId="7A7FABC6" w14:textId="715BED95" w:rsidR="18AF3A3E" w:rsidRDefault="18AF3A3E" w:rsidP="006771BB">
            <w:pPr>
              <w:spacing w:after="140"/>
              <w:jc w:val="center"/>
            </w:pPr>
            <w:r w:rsidRPr="18AF3A3E">
              <w:rPr>
                <w:rFonts w:ascii="Calibri" w:eastAsia="Calibri" w:hAnsi="Calibri" w:cs="Calibri"/>
                <w:color w:val="000000"/>
                <w:sz w:val="22"/>
              </w:rPr>
              <w:t>36,307</w:t>
            </w:r>
          </w:p>
        </w:tc>
        <w:tc>
          <w:tcPr>
            <w:tcW w:w="1662" w:type="dxa"/>
          </w:tcPr>
          <w:p w14:paraId="037E141C" w14:textId="784764B7" w:rsidR="18AF3A3E" w:rsidRDefault="18AF3A3E" w:rsidP="006771BB">
            <w:pPr>
              <w:spacing w:after="140"/>
              <w:jc w:val="center"/>
            </w:pPr>
            <w:r w:rsidRPr="18AF3A3E">
              <w:rPr>
                <w:rFonts w:ascii="Calibri" w:eastAsia="Calibri" w:hAnsi="Calibri" w:cs="Calibri"/>
                <w:color w:val="000000"/>
                <w:sz w:val="22"/>
              </w:rPr>
              <w:t>860</w:t>
            </w:r>
          </w:p>
        </w:tc>
        <w:tc>
          <w:tcPr>
            <w:tcW w:w="1662" w:type="dxa"/>
          </w:tcPr>
          <w:p w14:paraId="1176C053" w14:textId="19083F5C" w:rsidR="18AF3A3E" w:rsidRDefault="18AF3A3E" w:rsidP="006771BB">
            <w:pPr>
              <w:spacing w:after="140"/>
              <w:jc w:val="center"/>
            </w:pPr>
            <w:r w:rsidRPr="18AF3A3E">
              <w:rPr>
                <w:rFonts w:ascii="Calibri" w:eastAsia="Calibri" w:hAnsi="Calibri" w:cs="Calibri"/>
                <w:color w:val="000000"/>
                <w:sz w:val="22"/>
              </w:rPr>
              <w:t>6</w:t>
            </w:r>
          </w:p>
        </w:tc>
        <w:tc>
          <w:tcPr>
            <w:tcW w:w="1662" w:type="dxa"/>
          </w:tcPr>
          <w:p w14:paraId="58C5E9A6" w14:textId="59074992" w:rsidR="18AF3A3E" w:rsidRDefault="18AF3A3E" w:rsidP="006771BB">
            <w:pPr>
              <w:spacing w:after="140"/>
              <w:jc w:val="center"/>
            </w:pPr>
            <w:r w:rsidRPr="18AF3A3E">
              <w:rPr>
                <w:rFonts w:ascii="Calibri" w:eastAsia="Calibri" w:hAnsi="Calibri" w:cs="Calibri"/>
                <w:color w:val="000000"/>
                <w:sz w:val="22"/>
              </w:rPr>
              <w:t>0</w:t>
            </w:r>
          </w:p>
        </w:tc>
      </w:tr>
      <w:tr w:rsidR="18AF3A3E" w14:paraId="6C17FA14" w14:textId="77777777" w:rsidTr="0079448F">
        <w:trPr>
          <w:trHeight w:val="358"/>
        </w:trPr>
        <w:tc>
          <w:tcPr>
            <w:tcW w:w="1662" w:type="dxa"/>
          </w:tcPr>
          <w:p w14:paraId="1B98ABA0" w14:textId="0D01381B" w:rsidR="18AF3A3E" w:rsidRPr="006771BB" w:rsidRDefault="18AF3A3E" w:rsidP="006771BB">
            <w:pPr>
              <w:spacing w:after="140"/>
              <w:rPr>
                <w:b/>
                <w:bCs/>
              </w:rPr>
            </w:pPr>
            <w:r w:rsidRPr="006771BB">
              <w:rPr>
                <w:rFonts w:ascii="Calibri" w:eastAsia="Calibri" w:hAnsi="Calibri" w:cs="Calibri"/>
                <w:b/>
                <w:bCs/>
                <w:color w:val="000000"/>
                <w:sz w:val="22"/>
              </w:rPr>
              <w:t>SDG&amp;E</w:t>
            </w:r>
          </w:p>
        </w:tc>
        <w:tc>
          <w:tcPr>
            <w:tcW w:w="1662" w:type="dxa"/>
          </w:tcPr>
          <w:p w14:paraId="306CCEF6" w14:textId="46C1BA7A" w:rsidR="18AF3A3E" w:rsidRDefault="18AF3A3E" w:rsidP="006771BB">
            <w:pPr>
              <w:spacing w:after="140"/>
            </w:pPr>
            <w:r w:rsidRPr="18AF3A3E">
              <w:rPr>
                <w:rFonts w:ascii="Calibri" w:eastAsia="Calibri" w:hAnsi="Calibri" w:cs="Calibri"/>
                <w:color w:val="000000"/>
                <w:sz w:val="22"/>
              </w:rPr>
              <w:t>Oct. 26-27</w:t>
            </w:r>
          </w:p>
        </w:tc>
        <w:tc>
          <w:tcPr>
            <w:tcW w:w="1662" w:type="dxa"/>
          </w:tcPr>
          <w:p w14:paraId="3219B22C" w14:textId="37615F84" w:rsidR="18AF3A3E" w:rsidRDefault="18AF3A3E" w:rsidP="006771BB">
            <w:pPr>
              <w:spacing w:after="140"/>
              <w:jc w:val="center"/>
            </w:pPr>
            <w:r w:rsidRPr="18AF3A3E">
              <w:rPr>
                <w:rFonts w:ascii="Calibri" w:eastAsia="Calibri" w:hAnsi="Calibri" w:cs="Calibri"/>
                <w:color w:val="000000"/>
                <w:sz w:val="22"/>
              </w:rPr>
              <w:t>4,373</w:t>
            </w:r>
          </w:p>
        </w:tc>
        <w:tc>
          <w:tcPr>
            <w:tcW w:w="1662" w:type="dxa"/>
          </w:tcPr>
          <w:p w14:paraId="0CACC547" w14:textId="1928E486" w:rsidR="18AF3A3E" w:rsidRDefault="18AF3A3E" w:rsidP="006771BB">
            <w:pPr>
              <w:spacing w:after="140"/>
              <w:jc w:val="center"/>
            </w:pPr>
            <w:r w:rsidRPr="18AF3A3E">
              <w:rPr>
                <w:rFonts w:ascii="Calibri" w:eastAsia="Calibri" w:hAnsi="Calibri" w:cs="Calibri"/>
                <w:color w:val="000000"/>
                <w:sz w:val="22"/>
              </w:rPr>
              <w:t>211</w:t>
            </w:r>
          </w:p>
        </w:tc>
        <w:tc>
          <w:tcPr>
            <w:tcW w:w="1662" w:type="dxa"/>
          </w:tcPr>
          <w:p w14:paraId="04B4CC95" w14:textId="67177C8F" w:rsidR="18AF3A3E" w:rsidRDefault="18AF3A3E" w:rsidP="006771BB">
            <w:pPr>
              <w:spacing w:after="140"/>
              <w:jc w:val="center"/>
            </w:pPr>
            <w:r w:rsidRPr="18AF3A3E">
              <w:rPr>
                <w:rFonts w:ascii="Calibri" w:eastAsia="Calibri" w:hAnsi="Calibri" w:cs="Calibri"/>
                <w:color w:val="000000"/>
                <w:sz w:val="22"/>
              </w:rPr>
              <w:t>1</w:t>
            </w:r>
          </w:p>
        </w:tc>
        <w:tc>
          <w:tcPr>
            <w:tcW w:w="1662" w:type="dxa"/>
          </w:tcPr>
          <w:p w14:paraId="7DAE1BEA" w14:textId="081F2D39" w:rsidR="18AF3A3E" w:rsidRDefault="18AF3A3E" w:rsidP="006771BB">
            <w:pPr>
              <w:spacing w:after="140"/>
              <w:jc w:val="center"/>
            </w:pPr>
            <w:r w:rsidRPr="18AF3A3E">
              <w:rPr>
                <w:rFonts w:ascii="Calibri" w:eastAsia="Calibri" w:hAnsi="Calibri" w:cs="Calibri"/>
                <w:color w:val="000000"/>
                <w:sz w:val="22"/>
              </w:rPr>
              <w:t>3</w:t>
            </w:r>
          </w:p>
        </w:tc>
      </w:tr>
    </w:tbl>
    <w:p w14:paraId="5E9EE161" w14:textId="62E94521" w:rsidR="00A468A0" w:rsidRPr="00BB6DC9" w:rsidRDefault="00D64AE1" w:rsidP="00A468A0">
      <w:pPr>
        <w:pStyle w:val="Heading3"/>
      </w:pPr>
      <w:bookmarkStart w:id="75" w:name="_Toc58401350"/>
      <w:r>
        <w:t xml:space="preserve">PSPS Related </w:t>
      </w:r>
      <w:r w:rsidR="00A468A0" w:rsidRPr="00BB6DC9">
        <w:t>Proceedings</w:t>
      </w:r>
      <w:bookmarkEnd w:id="75"/>
    </w:p>
    <w:p w14:paraId="2265AD0D" w14:textId="0D365737" w:rsidR="00D358D1" w:rsidRDefault="00C4599A" w:rsidP="00D358D1">
      <w:r w:rsidRPr="272C883C">
        <w:rPr>
          <w:b/>
          <w:bCs/>
        </w:rPr>
        <w:t>Rulemaking to Examine Electric Utility De-Energization of Power Lines in Dangerous Conditions (R.18-12-005) (President Batjer/ALJ Poirier /ALJ Stevens) (SED Advisory):</w:t>
      </w:r>
      <w:r>
        <w:t xml:space="preserve"> </w:t>
      </w:r>
      <w:r w:rsidR="00D358D1">
        <w:t xml:space="preserve">This Order Instituting Rulemaking (OIR) was opened to further examine policies and guidelines adopted in ESRB-8 regarding communication, notification, mitigation and other logistic and implementation issues of a Public Safety Power Shutoff (PSPS) event.  On May 30, 2019, the CPUC adopted Phase I PSPS Guidelines in D.19-05-042 (R.18-12-005) which addressed notice and communication issues.  The following year, on May 28, 2020, the CPUC adopted Phase 2 updated and additional guidelines in Decision 20-05-051, which more comprehensively examined de-energization and re-energization practices, notification and other guidelines affecting Medical Baseline and access and functional need (AFN) customers, and which also strengthened the existing Phase 1 PSPS guidelines.  On September 14, 2020, ALJ Stevens incorporated into the record SED’s April 30, 2020 report, “Public Report on the Late 2019 Public Safety Power Shutoff Events" (SED Report) which evaluates the 2019 PSPS events. Currently, there are two tracks in this OIR: </w:t>
      </w:r>
    </w:p>
    <w:p w14:paraId="78BC92D2" w14:textId="50D7985B" w:rsidR="00A53637" w:rsidRPr="00C3048E" w:rsidRDefault="00A53637" w:rsidP="00A53637">
      <w:pPr>
        <w:pStyle w:val="ListParagraph"/>
        <w:numPr>
          <w:ilvl w:val="0"/>
          <w:numId w:val="42"/>
        </w:numPr>
        <w:rPr>
          <w:sz w:val="22"/>
        </w:rPr>
      </w:pPr>
      <w:r w:rsidRPr="00C3048E">
        <w:rPr>
          <w:sz w:val="22"/>
        </w:rPr>
        <w:t>Continued examination of utility de-energization/PSPS practices and guidelines. Comments on the SED Report and how it can inform the PSPS</w:t>
      </w:r>
      <w:r w:rsidR="008E516D" w:rsidRPr="00C3048E">
        <w:rPr>
          <w:sz w:val="22"/>
        </w:rPr>
        <w:t xml:space="preserve"> guidelines are due December 2, 2020.</w:t>
      </w:r>
    </w:p>
    <w:p w14:paraId="79FCBC3D" w14:textId="7803A454" w:rsidR="008E516D" w:rsidRPr="00C3048E" w:rsidRDefault="006C4CE5" w:rsidP="00A53637">
      <w:pPr>
        <w:pStyle w:val="ListParagraph"/>
        <w:numPr>
          <w:ilvl w:val="0"/>
          <w:numId w:val="42"/>
        </w:numPr>
        <w:rPr>
          <w:sz w:val="22"/>
        </w:rPr>
      </w:pPr>
      <w:r w:rsidRPr="00C3048E">
        <w:rPr>
          <w:sz w:val="22"/>
        </w:rPr>
        <w:t>An Order to Show Cause (OSC) on why PG&amp;E should not be sanctioned for violations of P.U. Code 451, D.19-05-042 (Phase I) and ESRB-8 concerning three PSPS events in October 2019.  Opening Briefs were due October 30, 2020 and Reply Briefs are due on November 17, 2020.</w:t>
      </w:r>
    </w:p>
    <w:p w14:paraId="2BBDE4BA" w14:textId="17100F0C" w:rsidR="00834015" w:rsidRDefault="0135CCE8">
      <w:pPr>
        <w:rPr>
          <w:szCs w:val="24"/>
        </w:rPr>
      </w:pPr>
      <w:r w:rsidRPr="272C883C">
        <w:rPr>
          <w:b/>
          <w:bCs/>
        </w:rPr>
        <w:t>PSPS Order Instituting Investigation (I.19-11-013) (Commissioner Batjer/ALJ DeAngelis) (SED Advisory).</w:t>
      </w:r>
      <w:r>
        <w:t xml:space="preserve"> </w:t>
      </w:r>
      <w:r w:rsidR="008D4027">
        <w:t xml:space="preserve">This Investigation was initiated to determine whether California’s investor-owned electric utilities (IOUs) that experienced PSPS events in late 2019 prioritized safety and complied with the Commission’s regulations and requirements in ESRB-8 and D.19-05-042 (Phase 1 PSPS Guidelines). This OII is a companion to R.18-12-005, the Commission’s rulemaking to examine the practice of utility de-energization of powerlines during dangerous conditions. The assigned Commissioner’s Ruling dated August 3, 2020, narrowed and limited the scope of the OSC track in R.18-12-005 to specific deficiencies in PG&amp;E’s conduct related to three PSPS events in October 2019.  In contrast, the scope of I.19-11-013 encompasses the review of all aspects of the PSPS events </w:t>
      </w:r>
      <w:r w:rsidR="00B42F2D">
        <w:t xml:space="preserve">for all IOUs </w:t>
      </w:r>
      <w:r w:rsidR="008D4027">
        <w:t xml:space="preserve">in late 2019. On April 30, 2020, SED produced a report evaluating the IOUs’ Late Fall 2019 PSPS events. Subsequently the ALJ entered this SED Report into the Record. On September 2, 2020, PG&amp;E, SCE and SDG&amp;E filed comments on the issues identified in the </w:t>
      </w:r>
      <w:r w:rsidR="009D7E4F">
        <w:t xml:space="preserve">OSC </w:t>
      </w:r>
      <w:r w:rsidR="008D4027">
        <w:t>Phase 2 Scoping Memo and Ruling. On October 16, 2020, all other parties filed comments</w:t>
      </w:r>
      <w:r w:rsidR="0043772C">
        <w:t>.</w:t>
      </w:r>
      <w:r w:rsidR="008D4027">
        <w:t xml:space="preserve"> Reply comments are due November 16, 2020.</w:t>
      </w:r>
    </w:p>
    <w:p w14:paraId="3ADF890C" w14:textId="22AB8673" w:rsidR="00E27F92" w:rsidRPr="006771BB" w:rsidRDefault="00995D3A" w:rsidP="00FB2031">
      <w:pPr>
        <w:pStyle w:val="Heading2"/>
        <w:rPr>
          <w:b/>
          <w:bCs/>
        </w:rPr>
      </w:pPr>
      <w:bookmarkStart w:id="76" w:name="_Toc58401351"/>
      <w:r w:rsidRPr="006771BB">
        <w:rPr>
          <w:b/>
          <w:bCs/>
        </w:rPr>
        <w:t>Monitoring the Whistleblower Website</w:t>
      </w:r>
      <w:bookmarkEnd w:id="76"/>
    </w:p>
    <w:p w14:paraId="11C95A90" w14:textId="09219EBF" w:rsidR="00E27F92" w:rsidRDefault="00E27F92" w:rsidP="00E27F92">
      <w:pPr>
        <w:spacing w:before="240"/>
      </w:pPr>
      <w:r w:rsidRPr="00771FBF">
        <w:t xml:space="preserve">The Commission regulates privately owned electric, natural gas, telecommunications, water, railroad, rail transit, and passenger transportation companies. </w:t>
      </w:r>
      <w:r w:rsidR="007D6A4B">
        <w:t>It</w:t>
      </w:r>
      <w:r w:rsidRPr="00771FBF">
        <w:t xml:space="preserve"> serves the public interest by protecting consumers and ensuring that utility services and infrastructure are safe, reliable, and available at reasonable rates</w:t>
      </w:r>
      <w:r w:rsidR="00107863">
        <w:t>.</w:t>
      </w:r>
      <w:r w:rsidRPr="00771FBF">
        <w:t xml:space="preserve"> The Commission is charged with ensuring that these regulated service providers comply with the regulations. </w:t>
      </w:r>
      <w:r w:rsidR="004B6ED2">
        <w:t>Wh</w:t>
      </w:r>
      <w:r w:rsidR="00A439C3">
        <w:t xml:space="preserve">istleblower complaints can result in </w:t>
      </w:r>
      <w:r w:rsidRPr="00771FBF">
        <w:t>Commission investigations</w:t>
      </w:r>
      <w:r w:rsidR="00A439C3">
        <w:t xml:space="preserve"> that</w:t>
      </w:r>
      <w:r w:rsidRPr="00771FBF">
        <w:t xml:space="preserve"> may involve safety</w:t>
      </w:r>
      <w:r w:rsidR="00677C24">
        <w:t xml:space="preserve"> and other</w:t>
      </w:r>
      <w:r w:rsidRPr="00771FBF">
        <w:t xml:space="preserve"> issues</w:t>
      </w:r>
      <w:r w:rsidR="00677C24">
        <w:t xml:space="preserve">. </w:t>
      </w:r>
    </w:p>
    <w:p w14:paraId="703A1219" w14:textId="77777777" w:rsidR="004A1C72" w:rsidRPr="002D7428" w:rsidRDefault="004A1C72" w:rsidP="004A1C72">
      <w:pPr>
        <w:pStyle w:val="Heading3"/>
      </w:pPr>
      <w:bookmarkStart w:id="77" w:name="_Toc58401352"/>
      <w:r w:rsidRPr="002D7428">
        <w:t>Statistics - 1/01/</w:t>
      </w:r>
      <w:r>
        <w:t>20</w:t>
      </w:r>
      <w:r w:rsidRPr="002D7428">
        <w:t xml:space="preserve"> – </w:t>
      </w:r>
      <w:r>
        <w:t>10/31</w:t>
      </w:r>
      <w:r w:rsidRPr="002D7428">
        <w:t>/20</w:t>
      </w:r>
      <w:r>
        <w:t>20</w:t>
      </w:r>
      <w:bookmarkEnd w:id="77"/>
    </w:p>
    <w:p w14:paraId="3A79769D" w14:textId="72A15CA7" w:rsidR="0070496F" w:rsidRPr="000741FB" w:rsidRDefault="004A1C72" w:rsidP="005F4CA5">
      <w:pPr>
        <w:tabs>
          <w:tab w:val="left" w:pos="6960"/>
        </w:tabs>
      </w:pPr>
      <w:r w:rsidRPr="00C07FFA">
        <w:rPr>
          <w:szCs w:val="24"/>
        </w:rPr>
        <w:t xml:space="preserve">For October 2020, two whistleblower complaints were submitted </w:t>
      </w:r>
      <w:r w:rsidR="005F4CA5">
        <w:rPr>
          <w:szCs w:val="24"/>
        </w:rPr>
        <w:t xml:space="preserve">online </w:t>
      </w:r>
      <w:r w:rsidRPr="00C07FFA">
        <w:rPr>
          <w:szCs w:val="24"/>
        </w:rPr>
        <w:t>to SED.</w:t>
      </w:r>
      <w:r w:rsidR="00C07FFA">
        <w:rPr>
          <w:szCs w:val="24"/>
        </w:rPr>
        <w:t xml:space="preserve"> </w:t>
      </w:r>
      <w:r w:rsidR="005725CB">
        <w:rPr>
          <w:szCs w:val="24"/>
        </w:rPr>
        <w:t>SED is evaluating these complaints.</w:t>
      </w:r>
    </w:p>
    <w:sectPr w:rsidR="0070496F" w:rsidRPr="000741FB" w:rsidSect="00C21775">
      <w:footerReference w:type="default" r:id="rId17"/>
      <w:pgSz w:w="12240" w:h="15840"/>
      <w:pgMar w:top="1080" w:right="900" w:bottom="1642"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514B" w14:textId="77777777" w:rsidR="00522922" w:rsidRDefault="00522922">
      <w:r>
        <w:separator/>
      </w:r>
    </w:p>
  </w:endnote>
  <w:endnote w:type="continuationSeparator" w:id="0">
    <w:p w14:paraId="67302C90" w14:textId="77777777" w:rsidR="00522922" w:rsidRDefault="00522922">
      <w:r>
        <w:continuationSeparator/>
      </w:r>
    </w:p>
  </w:endnote>
  <w:endnote w:type="continuationNotice" w:id="1">
    <w:p w14:paraId="7E1FD5DA" w14:textId="77777777" w:rsidR="00522922" w:rsidRDefault="00522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Body)">
    <w:altName w:val="Century Gothic"/>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Body CS)">
    <w:altName w:val="Arial"/>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5CDA" w14:textId="49165DE5" w:rsidR="00E73929" w:rsidRDefault="00E83B1E">
    <w:pPr>
      <w:pStyle w:val="Footer"/>
    </w:pPr>
    <w:r>
      <w:rPr>
        <w:spacing w:val="26"/>
      </w:rPr>
      <w:t>O</w:t>
    </w:r>
    <w:r w:rsidR="001A0D31">
      <w:rPr>
        <w:spacing w:val="26"/>
      </w:rPr>
      <w:t>ctober</w:t>
    </w:r>
    <w:r w:rsidR="00AB6DD8">
      <w:rPr>
        <w:spacing w:val="26"/>
      </w:rPr>
      <w:t xml:space="preserve"> </w:t>
    </w:r>
    <w:r w:rsidR="00560E33">
      <w:rPr>
        <w:spacing w:val="26"/>
      </w:rPr>
      <w:t xml:space="preserve">2020                                  </w:t>
    </w:r>
    <w:r>
      <w:rPr>
        <w:spacing w:val="26"/>
      </w:rPr>
      <w:t xml:space="preserve"> </w:t>
    </w:r>
    <w:r w:rsidR="008B21D1" w:rsidRPr="0086461C">
      <w:rPr>
        <w:spacing w:val="26"/>
      </w:rPr>
      <w:t>CALIFORNIA PUBLIC UTILITIES COMMISSION</w:t>
    </w:r>
    <w:r w:rsidR="008B21D1">
      <w:tab/>
    </w:r>
    <w:r w:rsidR="008B21D1">
      <w:tab/>
    </w:r>
    <w:r w:rsidR="008B21D1">
      <w:tab/>
    </w:r>
    <w:r w:rsidR="008B21D1">
      <w:tab/>
    </w:r>
    <w:r w:rsidR="008B21D1">
      <w:tab/>
    </w:r>
    <w:r w:rsidR="008B21D1">
      <w:tab/>
    </w:r>
    <w:r w:rsidR="008B21D1">
      <w:tab/>
    </w:r>
    <w:r w:rsidR="008B21D1">
      <w:fldChar w:fldCharType="begin"/>
    </w:r>
    <w:r w:rsidR="008B21D1">
      <w:instrText xml:space="preserve"> PAGE  \* Arabic </w:instrText>
    </w:r>
    <w:r w:rsidR="008B21D1">
      <w:fldChar w:fldCharType="separate"/>
    </w:r>
    <w:r w:rsidR="008B21D1">
      <w:rPr>
        <w:noProof/>
      </w:rPr>
      <w:t>1</w:t>
    </w:r>
    <w:r w:rsidR="008B21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BDB6B" w14:textId="77777777" w:rsidR="00522922" w:rsidRDefault="00522922">
      <w:r>
        <w:separator/>
      </w:r>
    </w:p>
  </w:footnote>
  <w:footnote w:type="continuationSeparator" w:id="0">
    <w:p w14:paraId="1311F0F3" w14:textId="77777777" w:rsidR="00522922" w:rsidRDefault="00522922">
      <w:r>
        <w:continuationSeparator/>
      </w:r>
    </w:p>
  </w:footnote>
  <w:footnote w:type="continuationNotice" w:id="1">
    <w:p w14:paraId="0E133119" w14:textId="77777777" w:rsidR="00522922" w:rsidRDefault="00522922">
      <w:pPr>
        <w:spacing w:after="0" w:line="240" w:lineRule="auto"/>
      </w:pPr>
    </w:p>
  </w:footnote>
  <w:footnote w:id="2">
    <w:p w14:paraId="0CDD5689" w14:textId="0D8D380F" w:rsidR="00863A93" w:rsidRDefault="00863A93">
      <w:pPr>
        <w:pStyle w:val="FootnoteText"/>
      </w:pPr>
      <w:r>
        <w:rPr>
          <w:rStyle w:val="FootnoteReference"/>
        </w:rPr>
        <w:footnoteRef/>
      </w:r>
      <w:r w:rsidR="00360A00">
        <w:t>(Some customer and counties/tribes counts may be duplicative between PSPS events.)</w:t>
      </w:r>
      <w:r>
        <w:t xml:space="preserve"> </w:t>
      </w:r>
    </w:p>
  </w:footnote>
  <w:footnote w:id="3">
    <w:p w14:paraId="6980C956" w14:textId="141B335F" w:rsidR="008B21D1" w:rsidRPr="006608C1" w:rsidRDefault="008B21D1" w:rsidP="006C543F">
      <w:pPr>
        <w:pStyle w:val="FootnoteText"/>
      </w:pPr>
      <w:r>
        <w:rPr>
          <w:rStyle w:val="FootnoteReference"/>
        </w:rPr>
        <w:footnoteRef/>
      </w:r>
      <w:r>
        <w:t xml:space="preserve"> T</w:t>
      </w:r>
      <w:r w:rsidRPr="006608C1">
        <w:t xml:space="preserve">he category of “tracked in financial payment tracker” (FPT) is used to monitor compliance with financial payments to the Commission. The FPT category is verified and deemed “in compliance” </w:t>
      </w:r>
      <w:r>
        <w:t xml:space="preserve">and </w:t>
      </w:r>
      <w:r w:rsidRPr="006608C1">
        <w:t>is listed</w:t>
      </w:r>
      <w:r>
        <w:t xml:space="preserve"> as “in compliance” on this chart.</w:t>
      </w:r>
      <w:r w:rsidRPr="006608C1">
        <w:t xml:space="preserve"> </w:t>
      </w:r>
    </w:p>
    <w:p w14:paraId="0CB8DFC2" w14:textId="77777777" w:rsidR="008B21D1" w:rsidRDefault="008B21D1" w:rsidP="000741FB">
      <w:pPr>
        <w:pStyle w:val="FootnoteText"/>
      </w:pPr>
    </w:p>
  </w:footnote>
  <w:footnote w:id="4">
    <w:p w14:paraId="2B6CBE17" w14:textId="253BF9DB" w:rsidR="008B21D1" w:rsidRPr="006C543F" w:rsidRDefault="008B21D1" w:rsidP="006C543F">
      <w:pPr>
        <w:pStyle w:val="FootnoteText"/>
      </w:pPr>
      <w:r w:rsidRPr="00197E77">
        <w:rPr>
          <w:rStyle w:val="FootnoteReference"/>
        </w:rPr>
        <w:footnoteRef/>
      </w:r>
      <w:r w:rsidRPr="006C543F">
        <w:t xml:space="preserve">  </w:t>
      </w:r>
      <w:r w:rsidR="00C9572C">
        <w:t>I</w:t>
      </w:r>
      <w:r w:rsidRPr="006C543F">
        <w:t xml:space="preserve">n December 2011, the CPUC created a citation process authorizing staff to impose fines </w:t>
      </w:r>
      <w:r>
        <w:t xml:space="preserve">for </w:t>
      </w:r>
      <w:r w:rsidRPr="006C543F">
        <w:t>natural gas violati</w:t>
      </w:r>
      <w:r>
        <w:t>o</w:t>
      </w:r>
      <w:r w:rsidRPr="006C543F">
        <w:t>ns.</w:t>
      </w:r>
    </w:p>
  </w:footnote>
  <w:footnote w:id="5">
    <w:p w14:paraId="79048B6B" w14:textId="77777777" w:rsidR="008B21D1" w:rsidRDefault="008B21D1" w:rsidP="001401F3">
      <w:pPr>
        <w:pStyle w:val="FootnoteText"/>
      </w:pPr>
      <w:r>
        <w:rPr>
          <w:rStyle w:val="footnotemark"/>
        </w:rPr>
        <w:footnoteRef/>
      </w:r>
      <w:r>
        <w:t xml:space="preserve"> Level 1:  A safety incident that does not meet Level 2, 3, or 4 criteria.  Level 2:  Incident involved a power interruption not due solely to outside forces (Level 2 for Generation:</w:t>
      </w:r>
      <w:r w:rsidRPr="00691FF2">
        <w:rPr>
          <w:szCs w:val="20"/>
        </w:rPr>
        <w:t xml:space="preserve"> </w:t>
      </w:r>
      <w:r>
        <w:rPr>
          <w:szCs w:val="20"/>
        </w:rPr>
        <w:t>Incident that occurred during an Electric Alert, Warning or Emergency</w:t>
      </w:r>
      <w:r>
        <w:t xml:space="preserve">.  Level 3:  Incident involved damage estimated to exceed $50,000 and caused, at least in part, by the utility or its facilities (Level 3 for Generation: </w:t>
      </w:r>
      <w:r>
        <w:rPr>
          <w:szCs w:val="20"/>
        </w:rPr>
        <w:t>Incident resulted in a significant outage that was due, at least in part, to plant equipment and/or operations)</w:t>
      </w:r>
      <w:r>
        <w:t xml:space="preserve">.  Level 4:  Incident resulted in a fatality or injury requiring hospitalization and that was caused, at least in part, by the utility or its facilities or by </w:t>
      </w:r>
      <w:r>
        <w:rPr>
          <w:szCs w:val="20"/>
        </w:rPr>
        <w:t>equipment and/or operations</w:t>
      </w:r>
      <w:r>
        <w:t xml:space="preserve"> (for Power Plants).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5D2863AE"/>
    <w:lvl w:ilvl="0" w:tplc="1612F3F2">
      <w:start w:val="1"/>
      <w:numFmt w:val="decimal"/>
      <w:pStyle w:val="ListNumber4"/>
      <w:lvlText w:val="%1."/>
      <w:lvlJc w:val="left"/>
      <w:pPr>
        <w:tabs>
          <w:tab w:val="num" w:pos="1440"/>
        </w:tabs>
        <w:ind w:left="1440" w:hanging="360"/>
      </w:pPr>
    </w:lvl>
    <w:lvl w:ilvl="1" w:tplc="19067568">
      <w:numFmt w:val="decimal"/>
      <w:lvlText w:val=""/>
      <w:lvlJc w:val="left"/>
    </w:lvl>
    <w:lvl w:ilvl="2" w:tplc="72BAE5E0">
      <w:numFmt w:val="decimal"/>
      <w:lvlText w:val=""/>
      <w:lvlJc w:val="left"/>
    </w:lvl>
    <w:lvl w:ilvl="3" w:tplc="690C563C">
      <w:numFmt w:val="decimal"/>
      <w:lvlText w:val=""/>
      <w:lvlJc w:val="left"/>
    </w:lvl>
    <w:lvl w:ilvl="4" w:tplc="D722CD4C">
      <w:numFmt w:val="decimal"/>
      <w:lvlText w:val=""/>
      <w:lvlJc w:val="left"/>
    </w:lvl>
    <w:lvl w:ilvl="5" w:tplc="62D62252">
      <w:numFmt w:val="decimal"/>
      <w:lvlText w:val=""/>
      <w:lvlJc w:val="left"/>
    </w:lvl>
    <w:lvl w:ilvl="6" w:tplc="2E9EBB72">
      <w:numFmt w:val="decimal"/>
      <w:lvlText w:val=""/>
      <w:lvlJc w:val="left"/>
    </w:lvl>
    <w:lvl w:ilvl="7" w:tplc="81DC3F70">
      <w:numFmt w:val="decimal"/>
      <w:lvlText w:val=""/>
      <w:lvlJc w:val="left"/>
    </w:lvl>
    <w:lvl w:ilvl="8" w:tplc="266AF922">
      <w:numFmt w:val="decimal"/>
      <w:lvlText w:val=""/>
      <w:lvlJc w:val="left"/>
    </w:lvl>
  </w:abstractNum>
  <w:abstractNum w:abstractNumId="2" w15:restartNumberingAfterBreak="0">
    <w:nsid w:val="FFFFFF7E"/>
    <w:multiLevelType w:val="hybridMultilevel"/>
    <w:tmpl w:val="003C70B0"/>
    <w:lvl w:ilvl="0" w:tplc="5EEACC06">
      <w:start w:val="1"/>
      <w:numFmt w:val="lowerLetter"/>
      <w:pStyle w:val="ListNumber3"/>
      <w:lvlText w:val="%1."/>
      <w:lvlJc w:val="left"/>
      <w:pPr>
        <w:ind w:left="1080" w:hanging="360"/>
      </w:pPr>
    </w:lvl>
    <w:lvl w:ilvl="1" w:tplc="7DEAF764">
      <w:numFmt w:val="decimal"/>
      <w:lvlText w:val=""/>
      <w:lvlJc w:val="left"/>
    </w:lvl>
    <w:lvl w:ilvl="2" w:tplc="7A6E60DC">
      <w:numFmt w:val="decimal"/>
      <w:lvlText w:val=""/>
      <w:lvlJc w:val="left"/>
    </w:lvl>
    <w:lvl w:ilvl="3" w:tplc="653C20A0">
      <w:numFmt w:val="decimal"/>
      <w:lvlText w:val=""/>
      <w:lvlJc w:val="left"/>
    </w:lvl>
    <w:lvl w:ilvl="4" w:tplc="25440EB4">
      <w:numFmt w:val="decimal"/>
      <w:lvlText w:val=""/>
      <w:lvlJc w:val="left"/>
    </w:lvl>
    <w:lvl w:ilvl="5" w:tplc="8264A01E">
      <w:numFmt w:val="decimal"/>
      <w:lvlText w:val=""/>
      <w:lvlJc w:val="left"/>
    </w:lvl>
    <w:lvl w:ilvl="6" w:tplc="1D3CE74E">
      <w:numFmt w:val="decimal"/>
      <w:lvlText w:val=""/>
      <w:lvlJc w:val="left"/>
    </w:lvl>
    <w:lvl w:ilvl="7" w:tplc="43103472">
      <w:numFmt w:val="decimal"/>
      <w:lvlText w:val=""/>
      <w:lvlJc w:val="left"/>
    </w:lvl>
    <w:lvl w:ilvl="8" w:tplc="4D4E42B4">
      <w:numFmt w:val="decimal"/>
      <w:lvlText w:val=""/>
      <w:lvlJc w:val="left"/>
    </w:lvl>
  </w:abstractNum>
  <w:abstractNum w:abstractNumId="3" w15:restartNumberingAfterBreak="0">
    <w:nsid w:val="FFFFFF7F"/>
    <w:multiLevelType w:val="hybridMultilevel"/>
    <w:tmpl w:val="4916304C"/>
    <w:lvl w:ilvl="0" w:tplc="25B033FE">
      <w:start w:val="1"/>
      <w:numFmt w:val="upperLetter"/>
      <w:pStyle w:val="ListNumber2"/>
      <w:lvlText w:val="%1."/>
      <w:lvlJc w:val="left"/>
      <w:pPr>
        <w:ind w:left="720" w:hanging="360"/>
      </w:pPr>
    </w:lvl>
    <w:lvl w:ilvl="1" w:tplc="26FAC558">
      <w:numFmt w:val="decimal"/>
      <w:lvlText w:val=""/>
      <w:lvlJc w:val="left"/>
    </w:lvl>
    <w:lvl w:ilvl="2" w:tplc="3A12360A">
      <w:numFmt w:val="decimal"/>
      <w:lvlText w:val=""/>
      <w:lvlJc w:val="left"/>
    </w:lvl>
    <w:lvl w:ilvl="3" w:tplc="6820FC7C">
      <w:numFmt w:val="decimal"/>
      <w:lvlText w:val=""/>
      <w:lvlJc w:val="left"/>
    </w:lvl>
    <w:lvl w:ilvl="4" w:tplc="CA14F62C">
      <w:numFmt w:val="decimal"/>
      <w:lvlText w:val=""/>
      <w:lvlJc w:val="left"/>
    </w:lvl>
    <w:lvl w:ilvl="5" w:tplc="77EC3E5A">
      <w:numFmt w:val="decimal"/>
      <w:lvlText w:val=""/>
      <w:lvlJc w:val="left"/>
    </w:lvl>
    <w:lvl w:ilvl="6" w:tplc="84FE8A48">
      <w:numFmt w:val="decimal"/>
      <w:lvlText w:val=""/>
      <w:lvlJc w:val="left"/>
    </w:lvl>
    <w:lvl w:ilvl="7" w:tplc="603E8616">
      <w:numFmt w:val="decimal"/>
      <w:lvlText w:val=""/>
      <w:lvlJc w:val="left"/>
    </w:lvl>
    <w:lvl w:ilvl="8" w:tplc="8458AC28">
      <w:numFmt w:val="decimal"/>
      <w:lvlText w:val=""/>
      <w:lvlJc w:val="left"/>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hybridMultilevel"/>
    <w:tmpl w:val="275E8676"/>
    <w:lvl w:ilvl="0" w:tplc="8AAA2CD8">
      <w:start w:val="1"/>
      <w:numFmt w:val="bullet"/>
      <w:pStyle w:val="ListBullet4"/>
      <w:lvlText w:val=""/>
      <w:lvlJc w:val="left"/>
      <w:pPr>
        <w:ind w:left="1440" w:hanging="360"/>
      </w:pPr>
      <w:rPr>
        <w:rFonts w:ascii="Wingdings" w:hAnsi="Wingdings" w:cs="Wingdings" w:hint="default"/>
      </w:rPr>
    </w:lvl>
    <w:lvl w:ilvl="1" w:tplc="CC240A22">
      <w:numFmt w:val="decimal"/>
      <w:lvlText w:val=""/>
      <w:lvlJc w:val="left"/>
    </w:lvl>
    <w:lvl w:ilvl="2" w:tplc="0FB62BEE">
      <w:numFmt w:val="decimal"/>
      <w:lvlText w:val=""/>
      <w:lvlJc w:val="left"/>
    </w:lvl>
    <w:lvl w:ilvl="3" w:tplc="B290C194">
      <w:numFmt w:val="decimal"/>
      <w:lvlText w:val=""/>
      <w:lvlJc w:val="left"/>
    </w:lvl>
    <w:lvl w:ilvl="4" w:tplc="F072EA86">
      <w:numFmt w:val="decimal"/>
      <w:lvlText w:val=""/>
      <w:lvlJc w:val="left"/>
    </w:lvl>
    <w:lvl w:ilvl="5" w:tplc="9F4A5064">
      <w:numFmt w:val="decimal"/>
      <w:lvlText w:val=""/>
      <w:lvlJc w:val="left"/>
    </w:lvl>
    <w:lvl w:ilvl="6" w:tplc="9CC6EC02">
      <w:numFmt w:val="decimal"/>
      <w:lvlText w:val=""/>
      <w:lvlJc w:val="left"/>
    </w:lvl>
    <w:lvl w:ilvl="7" w:tplc="AF200EA0">
      <w:numFmt w:val="decimal"/>
      <w:lvlText w:val=""/>
      <w:lvlJc w:val="left"/>
    </w:lvl>
    <w:lvl w:ilvl="8" w:tplc="6F9E816E">
      <w:numFmt w:val="decimal"/>
      <w:lvlText w:val=""/>
      <w:lvlJc w:val="left"/>
    </w:lvl>
  </w:abstractNum>
  <w:abstractNum w:abstractNumId="6" w15:restartNumberingAfterBreak="0">
    <w:nsid w:val="FFFFFF82"/>
    <w:multiLevelType w:val="hybridMultilevel"/>
    <w:tmpl w:val="F0AEE794"/>
    <w:lvl w:ilvl="0" w:tplc="6D9C8DF2">
      <w:start w:val="1"/>
      <w:numFmt w:val="bullet"/>
      <w:pStyle w:val="ListBullet3"/>
      <w:lvlText w:val="o"/>
      <w:lvlJc w:val="left"/>
      <w:pPr>
        <w:ind w:left="1080" w:hanging="360"/>
      </w:pPr>
      <w:rPr>
        <w:rFonts w:ascii="Courier New" w:hAnsi="Courier New" w:cs="Courier New" w:hint="default"/>
      </w:rPr>
    </w:lvl>
    <w:lvl w:ilvl="1" w:tplc="27D68CB8">
      <w:numFmt w:val="decimal"/>
      <w:lvlText w:val=""/>
      <w:lvlJc w:val="left"/>
    </w:lvl>
    <w:lvl w:ilvl="2" w:tplc="0C56C52A">
      <w:numFmt w:val="decimal"/>
      <w:lvlText w:val=""/>
      <w:lvlJc w:val="left"/>
    </w:lvl>
    <w:lvl w:ilvl="3" w:tplc="551EC552">
      <w:numFmt w:val="decimal"/>
      <w:lvlText w:val=""/>
      <w:lvlJc w:val="left"/>
    </w:lvl>
    <w:lvl w:ilvl="4" w:tplc="87487282">
      <w:numFmt w:val="decimal"/>
      <w:lvlText w:val=""/>
      <w:lvlJc w:val="left"/>
    </w:lvl>
    <w:lvl w:ilvl="5" w:tplc="62D61B64">
      <w:numFmt w:val="decimal"/>
      <w:lvlText w:val=""/>
      <w:lvlJc w:val="left"/>
    </w:lvl>
    <w:lvl w:ilvl="6" w:tplc="20BE73B6">
      <w:numFmt w:val="decimal"/>
      <w:lvlText w:val=""/>
      <w:lvlJc w:val="left"/>
    </w:lvl>
    <w:lvl w:ilvl="7" w:tplc="8662F4CE">
      <w:numFmt w:val="decimal"/>
      <w:lvlText w:val=""/>
      <w:lvlJc w:val="left"/>
    </w:lvl>
    <w:lvl w:ilvl="8" w:tplc="392E22D4">
      <w:numFmt w:val="decimal"/>
      <w:lvlText w:val=""/>
      <w:lvlJc w:val="left"/>
    </w:lvl>
  </w:abstractNum>
  <w:abstractNum w:abstractNumId="7" w15:restartNumberingAfterBreak="0">
    <w:nsid w:val="FFFFFF88"/>
    <w:multiLevelType w:val="hybridMultilevel"/>
    <w:tmpl w:val="960E2702"/>
    <w:lvl w:ilvl="0" w:tplc="252A1954">
      <w:start w:val="1"/>
      <w:numFmt w:val="decimal"/>
      <w:pStyle w:val="ListNumber"/>
      <w:lvlText w:val="%1."/>
      <w:lvlJc w:val="left"/>
      <w:pPr>
        <w:tabs>
          <w:tab w:val="num" w:pos="360"/>
        </w:tabs>
        <w:ind w:left="360" w:hanging="360"/>
      </w:pPr>
    </w:lvl>
    <w:lvl w:ilvl="1" w:tplc="194E4F7A">
      <w:numFmt w:val="decimal"/>
      <w:lvlText w:val=""/>
      <w:lvlJc w:val="left"/>
    </w:lvl>
    <w:lvl w:ilvl="2" w:tplc="5426BC74">
      <w:numFmt w:val="decimal"/>
      <w:lvlText w:val=""/>
      <w:lvlJc w:val="left"/>
    </w:lvl>
    <w:lvl w:ilvl="3" w:tplc="3AAC6754">
      <w:numFmt w:val="decimal"/>
      <w:lvlText w:val=""/>
      <w:lvlJc w:val="left"/>
    </w:lvl>
    <w:lvl w:ilvl="4" w:tplc="8892EF36">
      <w:numFmt w:val="decimal"/>
      <w:lvlText w:val=""/>
      <w:lvlJc w:val="left"/>
    </w:lvl>
    <w:lvl w:ilvl="5" w:tplc="7D06DC3C">
      <w:numFmt w:val="decimal"/>
      <w:lvlText w:val=""/>
      <w:lvlJc w:val="left"/>
    </w:lvl>
    <w:lvl w:ilvl="6" w:tplc="9E4C47F0">
      <w:numFmt w:val="decimal"/>
      <w:lvlText w:val=""/>
      <w:lvlJc w:val="left"/>
    </w:lvl>
    <w:lvl w:ilvl="7" w:tplc="57106918">
      <w:numFmt w:val="decimal"/>
      <w:lvlText w:val=""/>
      <w:lvlJc w:val="left"/>
    </w:lvl>
    <w:lvl w:ilvl="8" w:tplc="45203678">
      <w:numFmt w:val="decimal"/>
      <w:lvlText w:val=""/>
      <w:lvlJc w:val="left"/>
    </w:lvl>
  </w:abstractNum>
  <w:abstractNum w:abstractNumId="8" w15:restartNumberingAfterBreak="0">
    <w:nsid w:val="FFFFFF89"/>
    <w:multiLevelType w:val="hybridMultilevel"/>
    <w:tmpl w:val="4EF6A694"/>
    <w:lvl w:ilvl="0" w:tplc="CD7A60D4">
      <w:start w:val="1"/>
      <w:numFmt w:val="bullet"/>
      <w:pStyle w:val="ListBullet"/>
      <w:lvlText w:val=""/>
      <w:lvlJc w:val="left"/>
      <w:pPr>
        <w:tabs>
          <w:tab w:val="num" w:pos="360"/>
        </w:tabs>
        <w:ind w:left="360" w:hanging="360"/>
      </w:pPr>
      <w:rPr>
        <w:rFonts w:ascii="Symbol" w:hAnsi="Symbol" w:hint="default"/>
      </w:rPr>
    </w:lvl>
    <w:lvl w:ilvl="1" w:tplc="366A0790">
      <w:numFmt w:val="decimal"/>
      <w:lvlText w:val=""/>
      <w:lvlJc w:val="left"/>
    </w:lvl>
    <w:lvl w:ilvl="2" w:tplc="8068AC54">
      <w:numFmt w:val="decimal"/>
      <w:lvlText w:val=""/>
      <w:lvlJc w:val="left"/>
    </w:lvl>
    <w:lvl w:ilvl="3" w:tplc="854C3468">
      <w:numFmt w:val="decimal"/>
      <w:lvlText w:val=""/>
      <w:lvlJc w:val="left"/>
    </w:lvl>
    <w:lvl w:ilvl="4" w:tplc="CE8445F8">
      <w:numFmt w:val="decimal"/>
      <w:lvlText w:val=""/>
      <w:lvlJc w:val="left"/>
    </w:lvl>
    <w:lvl w:ilvl="5" w:tplc="919ECBA0">
      <w:numFmt w:val="decimal"/>
      <w:lvlText w:val=""/>
      <w:lvlJc w:val="left"/>
    </w:lvl>
    <w:lvl w:ilvl="6" w:tplc="479EE1A8">
      <w:numFmt w:val="decimal"/>
      <w:lvlText w:val=""/>
      <w:lvlJc w:val="left"/>
    </w:lvl>
    <w:lvl w:ilvl="7" w:tplc="70C24D7C">
      <w:numFmt w:val="decimal"/>
      <w:lvlText w:val=""/>
      <w:lvlJc w:val="left"/>
    </w:lvl>
    <w:lvl w:ilvl="8" w:tplc="F86CCF66">
      <w:numFmt w:val="decimal"/>
      <w:lvlText w:val=""/>
      <w:lvlJc w:val="left"/>
    </w:lvl>
  </w:abstractNum>
  <w:abstractNum w:abstractNumId="9" w15:restartNumberingAfterBreak="0">
    <w:nsid w:val="00BC47CD"/>
    <w:multiLevelType w:val="hybridMultilevel"/>
    <w:tmpl w:val="6CE038E8"/>
    <w:styleLink w:val="List7"/>
    <w:lvl w:ilvl="0" w:tplc="65B06A3E">
      <w:numFmt w:val="bullet"/>
      <w:lvlText w:val="•"/>
      <w:lvlJc w:val="left"/>
      <w:rPr>
        <w:rFonts w:ascii="Trebuchet MS" w:eastAsia="Trebuchet MS" w:hAnsi="Trebuchet MS" w:cs="Trebuchet MS"/>
        <w:b/>
        <w:bCs/>
        <w:position w:val="0"/>
      </w:rPr>
    </w:lvl>
    <w:lvl w:ilvl="1" w:tplc="59E05B04">
      <w:start w:val="1"/>
      <w:numFmt w:val="bullet"/>
      <w:lvlText w:val="o"/>
      <w:lvlJc w:val="left"/>
      <w:rPr>
        <w:rFonts w:ascii="Calibri" w:eastAsia="Calibri" w:hAnsi="Calibri" w:cs="Calibri"/>
        <w:b/>
        <w:bCs/>
        <w:position w:val="0"/>
      </w:rPr>
    </w:lvl>
    <w:lvl w:ilvl="2" w:tplc="FE688914">
      <w:start w:val="1"/>
      <w:numFmt w:val="bullet"/>
      <w:lvlText w:val="▪"/>
      <w:lvlJc w:val="left"/>
      <w:rPr>
        <w:rFonts w:ascii="Calibri" w:eastAsia="Calibri" w:hAnsi="Calibri" w:cs="Calibri"/>
        <w:b/>
        <w:bCs/>
        <w:position w:val="0"/>
      </w:rPr>
    </w:lvl>
    <w:lvl w:ilvl="3" w:tplc="41385E78">
      <w:start w:val="1"/>
      <w:numFmt w:val="bullet"/>
      <w:lvlText w:val="•"/>
      <w:lvlJc w:val="left"/>
      <w:rPr>
        <w:rFonts w:ascii="Calibri" w:eastAsia="Calibri" w:hAnsi="Calibri" w:cs="Calibri"/>
        <w:b/>
        <w:bCs/>
        <w:position w:val="0"/>
      </w:rPr>
    </w:lvl>
    <w:lvl w:ilvl="4" w:tplc="B27A8FE8">
      <w:start w:val="1"/>
      <w:numFmt w:val="bullet"/>
      <w:lvlText w:val="o"/>
      <w:lvlJc w:val="left"/>
      <w:rPr>
        <w:rFonts w:ascii="Calibri" w:eastAsia="Calibri" w:hAnsi="Calibri" w:cs="Calibri"/>
        <w:b/>
        <w:bCs/>
        <w:position w:val="0"/>
      </w:rPr>
    </w:lvl>
    <w:lvl w:ilvl="5" w:tplc="5E1A61A0">
      <w:start w:val="1"/>
      <w:numFmt w:val="bullet"/>
      <w:lvlText w:val="▪"/>
      <w:lvlJc w:val="left"/>
      <w:rPr>
        <w:rFonts w:ascii="Calibri" w:eastAsia="Calibri" w:hAnsi="Calibri" w:cs="Calibri"/>
        <w:b/>
        <w:bCs/>
        <w:position w:val="0"/>
      </w:rPr>
    </w:lvl>
    <w:lvl w:ilvl="6" w:tplc="CBA4E2FA">
      <w:start w:val="1"/>
      <w:numFmt w:val="bullet"/>
      <w:lvlText w:val="•"/>
      <w:lvlJc w:val="left"/>
      <w:rPr>
        <w:rFonts w:ascii="Calibri" w:eastAsia="Calibri" w:hAnsi="Calibri" w:cs="Calibri"/>
        <w:b/>
        <w:bCs/>
        <w:position w:val="0"/>
      </w:rPr>
    </w:lvl>
    <w:lvl w:ilvl="7" w:tplc="47A87DC2">
      <w:start w:val="1"/>
      <w:numFmt w:val="bullet"/>
      <w:lvlText w:val="o"/>
      <w:lvlJc w:val="left"/>
      <w:rPr>
        <w:rFonts w:ascii="Calibri" w:eastAsia="Calibri" w:hAnsi="Calibri" w:cs="Calibri"/>
        <w:b/>
        <w:bCs/>
        <w:position w:val="0"/>
      </w:rPr>
    </w:lvl>
    <w:lvl w:ilvl="8" w:tplc="1AC2FFCE">
      <w:start w:val="1"/>
      <w:numFmt w:val="bullet"/>
      <w:lvlText w:val="▪"/>
      <w:lvlJc w:val="left"/>
      <w:rPr>
        <w:rFonts w:ascii="Calibri" w:eastAsia="Calibri" w:hAnsi="Calibri" w:cs="Calibri"/>
        <w:b/>
        <w:bCs/>
        <w:position w:val="0"/>
      </w:rPr>
    </w:lvl>
  </w:abstractNum>
  <w:abstractNum w:abstractNumId="10" w15:restartNumberingAfterBreak="0">
    <w:nsid w:val="02552870"/>
    <w:multiLevelType w:val="hybridMultilevel"/>
    <w:tmpl w:val="86AA9D32"/>
    <w:lvl w:ilvl="0" w:tplc="21B437E6">
      <w:start w:val="1"/>
      <w:numFmt w:val="bullet"/>
      <w:lvlText w:val=""/>
      <w:lvlJc w:val="left"/>
      <w:pPr>
        <w:ind w:left="720" w:hanging="360"/>
      </w:pPr>
      <w:rPr>
        <w:rFonts w:ascii="Symbol" w:hAnsi="Symbol" w:hint="default"/>
      </w:rPr>
    </w:lvl>
    <w:lvl w:ilvl="1" w:tplc="DFB6FF6A">
      <w:start w:val="1"/>
      <w:numFmt w:val="bullet"/>
      <w:lvlText w:val="o"/>
      <w:lvlJc w:val="left"/>
      <w:pPr>
        <w:ind w:left="1440" w:hanging="360"/>
      </w:pPr>
      <w:rPr>
        <w:rFonts w:ascii="Courier New" w:hAnsi="Courier New" w:hint="default"/>
      </w:rPr>
    </w:lvl>
    <w:lvl w:ilvl="2" w:tplc="2FD465B0">
      <w:start w:val="1"/>
      <w:numFmt w:val="bullet"/>
      <w:lvlText w:val=""/>
      <w:lvlJc w:val="left"/>
      <w:pPr>
        <w:ind w:left="2160" w:hanging="360"/>
      </w:pPr>
      <w:rPr>
        <w:rFonts w:ascii="Wingdings" w:hAnsi="Wingdings" w:hint="default"/>
      </w:rPr>
    </w:lvl>
    <w:lvl w:ilvl="3" w:tplc="A5ECC1F6">
      <w:start w:val="1"/>
      <w:numFmt w:val="bullet"/>
      <w:lvlText w:val=""/>
      <w:lvlJc w:val="left"/>
      <w:pPr>
        <w:ind w:left="2880" w:hanging="360"/>
      </w:pPr>
      <w:rPr>
        <w:rFonts w:ascii="Symbol" w:hAnsi="Symbol" w:hint="default"/>
      </w:rPr>
    </w:lvl>
    <w:lvl w:ilvl="4" w:tplc="AF04C87C">
      <w:start w:val="1"/>
      <w:numFmt w:val="bullet"/>
      <w:lvlText w:val="o"/>
      <w:lvlJc w:val="left"/>
      <w:pPr>
        <w:ind w:left="3600" w:hanging="360"/>
      </w:pPr>
      <w:rPr>
        <w:rFonts w:ascii="Courier New" w:hAnsi="Courier New" w:hint="default"/>
      </w:rPr>
    </w:lvl>
    <w:lvl w:ilvl="5" w:tplc="C19AC9C8">
      <w:start w:val="1"/>
      <w:numFmt w:val="bullet"/>
      <w:lvlText w:val=""/>
      <w:lvlJc w:val="left"/>
      <w:pPr>
        <w:ind w:left="4320" w:hanging="360"/>
      </w:pPr>
      <w:rPr>
        <w:rFonts w:ascii="Wingdings" w:hAnsi="Wingdings" w:hint="default"/>
      </w:rPr>
    </w:lvl>
    <w:lvl w:ilvl="6" w:tplc="85FA41C6">
      <w:start w:val="1"/>
      <w:numFmt w:val="bullet"/>
      <w:lvlText w:val=""/>
      <w:lvlJc w:val="left"/>
      <w:pPr>
        <w:ind w:left="5040" w:hanging="360"/>
      </w:pPr>
      <w:rPr>
        <w:rFonts w:ascii="Symbol" w:hAnsi="Symbol" w:hint="default"/>
      </w:rPr>
    </w:lvl>
    <w:lvl w:ilvl="7" w:tplc="AC0A97D6">
      <w:start w:val="1"/>
      <w:numFmt w:val="bullet"/>
      <w:lvlText w:val="o"/>
      <w:lvlJc w:val="left"/>
      <w:pPr>
        <w:ind w:left="5760" w:hanging="360"/>
      </w:pPr>
      <w:rPr>
        <w:rFonts w:ascii="Courier New" w:hAnsi="Courier New" w:hint="default"/>
      </w:rPr>
    </w:lvl>
    <w:lvl w:ilvl="8" w:tplc="948896C6">
      <w:start w:val="1"/>
      <w:numFmt w:val="bullet"/>
      <w:lvlText w:val=""/>
      <w:lvlJc w:val="left"/>
      <w:pPr>
        <w:ind w:left="6480" w:hanging="360"/>
      </w:pPr>
      <w:rPr>
        <w:rFonts w:ascii="Wingdings" w:hAnsi="Wingdings" w:hint="default"/>
      </w:rPr>
    </w:lvl>
  </w:abstractNum>
  <w:abstractNum w:abstractNumId="11" w15:restartNumberingAfterBreak="0">
    <w:nsid w:val="0F2A681B"/>
    <w:multiLevelType w:val="hybridMultilevel"/>
    <w:tmpl w:val="58622CF6"/>
    <w:styleLink w:val="List0"/>
    <w:lvl w:ilvl="0" w:tplc="AE521C36">
      <w:numFmt w:val="bullet"/>
      <w:lvlText w:val="•"/>
      <w:lvlJc w:val="left"/>
      <w:rPr>
        <w:rFonts w:ascii="Trebuchet MS" w:eastAsia="Trebuchet MS" w:hAnsi="Trebuchet MS" w:cs="Trebuchet MS"/>
        <w:b/>
        <w:bCs/>
        <w:position w:val="0"/>
      </w:rPr>
    </w:lvl>
    <w:lvl w:ilvl="1" w:tplc="B5A6132C">
      <w:start w:val="1"/>
      <w:numFmt w:val="bullet"/>
      <w:lvlText w:val="➢"/>
      <w:lvlJc w:val="left"/>
      <w:rPr>
        <w:rFonts w:ascii="Calibri" w:eastAsia="Calibri" w:hAnsi="Calibri" w:cs="Calibri"/>
        <w:b/>
        <w:bCs/>
        <w:position w:val="0"/>
      </w:rPr>
    </w:lvl>
    <w:lvl w:ilvl="2" w:tplc="C13A5898">
      <w:start w:val="1"/>
      <w:numFmt w:val="bullet"/>
      <w:lvlText w:val="▪"/>
      <w:lvlJc w:val="left"/>
      <w:rPr>
        <w:rFonts w:ascii="Calibri" w:eastAsia="Calibri" w:hAnsi="Calibri" w:cs="Calibri"/>
        <w:b/>
        <w:bCs/>
        <w:position w:val="0"/>
      </w:rPr>
    </w:lvl>
    <w:lvl w:ilvl="3" w:tplc="56847172">
      <w:start w:val="1"/>
      <w:numFmt w:val="bullet"/>
      <w:lvlText w:val="•"/>
      <w:lvlJc w:val="left"/>
      <w:rPr>
        <w:rFonts w:ascii="Calibri" w:eastAsia="Calibri" w:hAnsi="Calibri" w:cs="Calibri"/>
        <w:b/>
        <w:bCs/>
        <w:position w:val="0"/>
      </w:rPr>
    </w:lvl>
    <w:lvl w:ilvl="4" w:tplc="9632772E">
      <w:start w:val="1"/>
      <w:numFmt w:val="bullet"/>
      <w:lvlText w:val="o"/>
      <w:lvlJc w:val="left"/>
      <w:rPr>
        <w:rFonts w:ascii="Calibri" w:eastAsia="Calibri" w:hAnsi="Calibri" w:cs="Calibri"/>
        <w:b/>
        <w:bCs/>
        <w:position w:val="0"/>
      </w:rPr>
    </w:lvl>
    <w:lvl w:ilvl="5" w:tplc="82441296">
      <w:start w:val="1"/>
      <w:numFmt w:val="bullet"/>
      <w:lvlText w:val="▪"/>
      <w:lvlJc w:val="left"/>
      <w:rPr>
        <w:rFonts w:ascii="Calibri" w:eastAsia="Calibri" w:hAnsi="Calibri" w:cs="Calibri"/>
        <w:b/>
        <w:bCs/>
        <w:position w:val="0"/>
      </w:rPr>
    </w:lvl>
    <w:lvl w:ilvl="6" w:tplc="45540BB0">
      <w:start w:val="1"/>
      <w:numFmt w:val="bullet"/>
      <w:lvlText w:val="•"/>
      <w:lvlJc w:val="left"/>
      <w:rPr>
        <w:rFonts w:ascii="Calibri" w:eastAsia="Calibri" w:hAnsi="Calibri" w:cs="Calibri"/>
        <w:b/>
        <w:bCs/>
        <w:position w:val="0"/>
      </w:rPr>
    </w:lvl>
    <w:lvl w:ilvl="7" w:tplc="D3169450">
      <w:start w:val="1"/>
      <w:numFmt w:val="bullet"/>
      <w:lvlText w:val="o"/>
      <w:lvlJc w:val="left"/>
      <w:rPr>
        <w:rFonts w:ascii="Calibri" w:eastAsia="Calibri" w:hAnsi="Calibri" w:cs="Calibri"/>
        <w:b/>
        <w:bCs/>
        <w:position w:val="0"/>
      </w:rPr>
    </w:lvl>
    <w:lvl w:ilvl="8" w:tplc="381277B8">
      <w:start w:val="1"/>
      <w:numFmt w:val="bullet"/>
      <w:lvlText w:val="▪"/>
      <w:lvlJc w:val="left"/>
      <w:rPr>
        <w:rFonts w:ascii="Calibri" w:eastAsia="Calibri" w:hAnsi="Calibri" w:cs="Calibri"/>
        <w:b/>
        <w:bCs/>
        <w:position w:val="0"/>
      </w:rPr>
    </w:lvl>
  </w:abstractNum>
  <w:abstractNum w:abstractNumId="12" w15:restartNumberingAfterBreak="0">
    <w:nsid w:val="108201FE"/>
    <w:multiLevelType w:val="hybridMultilevel"/>
    <w:tmpl w:val="5B5C5AE2"/>
    <w:styleLink w:val="List12"/>
    <w:lvl w:ilvl="0" w:tplc="1506FB9A">
      <w:numFmt w:val="bullet"/>
      <w:lvlText w:val="•"/>
      <w:lvlJc w:val="left"/>
      <w:rPr>
        <w:rFonts w:ascii="Calibri" w:eastAsia="Calibri" w:hAnsi="Calibri" w:cs="Calibri"/>
        <w:b/>
        <w:bCs/>
        <w:position w:val="0"/>
        <w:rtl w:val="0"/>
      </w:rPr>
    </w:lvl>
    <w:lvl w:ilvl="1" w:tplc="0D803B08">
      <w:start w:val="1"/>
      <w:numFmt w:val="bullet"/>
      <w:lvlText w:val="•"/>
      <w:lvlJc w:val="left"/>
      <w:rPr>
        <w:rFonts w:ascii="Calibri" w:eastAsia="Calibri" w:hAnsi="Calibri" w:cs="Calibri"/>
        <w:b/>
        <w:bCs/>
        <w:position w:val="0"/>
        <w:rtl w:val="0"/>
      </w:rPr>
    </w:lvl>
    <w:lvl w:ilvl="2" w:tplc="2B7A634A">
      <w:start w:val="1"/>
      <w:numFmt w:val="bullet"/>
      <w:lvlText w:val="➢"/>
      <w:lvlJc w:val="left"/>
      <w:rPr>
        <w:rFonts w:ascii="Calibri" w:eastAsia="Calibri" w:hAnsi="Calibri" w:cs="Calibri"/>
        <w:b/>
        <w:bCs/>
        <w:position w:val="0"/>
        <w:rtl w:val="0"/>
      </w:rPr>
    </w:lvl>
    <w:lvl w:ilvl="3" w:tplc="9AD679BE">
      <w:start w:val="1"/>
      <w:numFmt w:val="bullet"/>
      <w:lvlText w:val="•"/>
      <w:lvlJc w:val="left"/>
      <w:rPr>
        <w:rFonts w:ascii="Calibri" w:eastAsia="Calibri" w:hAnsi="Calibri" w:cs="Calibri"/>
        <w:b/>
        <w:bCs/>
        <w:position w:val="0"/>
        <w:rtl w:val="0"/>
      </w:rPr>
    </w:lvl>
    <w:lvl w:ilvl="4" w:tplc="D6CA8A9A">
      <w:start w:val="1"/>
      <w:numFmt w:val="bullet"/>
      <w:lvlText w:val="•"/>
      <w:lvlJc w:val="left"/>
      <w:rPr>
        <w:rFonts w:ascii="Calibri" w:eastAsia="Calibri" w:hAnsi="Calibri" w:cs="Calibri"/>
        <w:b/>
        <w:bCs/>
        <w:position w:val="0"/>
        <w:rtl w:val="0"/>
      </w:rPr>
    </w:lvl>
    <w:lvl w:ilvl="5" w:tplc="ABFA3884">
      <w:start w:val="1"/>
      <w:numFmt w:val="bullet"/>
      <w:lvlText w:val="•"/>
      <w:lvlJc w:val="left"/>
      <w:rPr>
        <w:rFonts w:ascii="Calibri" w:eastAsia="Calibri" w:hAnsi="Calibri" w:cs="Calibri"/>
        <w:b/>
        <w:bCs/>
        <w:position w:val="0"/>
        <w:rtl w:val="0"/>
      </w:rPr>
    </w:lvl>
    <w:lvl w:ilvl="6" w:tplc="AA76E0D2">
      <w:start w:val="1"/>
      <w:numFmt w:val="bullet"/>
      <w:lvlText w:val="•"/>
      <w:lvlJc w:val="left"/>
      <w:rPr>
        <w:rFonts w:ascii="Calibri" w:eastAsia="Calibri" w:hAnsi="Calibri" w:cs="Calibri"/>
        <w:b/>
        <w:bCs/>
        <w:position w:val="0"/>
        <w:rtl w:val="0"/>
      </w:rPr>
    </w:lvl>
    <w:lvl w:ilvl="7" w:tplc="673A8B40">
      <w:start w:val="1"/>
      <w:numFmt w:val="bullet"/>
      <w:lvlText w:val="•"/>
      <w:lvlJc w:val="left"/>
      <w:rPr>
        <w:rFonts w:ascii="Calibri" w:eastAsia="Calibri" w:hAnsi="Calibri" w:cs="Calibri"/>
        <w:b/>
        <w:bCs/>
        <w:position w:val="0"/>
        <w:rtl w:val="0"/>
      </w:rPr>
    </w:lvl>
    <w:lvl w:ilvl="8" w:tplc="AF084A58">
      <w:start w:val="1"/>
      <w:numFmt w:val="bullet"/>
      <w:lvlText w:val="•"/>
      <w:lvlJc w:val="left"/>
      <w:rPr>
        <w:rFonts w:ascii="Calibri" w:eastAsia="Calibri" w:hAnsi="Calibri" w:cs="Calibri"/>
        <w:b/>
        <w:bCs/>
        <w:position w:val="0"/>
        <w:rtl w:val="0"/>
      </w:rPr>
    </w:lvl>
  </w:abstractNum>
  <w:abstractNum w:abstractNumId="13" w15:restartNumberingAfterBreak="0">
    <w:nsid w:val="16E516A9"/>
    <w:multiLevelType w:val="hybridMultilevel"/>
    <w:tmpl w:val="2CA86D62"/>
    <w:styleLink w:val="List51"/>
    <w:lvl w:ilvl="0" w:tplc="C4F0E8A2">
      <w:numFmt w:val="bullet"/>
      <w:lvlText w:val="•"/>
      <w:lvlJc w:val="left"/>
      <w:rPr>
        <w:rFonts w:ascii="Trebuchet MS" w:eastAsia="Trebuchet MS" w:hAnsi="Trebuchet MS" w:cs="Trebuchet MS"/>
        <w:b/>
        <w:bCs/>
        <w:position w:val="0"/>
      </w:rPr>
    </w:lvl>
    <w:lvl w:ilvl="1" w:tplc="143A5FDA">
      <w:start w:val="1"/>
      <w:numFmt w:val="bullet"/>
      <w:lvlText w:val="o"/>
      <w:lvlJc w:val="left"/>
      <w:rPr>
        <w:rFonts w:ascii="Calibri" w:eastAsia="Calibri" w:hAnsi="Calibri" w:cs="Calibri"/>
        <w:b/>
        <w:bCs/>
        <w:position w:val="0"/>
      </w:rPr>
    </w:lvl>
    <w:lvl w:ilvl="2" w:tplc="815C2ED0">
      <w:start w:val="1"/>
      <w:numFmt w:val="bullet"/>
      <w:lvlText w:val="▪"/>
      <w:lvlJc w:val="left"/>
      <w:rPr>
        <w:rFonts w:ascii="Calibri" w:eastAsia="Calibri" w:hAnsi="Calibri" w:cs="Calibri"/>
        <w:b/>
        <w:bCs/>
        <w:position w:val="0"/>
      </w:rPr>
    </w:lvl>
    <w:lvl w:ilvl="3" w:tplc="25CA1D4E">
      <w:start w:val="1"/>
      <w:numFmt w:val="bullet"/>
      <w:lvlText w:val="•"/>
      <w:lvlJc w:val="left"/>
      <w:rPr>
        <w:rFonts w:ascii="Calibri" w:eastAsia="Calibri" w:hAnsi="Calibri" w:cs="Calibri"/>
        <w:b/>
        <w:bCs/>
        <w:position w:val="0"/>
      </w:rPr>
    </w:lvl>
    <w:lvl w:ilvl="4" w:tplc="AC0AA52C">
      <w:start w:val="1"/>
      <w:numFmt w:val="bullet"/>
      <w:lvlText w:val="o"/>
      <w:lvlJc w:val="left"/>
      <w:rPr>
        <w:rFonts w:ascii="Calibri" w:eastAsia="Calibri" w:hAnsi="Calibri" w:cs="Calibri"/>
        <w:b/>
        <w:bCs/>
        <w:position w:val="0"/>
      </w:rPr>
    </w:lvl>
    <w:lvl w:ilvl="5" w:tplc="131EA8B6">
      <w:start w:val="1"/>
      <w:numFmt w:val="bullet"/>
      <w:lvlText w:val="▪"/>
      <w:lvlJc w:val="left"/>
      <w:rPr>
        <w:rFonts w:ascii="Calibri" w:eastAsia="Calibri" w:hAnsi="Calibri" w:cs="Calibri"/>
        <w:b/>
        <w:bCs/>
        <w:position w:val="0"/>
      </w:rPr>
    </w:lvl>
    <w:lvl w:ilvl="6" w:tplc="C8F87170">
      <w:start w:val="1"/>
      <w:numFmt w:val="bullet"/>
      <w:lvlText w:val="•"/>
      <w:lvlJc w:val="left"/>
      <w:rPr>
        <w:rFonts w:ascii="Calibri" w:eastAsia="Calibri" w:hAnsi="Calibri" w:cs="Calibri"/>
        <w:b/>
        <w:bCs/>
        <w:position w:val="0"/>
      </w:rPr>
    </w:lvl>
    <w:lvl w:ilvl="7" w:tplc="3AB4886A">
      <w:start w:val="1"/>
      <w:numFmt w:val="bullet"/>
      <w:lvlText w:val="o"/>
      <w:lvlJc w:val="left"/>
      <w:rPr>
        <w:rFonts w:ascii="Calibri" w:eastAsia="Calibri" w:hAnsi="Calibri" w:cs="Calibri"/>
        <w:b/>
        <w:bCs/>
        <w:position w:val="0"/>
      </w:rPr>
    </w:lvl>
    <w:lvl w:ilvl="8" w:tplc="E39A4B2A">
      <w:start w:val="1"/>
      <w:numFmt w:val="bullet"/>
      <w:lvlText w:val="▪"/>
      <w:lvlJc w:val="left"/>
      <w:rPr>
        <w:rFonts w:ascii="Calibri" w:eastAsia="Calibri" w:hAnsi="Calibri" w:cs="Calibri"/>
        <w:b/>
        <w:bCs/>
        <w:position w:val="0"/>
      </w:rPr>
    </w:lvl>
  </w:abstractNum>
  <w:abstractNum w:abstractNumId="14" w15:restartNumberingAfterBreak="0">
    <w:nsid w:val="17390CF2"/>
    <w:multiLevelType w:val="hybridMultilevel"/>
    <w:tmpl w:val="9BD81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E758BC"/>
    <w:multiLevelType w:val="hybridMultilevel"/>
    <w:tmpl w:val="0096B4CA"/>
    <w:styleLink w:val="List41"/>
    <w:lvl w:ilvl="0" w:tplc="67267562">
      <w:numFmt w:val="bullet"/>
      <w:lvlText w:val="•"/>
      <w:lvlJc w:val="left"/>
      <w:rPr>
        <w:rFonts w:ascii="Arial" w:eastAsia="Arial" w:hAnsi="Arial" w:cs="Arial"/>
        <w:position w:val="0"/>
      </w:rPr>
    </w:lvl>
    <w:lvl w:ilvl="1" w:tplc="C2920298">
      <w:start w:val="1"/>
      <w:numFmt w:val="bullet"/>
      <w:lvlText w:val="•"/>
      <w:lvlJc w:val="left"/>
      <w:rPr>
        <w:rFonts w:ascii="Arial" w:eastAsia="Arial" w:hAnsi="Arial" w:cs="Arial"/>
        <w:position w:val="0"/>
      </w:rPr>
    </w:lvl>
    <w:lvl w:ilvl="2" w:tplc="DA5A51CA">
      <w:start w:val="1"/>
      <w:numFmt w:val="bullet"/>
      <w:lvlText w:val="➢"/>
      <w:lvlJc w:val="left"/>
      <w:rPr>
        <w:rFonts w:ascii="Arial" w:eastAsia="Arial" w:hAnsi="Arial" w:cs="Arial"/>
        <w:position w:val="0"/>
      </w:rPr>
    </w:lvl>
    <w:lvl w:ilvl="3" w:tplc="2F4AA93A">
      <w:start w:val="1"/>
      <w:numFmt w:val="bullet"/>
      <w:lvlText w:val="•"/>
      <w:lvlJc w:val="left"/>
      <w:rPr>
        <w:rFonts w:ascii="Arial" w:eastAsia="Arial" w:hAnsi="Arial" w:cs="Arial"/>
        <w:position w:val="0"/>
      </w:rPr>
    </w:lvl>
    <w:lvl w:ilvl="4" w:tplc="8736B50C">
      <w:start w:val="1"/>
      <w:numFmt w:val="bullet"/>
      <w:lvlText w:val="•"/>
      <w:lvlJc w:val="left"/>
      <w:rPr>
        <w:rFonts w:ascii="Arial" w:eastAsia="Arial" w:hAnsi="Arial" w:cs="Arial"/>
        <w:position w:val="0"/>
      </w:rPr>
    </w:lvl>
    <w:lvl w:ilvl="5" w:tplc="31DEA328">
      <w:start w:val="1"/>
      <w:numFmt w:val="bullet"/>
      <w:lvlText w:val="•"/>
      <w:lvlJc w:val="left"/>
      <w:rPr>
        <w:rFonts w:ascii="Arial" w:eastAsia="Arial" w:hAnsi="Arial" w:cs="Arial"/>
        <w:position w:val="0"/>
      </w:rPr>
    </w:lvl>
    <w:lvl w:ilvl="6" w:tplc="A84CD98C">
      <w:start w:val="1"/>
      <w:numFmt w:val="bullet"/>
      <w:lvlText w:val="•"/>
      <w:lvlJc w:val="left"/>
      <w:rPr>
        <w:rFonts w:ascii="Arial" w:eastAsia="Arial" w:hAnsi="Arial" w:cs="Arial"/>
        <w:position w:val="0"/>
      </w:rPr>
    </w:lvl>
    <w:lvl w:ilvl="7" w:tplc="8C728940">
      <w:start w:val="1"/>
      <w:numFmt w:val="bullet"/>
      <w:lvlText w:val="•"/>
      <w:lvlJc w:val="left"/>
      <w:rPr>
        <w:rFonts w:ascii="Arial" w:eastAsia="Arial" w:hAnsi="Arial" w:cs="Arial"/>
        <w:position w:val="0"/>
      </w:rPr>
    </w:lvl>
    <w:lvl w:ilvl="8" w:tplc="C2C474BE">
      <w:start w:val="1"/>
      <w:numFmt w:val="bullet"/>
      <w:lvlText w:val="•"/>
      <w:lvlJc w:val="left"/>
      <w:rPr>
        <w:rFonts w:ascii="Arial" w:eastAsia="Arial" w:hAnsi="Arial" w:cs="Arial"/>
        <w:position w:val="0"/>
      </w:rPr>
    </w:lvl>
  </w:abstractNum>
  <w:abstractNum w:abstractNumId="16" w15:restartNumberingAfterBreak="0">
    <w:nsid w:val="21F738B3"/>
    <w:multiLevelType w:val="hybridMultilevel"/>
    <w:tmpl w:val="F8D81604"/>
    <w:styleLink w:val="List10"/>
    <w:lvl w:ilvl="0" w:tplc="86F4C9F6">
      <w:numFmt w:val="bullet"/>
      <w:lvlText w:val="•"/>
      <w:lvlJc w:val="left"/>
      <w:rPr>
        <w:rFonts w:ascii="Trebuchet MS" w:eastAsia="Trebuchet MS" w:hAnsi="Trebuchet MS" w:cs="Trebuchet MS"/>
        <w:b/>
        <w:bCs/>
        <w:position w:val="0"/>
      </w:rPr>
    </w:lvl>
    <w:lvl w:ilvl="1" w:tplc="9B34C436">
      <w:start w:val="1"/>
      <w:numFmt w:val="bullet"/>
      <w:lvlText w:val="o"/>
      <w:lvlJc w:val="left"/>
      <w:rPr>
        <w:rFonts w:ascii="Calibri" w:eastAsia="Calibri" w:hAnsi="Calibri" w:cs="Calibri"/>
        <w:b/>
        <w:bCs/>
        <w:position w:val="0"/>
      </w:rPr>
    </w:lvl>
    <w:lvl w:ilvl="2" w:tplc="C074A86C">
      <w:start w:val="1"/>
      <w:numFmt w:val="bullet"/>
      <w:lvlText w:val="▪"/>
      <w:lvlJc w:val="left"/>
      <w:rPr>
        <w:rFonts w:ascii="Calibri" w:eastAsia="Calibri" w:hAnsi="Calibri" w:cs="Calibri"/>
        <w:b/>
        <w:bCs/>
        <w:position w:val="0"/>
      </w:rPr>
    </w:lvl>
    <w:lvl w:ilvl="3" w:tplc="DBEEF4A8">
      <w:start w:val="1"/>
      <w:numFmt w:val="bullet"/>
      <w:lvlText w:val="•"/>
      <w:lvlJc w:val="left"/>
      <w:rPr>
        <w:rFonts w:ascii="Calibri" w:eastAsia="Calibri" w:hAnsi="Calibri" w:cs="Calibri"/>
        <w:b/>
        <w:bCs/>
        <w:position w:val="0"/>
      </w:rPr>
    </w:lvl>
    <w:lvl w:ilvl="4" w:tplc="7E5ACF18">
      <w:start w:val="1"/>
      <w:numFmt w:val="bullet"/>
      <w:lvlText w:val="o"/>
      <w:lvlJc w:val="left"/>
      <w:rPr>
        <w:rFonts w:ascii="Calibri" w:eastAsia="Calibri" w:hAnsi="Calibri" w:cs="Calibri"/>
        <w:b/>
        <w:bCs/>
        <w:position w:val="0"/>
      </w:rPr>
    </w:lvl>
    <w:lvl w:ilvl="5" w:tplc="86CA51F0">
      <w:start w:val="1"/>
      <w:numFmt w:val="bullet"/>
      <w:lvlText w:val="▪"/>
      <w:lvlJc w:val="left"/>
      <w:rPr>
        <w:rFonts w:ascii="Calibri" w:eastAsia="Calibri" w:hAnsi="Calibri" w:cs="Calibri"/>
        <w:b/>
        <w:bCs/>
        <w:position w:val="0"/>
      </w:rPr>
    </w:lvl>
    <w:lvl w:ilvl="6" w:tplc="F18C2CE6">
      <w:start w:val="1"/>
      <w:numFmt w:val="bullet"/>
      <w:lvlText w:val="•"/>
      <w:lvlJc w:val="left"/>
      <w:rPr>
        <w:rFonts w:ascii="Calibri" w:eastAsia="Calibri" w:hAnsi="Calibri" w:cs="Calibri"/>
        <w:b/>
        <w:bCs/>
        <w:position w:val="0"/>
      </w:rPr>
    </w:lvl>
    <w:lvl w:ilvl="7" w:tplc="FE14E16E">
      <w:start w:val="1"/>
      <w:numFmt w:val="bullet"/>
      <w:lvlText w:val="o"/>
      <w:lvlJc w:val="left"/>
      <w:rPr>
        <w:rFonts w:ascii="Calibri" w:eastAsia="Calibri" w:hAnsi="Calibri" w:cs="Calibri"/>
        <w:b/>
        <w:bCs/>
        <w:position w:val="0"/>
      </w:rPr>
    </w:lvl>
    <w:lvl w:ilvl="8" w:tplc="DF2C48FE">
      <w:start w:val="1"/>
      <w:numFmt w:val="bullet"/>
      <w:lvlText w:val="▪"/>
      <w:lvlJc w:val="left"/>
      <w:rPr>
        <w:rFonts w:ascii="Calibri" w:eastAsia="Calibri" w:hAnsi="Calibri" w:cs="Calibri"/>
        <w:b/>
        <w:bCs/>
        <w:position w:val="0"/>
      </w:rPr>
    </w:lvl>
  </w:abstractNum>
  <w:abstractNum w:abstractNumId="17" w15:restartNumberingAfterBreak="0">
    <w:nsid w:val="2AB17A9B"/>
    <w:multiLevelType w:val="hybridMultilevel"/>
    <w:tmpl w:val="0409001D"/>
    <w:styleLink w:val="MedianListStyle"/>
    <w:lvl w:ilvl="0" w:tplc="BC8A91D4">
      <w:start w:val="1"/>
      <w:numFmt w:val="bullet"/>
      <w:lvlText w:val=""/>
      <w:lvlJc w:val="left"/>
      <w:pPr>
        <w:ind w:left="360" w:hanging="360"/>
      </w:pPr>
      <w:rPr>
        <w:rFonts w:ascii="Wingdings 2" w:hAnsi="Wingdings 2" w:hint="default"/>
        <w:color w:val="3F5A78" w:themeColor="accent2"/>
        <w:sz w:val="23"/>
      </w:rPr>
    </w:lvl>
    <w:lvl w:ilvl="1" w:tplc="01CAE8C0">
      <w:start w:val="1"/>
      <w:numFmt w:val="lowerLetter"/>
      <w:lvlText w:val="%2)"/>
      <w:lvlJc w:val="left"/>
      <w:pPr>
        <w:ind w:left="720" w:hanging="360"/>
      </w:pPr>
    </w:lvl>
    <w:lvl w:ilvl="2" w:tplc="C23E80AC">
      <w:start w:val="1"/>
      <w:numFmt w:val="lowerRoman"/>
      <w:lvlText w:val="%3)"/>
      <w:lvlJc w:val="left"/>
      <w:pPr>
        <w:ind w:left="1080" w:hanging="360"/>
      </w:pPr>
    </w:lvl>
    <w:lvl w:ilvl="3" w:tplc="ABC8949A">
      <w:start w:val="1"/>
      <w:numFmt w:val="decimal"/>
      <w:lvlText w:val="(%4)"/>
      <w:lvlJc w:val="left"/>
      <w:pPr>
        <w:ind w:left="1440" w:hanging="360"/>
      </w:pPr>
    </w:lvl>
    <w:lvl w:ilvl="4" w:tplc="5396FBE0">
      <w:start w:val="1"/>
      <w:numFmt w:val="lowerLetter"/>
      <w:lvlText w:val="(%5)"/>
      <w:lvlJc w:val="left"/>
      <w:pPr>
        <w:ind w:left="1800" w:hanging="360"/>
      </w:pPr>
    </w:lvl>
    <w:lvl w:ilvl="5" w:tplc="49E41CB6">
      <w:start w:val="1"/>
      <w:numFmt w:val="lowerRoman"/>
      <w:lvlText w:val="(%6)"/>
      <w:lvlJc w:val="left"/>
      <w:pPr>
        <w:ind w:left="2160" w:hanging="360"/>
      </w:pPr>
    </w:lvl>
    <w:lvl w:ilvl="6" w:tplc="F914FFE0">
      <w:start w:val="1"/>
      <w:numFmt w:val="decimal"/>
      <w:lvlText w:val="%7."/>
      <w:lvlJc w:val="left"/>
      <w:pPr>
        <w:ind w:left="2520" w:hanging="360"/>
      </w:pPr>
    </w:lvl>
    <w:lvl w:ilvl="7" w:tplc="CB587E76">
      <w:start w:val="1"/>
      <w:numFmt w:val="lowerLetter"/>
      <w:lvlText w:val="%8."/>
      <w:lvlJc w:val="left"/>
      <w:pPr>
        <w:ind w:left="2880" w:hanging="360"/>
      </w:pPr>
    </w:lvl>
    <w:lvl w:ilvl="8" w:tplc="09D0C4A4">
      <w:start w:val="1"/>
      <w:numFmt w:val="lowerRoman"/>
      <w:lvlText w:val="%9."/>
      <w:lvlJc w:val="left"/>
      <w:pPr>
        <w:ind w:left="3240" w:hanging="360"/>
      </w:pPr>
    </w:lvl>
  </w:abstractNum>
  <w:abstractNum w:abstractNumId="18" w15:restartNumberingAfterBreak="0">
    <w:nsid w:val="2D8D45EE"/>
    <w:multiLevelType w:val="hybridMultilevel"/>
    <w:tmpl w:val="B150E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45715D"/>
    <w:multiLevelType w:val="hybridMultilevel"/>
    <w:tmpl w:val="E544E038"/>
    <w:lvl w:ilvl="0" w:tplc="5022A504">
      <w:start w:val="1"/>
      <w:numFmt w:val="bullet"/>
      <w:lvlText w:val=""/>
      <w:lvlJc w:val="left"/>
      <w:pPr>
        <w:ind w:left="780" w:hanging="360"/>
      </w:pPr>
      <w:rPr>
        <w:rFonts w:ascii="Symbol" w:hAnsi="Symbol" w:hint="default"/>
      </w:rPr>
    </w:lvl>
    <w:lvl w:ilvl="1" w:tplc="1332ECE4">
      <w:start w:val="1"/>
      <w:numFmt w:val="bullet"/>
      <w:lvlText w:val="o"/>
      <w:lvlJc w:val="left"/>
      <w:pPr>
        <w:ind w:left="1500" w:hanging="360"/>
      </w:pPr>
      <w:rPr>
        <w:rFonts w:ascii="Courier New" w:hAnsi="Courier New" w:hint="default"/>
      </w:rPr>
    </w:lvl>
    <w:lvl w:ilvl="2" w:tplc="826E55F6">
      <w:start w:val="1"/>
      <w:numFmt w:val="bullet"/>
      <w:lvlText w:val=""/>
      <w:lvlJc w:val="left"/>
      <w:pPr>
        <w:ind w:left="2220" w:hanging="360"/>
      </w:pPr>
      <w:rPr>
        <w:rFonts w:ascii="Wingdings" w:hAnsi="Wingdings" w:hint="default"/>
      </w:rPr>
    </w:lvl>
    <w:lvl w:ilvl="3" w:tplc="3F38CF20" w:tentative="1">
      <w:start w:val="1"/>
      <w:numFmt w:val="bullet"/>
      <w:lvlText w:val=""/>
      <w:lvlJc w:val="left"/>
      <w:pPr>
        <w:ind w:left="2940" w:hanging="360"/>
      </w:pPr>
      <w:rPr>
        <w:rFonts w:ascii="Symbol" w:hAnsi="Symbol" w:hint="default"/>
      </w:rPr>
    </w:lvl>
    <w:lvl w:ilvl="4" w:tplc="875C6856" w:tentative="1">
      <w:start w:val="1"/>
      <w:numFmt w:val="bullet"/>
      <w:lvlText w:val="o"/>
      <w:lvlJc w:val="left"/>
      <w:pPr>
        <w:ind w:left="3660" w:hanging="360"/>
      </w:pPr>
      <w:rPr>
        <w:rFonts w:ascii="Courier New" w:hAnsi="Courier New" w:hint="default"/>
      </w:rPr>
    </w:lvl>
    <w:lvl w:ilvl="5" w:tplc="2FFAED58" w:tentative="1">
      <w:start w:val="1"/>
      <w:numFmt w:val="bullet"/>
      <w:lvlText w:val=""/>
      <w:lvlJc w:val="left"/>
      <w:pPr>
        <w:ind w:left="4380" w:hanging="360"/>
      </w:pPr>
      <w:rPr>
        <w:rFonts w:ascii="Wingdings" w:hAnsi="Wingdings" w:hint="default"/>
      </w:rPr>
    </w:lvl>
    <w:lvl w:ilvl="6" w:tplc="F7C013C6" w:tentative="1">
      <w:start w:val="1"/>
      <w:numFmt w:val="bullet"/>
      <w:lvlText w:val=""/>
      <w:lvlJc w:val="left"/>
      <w:pPr>
        <w:ind w:left="5100" w:hanging="360"/>
      </w:pPr>
      <w:rPr>
        <w:rFonts w:ascii="Symbol" w:hAnsi="Symbol" w:hint="default"/>
      </w:rPr>
    </w:lvl>
    <w:lvl w:ilvl="7" w:tplc="11BE2802" w:tentative="1">
      <w:start w:val="1"/>
      <w:numFmt w:val="bullet"/>
      <w:lvlText w:val="o"/>
      <w:lvlJc w:val="left"/>
      <w:pPr>
        <w:ind w:left="5820" w:hanging="360"/>
      </w:pPr>
      <w:rPr>
        <w:rFonts w:ascii="Courier New" w:hAnsi="Courier New" w:hint="default"/>
      </w:rPr>
    </w:lvl>
    <w:lvl w:ilvl="8" w:tplc="365AAA42" w:tentative="1">
      <w:start w:val="1"/>
      <w:numFmt w:val="bullet"/>
      <w:lvlText w:val=""/>
      <w:lvlJc w:val="left"/>
      <w:pPr>
        <w:ind w:left="6540" w:hanging="360"/>
      </w:pPr>
      <w:rPr>
        <w:rFonts w:ascii="Wingdings" w:hAnsi="Wingdings" w:hint="default"/>
      </w:rPr>
    </w:lvl>
  </w:abstractNum>
  <w:abstractNum w:abstractNumId="20" w15:restartNumberingAfterBreak="0">
    <w:nsid w:val="38BB0D48"/>
    <w:multiLevelType w:val="hybridMultilevel"/>
    <w:tmpl w:val="C50634E0"/>
    <w:lvl w:ilvl="0" w:tplc="02781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3B6063"/>
    <w:multiLevelType w:val="hybridMultilevel"/>
    <w:tmpl w:val="07CA0934"/>
    <w:styleLink w:val="BulletBig"/>
    <w:lvl w:ilvl="0" w:tplc="ADFE6F00">
      <w:numFmt w:val="bullet"/>
      <w:lvlText w:val="•"/>
      <w:lvlJc w:val="left"/>
      <w:rPr>
        <w:rFonts w:ascii="Trebuchet MS" w:eastAsia="Trebuchet MS" w:hAnsi="Trebuchet MS" w:cs="Trebuchet MS"/>
        <w:position w:val="0"/>
        <w:rtl w:val="0"/>
      </w:rPr>
    </w:lvl>
    <w:lvl w:ilvl="1" w:tplc="B9545C6C">
      <w:start w:val="1"/>
      <w:numFmt w:val="bullet"/>
      <w:lvlText w:val="•"/>
      <w:lvlJc w:val="left"/>
      <w:rPr>
        <w:rFonts w:ascii="Trebuchet MS" w:eastAsia="Trebuchet MS" w:hAnsi="Trebuchet MS" w:cs="Trebuchet MS"/>
        <w:position w:val="0"/>
        <w:rtl w:val="0"/>
      </w:rPr>
    </w:lvl>
    <w:lvl w:ilvl="2" w:tplc="015EAC38">
      <w:start w:val="1"/>
      <w:numFmt w:val="bullet"/>
      <w:lvlText w:val="•"/>
      <w:lvlJc w:val="left"/>
      <w:rPr>
        <w:rFonts w:ascii="Trebuchet MS" w:eastAsia="Trebuchet MS" w:hAnsi="Trebuchet MS" w:cs="Trebuchet MS"/>
        <w:position w:val="0"/>
        <w:rtl w:val="0"/>
      </w:rPr>
    </w:lvl>
    <w:lvl w:ilvl="3" w:tplc="89A85974">
      <w:start w:val="1"/>
      <w:numFmt w:val="bullet"/>
      <w:lvlText w:val="•"/>
      <w:lvlJc w:val="left"/>
      <w:rPr>
        <w:rFonts w:ascii="Trebuchet MS" w:eastAsia="Trebuchet MS" w:hAnsi="Trebuchet MS" w:cs="Trebuchet MS"/>
        <w:position w:val="0"/>
        <w:rtl w:val="0"/>
      </w:rPr>
    </w:lvl>
    <w:lvl w:ilvl="4" w:tplc="0D7A751E">
      <w:start w:val="1"/>
      <w:numFmt w:val="bullet"/>
      <w:lvlText w:val="•"/>
      <w:lvlJc w:val="left"/>
      <w:rPr>
        <w:rFonts w:ascii="Trebuchet MS" w:eastAsia="Trebuchet MS" w:hAnsi="Trebuchet MS" w:cs="Trebuchet MS"/>
        <w:position w:val="0"/>
        <w:rtl w:val="0"/>
      </w:rPr>
    </w:lvl>
    <w:lvl w:ilvl="5" w:tplc="841ED2D8">
      <w:start w:val="1"/>
      <w:numFmt w:val="bullet"/>
      <w:lvlText w:val="•"/>
      <w:lvlJc w:val="left"/>
      <w:rPr>
        <w:rFonts w:ascii="Trebuchet MS" w:eastAsia="Trebuchet MS" w:hAnsi="Trebuchet MS" w:cs="Trebuchet MS"/>
        <w:position w:val="0"/>
        <w:rtl w:val="0"/>
      </w:rPr>
    </w:lvl>
    <w:lvl w:ilvl="6" w:tplc="4D60AA16">
      <w:start w:val="1"/>
      <w:numFmt w:val="bullet"/>
      <w:lvlText w:val="•"/>
      <w:lvlJc w:val="left"/>
      <w:rPr>
        <w:rFonts w:ascii="Trebuchet MS" w:eastAsia="Trebuchet MS" w:hAnsi="Trebuchet MS" w:cs="Trebuchet MS"/>
        <w:position w:val="0"/>
        <w:rtl w:val="0"/>
      </w:rPr>
    </w:lvl>
    <w:lvl w:ilvl="7" w:tplc="9306BFF0">
      <w:start w:val="1"/>
      <w:numFmt w:val="bullet"/>
      <w:lvlText w:val="•"/>
      <w:lvlJc w:val="left"/>
      <w:rPr>
        <w:rFonts w:ascii="Trebuchet MS" w:eastAsia="Trebuchet MS" w:hAnsi="Trebuchet MS" w:cs="Trebuchet MS"/>
        <w:position w:val="0"/>
        <w:rtl w:val="0"/>
      </w:rPr>
    </w:lvl>
    <w:lvl w:ilvl="8" w:tplc="DE5AC0AC">
      <w:start w:val="1"/>
      <w:numFmt w:val="bullet"/>
      <w:lvlText w:val="•"/>
      <w:lvlJc w:val="left"/>
      <w:rPr>
        <w:rFonts w:ascii="Trebuchet MS" w:eastAsia="Trebuchet MS" w:hAnsi="Trebuchet MS" w:cs="Trebuchet MS"/>
        <w:position w:val="0"/>
        <w:rtl w:val="0"/>
      </w:rPr>
    </w:lvl>
  </w:abstractNum>
  <w:abstractNum w:abstractNumId="22" w15:restartNumberingAfterBreak="0">
    <w:nsid w:val="40CC079B"/>
    <w:multiLevelType w:val="hybridMultilevel"/>
    <w:tmpl w:val="380687BA"/>
    <w:lvl w:ilvl="0" w:tplc="8C6C892E">
      <w:start w:val="1"/>
      <w:numFmt w:val="bullet"/>
      <w:pStyle w:val="ListBullet2"/>
      <w:lvlText w:val="»"/>
      <w:lvlJc w:val="left"/>
      <w:pPr>
        <w:ind w:left="720" w:hanging="360"/>
      </w:pPr>
      <w:rPr>
        <w:rFonts w:ascii="Century Gothic (Body)" w:hAnsi="Century Gothic (Bod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B97347E"/>
    <w:multiLevelType w:val="hybridMultilevel"/>
    <w:tmpl w:val="E6C498AA"/>
    <w:styleLink w:val="List1"/>
    <w:lvl w:ilvl="0" w:tplc="32EE5104">
      <w:numFmt w:val="bullet"/>
      <w:lvlText w:val="➢"/>
      <w:lvlJc w:val="left"/>
      <w:rPr>
        <w:rFonts w:ascii="Trebuchet MS" w:eastAsia="Trebuchet MS" w:hAnsi="Trebuchet MS" w:cs="Trebuchet MS"/>
        <w:b/>
        <w:bCs/>
        <w:position w:val="0"/>
      </w:rPr>
    </w:lvl>
    <w:lvl w:ilvl="1" w:tplc="6160F36A">
      <w:start w:val="1"/>
      <w:numFmt w:val="bullet"/>
      <w:lvlText w:val="o"/>
      <w:lvlJc w:val="left"/>
      <w:rPr>
        <w:rFonts w:ascii="Calibri" w:eastAsia="Calibri" w:hAnsi="Calibri" w:cs="Calibri"/>
        <w:b/>
        <w:bCs/>
        <w:position w:val="0"/>
      </w:rPr>
    </w:lvl>
    <w:lvl w:ilvl="2" w:tplc="B2D083C8">
      <w:start w:val="1"/>
      <w:numFmt w:val="bullet"/>
      <w:lvlText w:val="▪"/>
      <w:lvlJc w:val="left"/>
      <w:rPr>
        <w:rFonts w:ascii="Calibri" w:eastAsia="Calibri" w:hAnsi="Calibri" w:cs="Calibri"/>
        <w:b/>
        <w:bCs/>
        <w:position w:val="0"/>
      </w:rPr>
    </w:lvl>
    <w:lvl w:ilvl="3" w:tplc="F0C8CF4A">
      <w:start w:val="1"/>
      <w:numFmt w:val="bullet"/>
      <w:lvlText w:val="•"/>
      <w:lvlJc w:val="left"/>
      <w:rPr>
        <w:rFonts w:ascii="Calibri" w:eastAsia="Calibri" w:hAnsi="Calibri" w:cs="Calibri"/>
        <w:b/>
        <w:bCs/>
        <w:position w:val="0"/>
      </w:rPr>
    </w:lvl>
    <w:lvl w:ilvl="4" w:tplc="FE92BF40">
      <w:start w:val="1"/>
      <w:numFmt w:val="bullet"/>
      <w:lvlText w:val="o"/>
      <w:lvlJc w:val="left"/>
      <w:rPr>
        <w:rFonts w:ascii="Calibri" w:eastAsia="Calibri" w:hAnsi="Calibri" w:cs="Calibri"/>
        <w:b/>
        <w:bCs/>
        <w:position w:val="0"/>
      </w:rPr>
    </w:lvl>
    <w:lvl w:ilvl="5" w:tplc="983240DA">
      <w:start w:val="1"/>
      <w:numFmt w:val="bullet"/>
      <w:lvlText w:val="▪"/>
      <w:lvlJc w:val="left"/>
      <w:rPr>
        <w:rFonts w:ascii="Calibri" w:eastAsia="Calibri" w:hAnsi="Calibri" w:cs="Calibri"/>
        <w:b/>
        <w:bCs/>
        <w:position w:val="0"/>
      </w:rPr>
    </w:lvl>
    <w:lvl w:ilvl="6" w:tplc="5D28270E">
      <w:start w:val="1"/>
      <w:numFmt w:val="bullet"/>
      <w:lvlText w:val="•"/>
      <w:lvlJc w:val="left"/>
      <w:rPr>
        <w:rFonts w:ascii="Calibri" w:eastAsia="Calibri" w:hAnsi="Calibri" w:cs="Calibri"/>
        <w:b/>
        <w:bCs/>
        <w:position w:val="0"/>
      </w:rPr>
    </w:lvl>
    <w:lvl w:ilvl="7" w:tplc="BBC4E6E8">
      <w:start w:val="1"/>
      <w:numFmt w:val="bullet"/>
      <w:lvlText w:val="o"/>
      <w:lvlJc w:val="left"/>
      <w:rPr>
        <w:rFonts w:ascii="Calibri" w:eastAsia="Calibri" w:hAnsi="Calibri" w:cs="Calibri"/>
        <w:b/>
        <w:bCs/>
        <w:position w:val="0"/>
      </w:rPr>
    </w:lvl>
    <w:lvl w:ilvl="8" w:tplc="1960E2DA">
      <w:start w:val="1"/>
      <w:numFmt w:val="bullet"/>
      <w:lvlText w:val="▪"/>
      <w:lvlJc w:val="left"/>
      <w:rPr>
        <w:rFonts w:ascii="Calibri" w:eastAsia="Calibri" w:hAnsi="Calibri" w:cs="Calibri"/>
        <w:b/>
        <w:bCs/>
        <w:position w:val="0"/>
      </w:rPr>
    </w:lvl>
  </w:abstractNum>
  <w:abstractNum w:abstractNumId="24" w15:restartNumberingAfterBreak="0">
    <w:nsid w:val="4E8B7F4D"/>
    <w:multiLevelType w:val="hybridMultilevel"/>
    <w:tmpl w:val="1D440A4C"/>
    <w:styleLink w:val="List11"/>
    <w:lvl w:ilvl="0" w:tplc="EB4097A2">
      <w:numFmt w:val="bullet"/>
      <w:lvlText w:val="•"/>
      <w:lvlJc w:val="left"/>
      <w:rPr>
        <w:rFonts w:ascii="Calibri" w:eastAsia="Calibri" w:hAnsi="Calibri" w:cs="Calibri"/>
        <w:b/>
        <w:bCs/>
        <w:position w:val="0"/>
        <w:rtl w:val="0"/>
      </w:rPr>
    </w:lvl>
    <w:lvl w:ilvl="1" w:tplc="8CD401C6">
      <w:start w:val="1"/>
      <w:numFmt w:val="bullet"/>
      <w:lvlText w:val="•"/>
      <w:lvlJc w:val="left"/>
      <w:rPr>
        <w:rFonts w:ascii="Calibri" w:eastAsia="Calibri" w:hAnsi="Calibri" w:cs="Calibri"/>
        <w:b/>
        <w:bCs/>
        <w:position w:val="0"/>
        <w:rtl w:val="0"/>
      </w:rPr>
    </w:lvl>
    <w:lvl w:ilvl="2" w:tplc="4800B29C">
      <w:start w:val="1"/>
      <w:numFmt w:val="bullet"/>
      <w:lvlText w:val="➢"/>
      <w:lvlJc w:val="left"/>
      <w:rPr>
        <w:rFonts w:ascii="Calibri" w:eastAsia="Calibri" w:hAnsi="Calibri" w:cs="Calibri"/>
        <w:b/>
        <w:bCs/>
        <w:position w:val="0"/>
        <w:rtl w:val="0"/>
      </w:rPr>
    </w:lvl>
    <w:lvl w:ilvl="3" w:tplc="8EF4B778">
      <w:start w:val="1"/>
      <w:numFmt w:val="bullet"/>
      <w:lvlText w:val="•"/>
      <w:lvlJc w:val="left"/>
      <w:rPr>
        <w:rFonts w:ascii="Calibri" w:eastAsia="Calibri" w:hAnsi="Calibri" w:cs="Calibri"/>
        <w:b/>
        <w:bCs/>
        <w:position w:val="0"/>
        <w:rtl w:val="0"/>
      </w:rPr>
    </w:lvl>
    <w:lvl w:ilvl="4" w:tplc="1436D8B8">
      <w:start w:val="1"/>
      <w:numFmt w:val="bullet"/>
      <w:lvlText w:val="•"/>
      <w:lvlJc w:val="left"/>
      <w:rPr>
        <w:rFonts w:ascii="Calibri" w:eastAsia="Calibri" w:hAnsi="Calibri" w:cs="Calibri"/>
        <w:b/>
        <w:bCs/>
        <w:position w:val="0"/>
        <w:rtl w:val="0"/>
      </w:rPr>
    </w:lvl>
    <w:lvl w:ilvl="5" w:tplc="A6CC5782">
      <w:start w:val="1"/>
      <w:numFmt w:val="bullet"/>
      <w:lvlText w:val="•"/>
      <w:lvlJc w:val="left"/>
      <w:rPr>
        <w:rFonts w:ascii="Calibri" w:eastAsia="Calibri" w:hAnsi="Calibri" w:cs="Calibri"/>
        <w:b/>
        <w:bCs/>
        <w:position w:val="0"/>
        <w:rtl w:val="0"/>
      </w:rPr>
    </w:lvl>
    <w:lvl w:ilvl="6" w:tplc="8D046B6C">
      <w:start w:val="1"/>
      <w:numFmt w:val="bullet"/>
      <w:lvlText w:val="•"/>
      <w:lvlJc w:val="left"/>
      <w:rPr>
        <w:rFonts w:ascii="Calibri" w:eastAsia="Calibri" w:hAnsi="Calibri" w:cs="Calibri"/>
        <w:b/>
        <w:bCs/>
        <w:position w:val="0"/>
        <w:rtl w:val="0"/>
      </w:rPr>
    </w:lvl>
    <w:lvl w:ilvl="7" w:tplc="7F9A97EC">
      <w:start w:val="1"/>
      <w:numFmt w:val="bullet"/>
      <w:lvlText w:val="•"/>
      <w:lvlJc w:val="left"/>
      <w:rPr>
        <w:rFonts w:ascii="Calibri" w:eastAsia="Calibri" w:hAnsi="Calibri" w:cs="Calibri"/>
        <w:b/>
        <w:bCs/>
        <w:position w:val="0"/>
        <w:rtl w:val="0"/>
      </w:rPr>
    </w:lvl>
    <w:lvl w:ilvl="8" w:tplc="9E9E8500">
      <w:start w:val="1"/>
      <w:numFmt w:val="bullet"/>
      <w:lvlText w:val="•"/>
      <w:lvlJc w:val="left"/>
      <w:rPr>
        <w:rFonts w:ascii="Calibri" w:eastAsia="Calibri" w:hAnsi="Calibri" w:cs="Calibri"/>
        <w:b/>
        <w:bCs/>
        <w:position w:val="0"/>
        <w:rtl w:val="0"/>
      </w:rPr>
    </w:lvl>
  </w:abstractNum>
  <w:abstractNum w:abstractNumId="25" w15:restartNumberingAfterBreak="0">
    <w:nsid w:val="50120A46"/>
    <w:multiLevelType w:val="hybridMultilevel"/>
    <w:tmpl w:val="B7969B1A"/>
    <w:styleLink w:val="List9"/>
    <w:lvl w:ilvl="0" w:tplc="5A7E28FE">
      <w:numFmt w:val="bullet"/>
      <w:lvlText w:val="➢"/>
      <w:lvlJc w:val="left"/>
      <w:rPr>
        <w:rFonts w:ascii="Trebuchet MS" w:eastAsia="Trebuchet MS" w:hAnsi="Trebuchet MS" w:cs="Trebuchet MS"/>
        <w:b/>
        <w:bCs/>
        <w:position w:val="0"/>
      </w:rPr>
    </w:lvl>
    <w:lvl w:ilvl="1" w:tplc="E1BC70AA">
      <w:start w:val="1"/>
      <w:numFmt w:val="bullet"/>
      <w:lvlText w:val="o"/>
      <w:lvlJc w:val="left"/>
      <w:rPr>
        <w:rFonts w:ascii="Calibri" w:eastAsia="Calibri" w:hAnsi="Calibri" w:cs="Calibri"/>
        <w:b/>
        <w:bCs/>
        <w:position w:val="0"/>
      </w:rPr>
    </w:lvl>
    <w:lvl w:ilvl="2" w:tplc="9ACC0F50">
      <w:start w:val="1"/>
      <w:numFmt w:val="bullet"/>
      <w:lvlText w:val="▪"/>
      <w:lvlJc w:val="left"/>
      <w:rPr>
        <w:rFonts w:ascii="Calibri" w:eastAsia="Calibri" w:hAnsi="Calibri" w:cs="Calibri"/>
        <w:b/>
        <w:bCs/>
        <w:position w:val="0"/>
      </w:rPr>
    </w:lvl>
    <w:lvl w:ilvl="3" w:tplc="BC64C8E6">
      <w:start w:val="1"/>
      <w:numFmt w:val="bullet"/>
      <w:lvlText w:val="•"/>
      <w:lvlJc w:val="left"/>
      <w:rPr>
        <w:rFonts w:ascii="Calibri" w:eastAsia="Calibri" w:hAnsi="Calibri" w:cs="Calibri"/>
        <w:b/>
        <w:bCs/>
        <w:position w:val="0"/>
      </w:rPr>
    </w:lvl>
    <w:lvl w:ilvl="4" w:tplc="DA70958C">
      <w:start w:val="1"/>
      <w:numFmt w:val="bullet"/>
      <w:lvlText w:val="o"/>
      <w:lvlJc w:val="left"/>
      <w:rPr>
        <w:rFonts w:ascii="Calibri" w:eastAsia="Calibri" w:hAnsi="Calibri" w:cs="Calibri"/>
        <w:b/>
        <w:bCs/>
        <w:position w:val="0"/>
      </w:rPr>
    </w:lvl>
    <w:lvl w:ilvl="5" w:tplc="B7FA63E8">
      <w:start w:val="1"/>
      <w:numFmt w:val="bullet"/>
      <w:lvlText w:val="▪"/>
      <w:lvlJc w:val="left"/>
      <w:rPr>
        <w:rFonts w:ascii="Calibri" w:eastAsia="Calibri" w:hAnsi="Calibri" w:cs="Calibri"/>
        <w:b/>
        <w:bCs/>
        <w:position w:val="0"/>
      </w:rPr>
    </w:lvl>
    <w:lvl w:ilvl="6" w:tplc="285C9F3A">
      <w:start w:val="1"/>
      <w:numFmt w:val="bullet"/>
      <w:lvlText w:val="•"/>
      <w:lvlJc w:val="left"/>
      <w:rPr>
        <w:rFonts w:ascii="Calibri" w:eastAsia="Calibri" w:hAnsi="Calibri" w:cs="Calibri"/>
        <w:b/>
        <w:bCs/>
        <w:position w:val="0"/>
      </w:rPr>
    </w:lvl>
    <w:lvl w:ilvl="7" w:tplc="1D4AE780">
      <w:start w:val="1"/>
      <w:numFmt w:val="bullet"/>
      <w:lvlText w:val="o"/>
      <w:lvlJc w:val="left"/>
      <w:rPr>
        <w:rFonts w:ascii="Calibri" w:eastAsia="Calibri" w:hAnsi="Calibri" w:cs="Calibri"/>
        <w:b/>
        <w:bCs/>
        <w:position w:val="0"/>
      </w:rPr>
    </w:lvl>
    <w:lvl w:ilvl="8" w:tplc="D04EF5DC">
      <w:start w:val="1"/>
      <w:numFmt w:val="bullet"/>
      <w:lvlText w:val="▪"/>
      <w:lvlJc w:val="left"/>
      <w:rPr>
        <w:rFonts w:ascii="Calibri" w:eastAsia="Calibri" w:hAnsi="Calibri" w:cs="Calibri"/>
        <w:b/>
        <w:bCs/>
        <w:position w:val="0"/>
      </w:rPr>
    </w:lvl>
  </w:abstractNum>
  <w:abstractNum w:abstractNumId="26" w15:restartNumberingAfterBreak="0">
    <w:nsid w:val="50EB7E34"/>
    <w:multiLevelType w:val="multilevel"/>
    <w:tmpl w:val="D158A798"/>
    <w:styleLink w:val="ImportedStyle22"/>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27" w15:restartNumberingAfterBreak="0">
    <w:nsid w:val="54464127"/>
    <w:multiLevelType w:val="hybridMultilevel"/>
    <w:tmpl w:val="52D66514"/>
    <w:styleLink w:val="List6"/>
    <w:lvl w:ilvl="0" w:tplc="255CA22A">
      <w:numFmt w:val="bullet"/>
      <w:lvlText w:val="➢"/>
      <w:lvlJc w:val="left"/>
      <w:rPr>
        <w:rFonts w:ascii="Calibri" w:eastAsia="Calibri" w:hAnsi="Calibri" w:cs="Calibri"/>
        <w:b/>
        <w:bCs/>
        <w:position w:val="0"/>
        <w:rtl w:val="0"/>
      </w:rPr>
    </w:lvl>
    <w:lvl w:ilvl="1" w:tplc="BFA4A9EE">
      <w:start w:val="1"/>
      <w:numFmt w:val="bullet"/>
      <w:lvlText w:val="o"/>
      <w:lvlJc w:val="left"/>
      <w:rPr>
        <w:rFonts w:ascii="Calibri" w:eastAsia="Calibri" w:hAnsi="Calibri" w:cs="Calibri"/>
        <w:b/>
        <w:bCs/>
        <w:position w:val="0"/>
        <w:rtl w:val="0"/>
      </w:rPr>
    </w:lvl>
    <w:lvl w:ilvl="2" w:tplc="8280F1D6">
      <w:start w:val="1"/>
      <w:numFmt w:val="bullet"/>
      <w:lvlText w:val="▪"/>
      <w:lvlJc w:val="left"/>
      <w:rPr>
        <w:rFonts w:ascii="Calibri" w:eastAsia="Calibri" w:hAnsi="Calibri" w:cs="Calibri"/>
        <w:b/>
        <w:bCs/>
        <w:position w:val="0"/>
        <w:rtl w:val="0"/>
      </w:rPr>
    </w:lvl>
    <w:lvl w:ilvl="3" w:tplc="4FBC562A">
      <w:start w:val="1"/>
      <w:numFmt w:val="bullet"/>
      <w:lvlText w:val="•"/>
      <w:lvlJc w:val="left"/>
      <w:rPr>
        <w:rFonts w:ascii="Calibri" w:eastAsia="Calibri" w:hAnsi="Calibri" w:cs="Calibri"/>
        <w:b/>
        <w:bCs/>
        <w:position w:val="0"/>
        <w:rtl w:val="0"/>
      </w:rPr>
    </w:lvl>
    <w:lvl w:ilvl="4" w:tplc="EF44AF7A">
      <w:start w:val="1"/>
      <w:numFmt w:val="bullet"/>
      <w:lvlText w:val="o"/>
      <w:lvlJc w:val="left"/>
      <w:rPr>
        <w:rFonts w:ascii="Calibri" w:eastAsia="Calibri" w:hAnsi="Calibri" w:cs="Calibri"/>
        <w:b/>
        <w:bCs/>
        <w:position w:val="0"/>
        <w:rtl w:val="0"/>
      </w:rPr>
    </w:lvl>
    <w:lvl w:ilvl="5" w:tplc="7430C13A">
      <w:start w:val="1"/>
      <w:numFmt w:val="bullet"/>
      <w:lvlText w:val="▪"/>
      <w:lvlJc w:val="left"/>
      <w:rPr>
        <w:rFonts w:ascii="Calibri" w:eastAsia="Calibri" w:hAnsi="Calibri" w:cs="Calibri"/>
        <w:b/>
        <w:bCs/>
        <w:position w:val="0"/>
        <w:rtl w:val="0"/>
      </w:rPr>
    </w:lvl>
    <w:lvl w:ilvl="6" w:tplc="5A446662">
      <w:start w:val="1"/>
      <w:numFmt w:val="bullet"/>
      <w:lvlText w:val="•"/>
      <w:lvlJc w:val="left"/>
      <w:rPr>
        <w:rFonts w:ascii="Calibri" w:eastAsia="Calibri" w:hAnsi="Calibri" w:cs="Calibri"/>
        <w:b/>
        <w:bCs/>
        <w:position w:val="0"/>
        <w:rtl w:val="0"/>
      </w:rPr>
    </w:lvl>
    <w:lvl w:ilvl="7" w:tplc="38B03EC8">
      <w:start w:val="1"/>
      <w:numFmt w:val="bullet"/>
      <w:lvlText w:val="o"/>
      <w:lvlJc w:val="left"/>
      <w:rPr>
        <w:rFonts w:ascii="Calibri" w:eastAsia="Calibri" w:hAnsi="Calibri" w:cs="Calibri"/>
        <w:b/>
        <w:bCs/>
        <w:position w:val="0"/>
        <w:rtl w:val="0"/>
      </w:rPr>
    </w:lvl>
    <w:lvl w:ilvl="8" w:tplc="DBB67A72">
      <w:start w:val="1"/>
      <w:numFmt w:val="bullet"/>
      <w:lvlText w:val="▪"/>
      <w:lvlJc w:val="left"/>
      <w:rPr>
        <w:rFonts w:ascii="Calibri" w:eastAsia="Calibri" w:hAnsi="Calibri" w:cs="Calibri"/>
        <w:b/>
        <w:bCs/>
        <w:position w:val="0"/>
        <w:rtl w:val="0"/>
      </w:rPr>
    </w:lvl>
  </w:abstractNum>
  <w:abstractNum w:abstractNumId="28" w15:restartNumberingAfterBreak="0">
    <w:nsid w:val="573D7F50"/>
    <w:multiLevelType w:val="hybridMultilevel"/>
    <w:tmpl w:val="FFFFFFFF"/>
    <w:lvl w:ilvl="0" w:tplc="062AC242">
      <w:start w:val="1"/>
      <w:numFmt w:val="bullet"/>
      <w:lvlText w:val=""/>
      <w:lvlJc w:val="left"/>
      <w:pPr>
        <w:ind w:left="360" w:hanging="360"/>
      </w:pPr>
      <w:rPr>
        <w:rFonts w:ascii="Symbol" w:hAnsi="Symbol" w:hint="default"/>
      </w:rPr>
    </w:lvl>
    <w:lvl w:ilvl="1" w:tplc="DCF8D58A">
      <w:start w:val="1"/>
      <w:numFmt w:val="bullet"/>
      <w:lvlText w:val="o"/>
      <w:lvlJc w:val="left"/>
      <w:pPr>
        <w:ind w:left="1080" w:hanging="360"/>
      </w:pPr>
      <w:rPr>
        <w:rFonts w:ascii="Courier New" w:hAnsi="Courier New" w:hint="default"/>
      </w:rPr>
    </w:lvl>
    <w:lvl w:ilvl="2" w:tplc="C7C8CA92">
      <w:start w:val="1"/>
      <w:numFmt w:val="bullet"/>
      <w:lvlText w:val=""/>
      <w:lvlJc w:val="left"/>
      <w:pPr>
        <w:ind w:left="1800" w:hanging="360"/>
      </w:pPr>
      <w:rPr>
        <w:rFonts w:ascii="Wingdings" w:hAnsi="Wingdings" w:hint="default"/>
      </w:rPr>
    </w:lvl>
    <w:lvl w:ilvl="3" w:tplc="BF361798">
      <w:start w:val="1"/>
      <w:numFmt w:val="bullet"/>
      <w:lvlText w:val=""/>
      <w:lvlJc w:val="left"/>
      <w:pPr>
        <w:ind w:left="2520" w:hanging="360"/>
      </w:pPr>
      <w:rPr>
        <w:rFonts w:ascii="Symbol" w:hAnsi="Symbol" w:hint="default"/>
      </w:rPr>
    </w:lvl>
    <w:lvl w:ilvl="4" w:tplc="7C80A1E6">
      <w:start w:val="1"/>
      <w:numFmt w:val="bullet"/>
      <w:lvlText w:val="o"/>
      <w:lvlJc w:val="left"/>
      <w:pPr>
        <w:ind w:left="3240" w:hanging="360"/>
      </w:pPr>
      <w:rPr>
        <w:rFonts w:ascii="Courier New" w:hAnsi="Courier New" w:hint="default"/>
      </w:rPr>
    </w:lvl>
    <w:lvl w:ilvl="5" w:tplc="679C3856">
      <w:start w:val="1"/>
      <w:numFmt w:val="bullet"/>
      <w:lvlText w:val=""/>
      <w:lvlJc w:val="left"/>
      <w:pPr>
        <w:ind w:left="3960" w:hanging="360"/>
      </w:pPr>
      <w:rPr>
        <w:rFonts w:ascii="Wingdings" w:hAnsi="Wingdings" w:hint="default"/>
      </w:rPr>
    </w:lvl>
    <w:lvl w:ilvl="6" w:tplc="87F8B81A">
      <w:start w:val="1"/>
      <w:numFmt w:val="bullet"/>
      <w:lvlText w:val=""/>
      <w:lvlJc w:val="left"/>
      <w:pPr>
        <w:ind w:left="4680" w:hanging="360"/>
      </w:pPr>
      <w:rPr>
        <w:rFonts w:ascii="Symbol" w:hAnsi="Symbol" w:hint="default"/>
      </w:rPr>
    </w:lvl>
    <w:lvl w:ilvl="7" w:tplc="5562FD7A">
      <w:start w:val="1"/>
      <w:numFmt w:val="bullet"/>
      <w:lvlText w:val="o"/>
      <w:lvlJc w:val="left"/>
      <w:pPr>
        <w:ind w:left="5400" w:hanging="360"/>
      </w:pPr>
      <w:rPr>
        <w:rFonts w:ascii="Courier New" w:hAnsi="Courier New" w:hint="default"/>
      </w:rPr>
    </w:lvl>
    <w:lvl w:ilvl="8" w:tplc="D03C1498">
      <w:start w:val="1"/>
      <w:numFmt w:val="bullet"/>
      <w:lvlText w:val=""/>
      <w:lvlJc w:val="left"/>
      <w:pPr>
        <w:ind w:left="6120" w:hanging="360"/>
      </w:pPr>
      <w:rPr>
        <w:rFonts w:ascii="Wingdings" w:hAnsi="Wingdings" w:hint="default"/>
      </w:rPr>
    </w:lvl>
  </w:abstractNum>
  <w:abstractNum w:abstractNumId="29" w15:restartNumberingAfterBreak="0">
    <w:nsid w:val="57B17BA4"/>
    <w:multiLevelType w:val="hybridMultilevel"/>
    <w:tmpl w:val="1C5443A6"/>
    <w:styleLink w:val="Bullet"/>
    <w:lvl w:ilvl="0" w:tplc="6E2C0D06">
      <w:numFmt w:val="bullet"/>
      <w:lvlText w:val="•"/>
      <w:lvlJc w:val="left"/>
      <w:rPr>
        <w:rFonts w:ascii="Trebuchet MS" w:eastAsia="Trebuchet MS" w:hAnsi="Trebuchet MS" w:cs="Trebuchet MS"/>
        <w:position w:val="-2"/>
        <w:rtl w:val="0"/>
      </w:rPr>
    </w:lvl>
    <w:lvl w:ilvl="1" w:tplc="EE6A20C4">
      <w:start w:val="1"/>
      <w:numFmt w:val="bullet"/>
      <w:lvlText w:val="•"/>
      <w:lvlJc w:val="left"/>
      <w:rPr>
        <w:rFonts w:ascii="Trebuchet MS" w:eastAsia="Trebuchet MS" w:hAnsi="Trebuchet MS" w:cs="Trebuchet MS"/>
        <w:position w:val="-2"/>
        <w:rtl w:val="0"/>
      </w:rPr>
    </w:lvl>
    <w:lvl w:ilvl="2" w:tplc="4294A274">
      <w:start w:val="1"/>
      <w:numFmt w:val="bullet"/>
      <w:lvlText w:val="•"/>
      <w:lvlJc w:val="left"/>
      <w:rPr>
        <w:rFonts w:ascii="Trebuchet MS" w:eastAsia="Trebuchet MS" w:hAnsi="Trebuchet MS" w:cs="Trebuchet MS"/>
        <w:position w:val="-2"/>
        <w:rtl w:val="0"/>
      </w:rPr>
    </w:lvl>
    <w:lvl w:ilvl="3" w:tplc="ED4862AE">
      <w:start w:val="1"/>
      <w:numFmt w:val="bullet"/>
      <w:lvlText w:val="•"/>
      <w:lvlJc w:val="left"/>
      <w:rPr>
        <w:rFonts w:ascii="Trebuchet MS" w:eastAsia="Trebuchet MS" w:hAnsi="Trebuchet MS" w:cs="Trebuchet MS"/>
        <w:position w:val="-2"/>
        <w:rtl w:val="0"/>
      </w:rPr>
    </w:lvl>
    <w:lvl w:ilvl="4" w:tplc="30DE04C6">
      <w:start w:val="1"/>
      <w:numFmt w:val="bullet"/>
      <w:lvlText w:val="•"/>
      <w:lvlJc w:val="left"/>
      <w:rPr>
        <w:rFonts w:ascii="Trebuchet MS" w:eastAsia="Trebuchet MS" w:hAnsi="Trebuchet MS" w:cs="Trebuchet MS"/>
        <w:position w:val="-2"/>
        <w:rtl w:val="0"/>
      </w:rPr>
    </w:lvl>
    <w:lvl w:ilvl="5" w:tplc="81E6FAB2">
      <w:start w:val="1"/>
      <w:numFmt w:val="bullet"/>
      <w:lvlText w:val="•"/>
      <w:lvlJc w:val="left"/>
      <w:rPr>
        <w:rFonts w:ascii="Trebuchet MS" w:eastAsia="Trebuchet MS" w:hAnsi="Trebuchet MS" w:cs="Trebuchet MS"/>
        <w:position w:val="-2"/>
        <w:rtl w:val="0"/>
      </w:rPr>
    </w:lvl>
    <w:lvl w:ilvl="6" w:tplc="44E4551E">
      <w:start w:val="1"/>
      <w:numFmt w:val="bullet"/>
      <w:lvlText w:val="•"/>
      <w:lvlJc w:val="left"/>
      <w:rPr>
        <w:rFonts w:ascii="Trebuchet MS" w:eastAsia="Trebuchet MS" w:hAnsi="Trebuchet MS" w:cs="Trebuchet MS"/>
        <w:position w:val="-2"/>
        <w:rtl w:val="0"/>
      </w:rPr>
    </w:lvl>
    <w:lvl w:ilvl="7" w:tplc="C68C7E54">
      <w:start w:val="1"/>
      <w:numFmt w:val="bullet"/>
      <w:lvlText w:val="•"/>
      <w:lvlJc w:val="left"/>
      <w:rPr>
        <w:rFonts w:ascii="Trebuchet MS" w:eastAsia="Trebuchet MS" w:hAnsi="Trebuchet MS" w:cs="Trebuchet MS"/>
        <w:position w:val="-2"/>
        <w:rtl w:val="0"/>
      </w:rPr>
    </w:lvl>
    <w:lvl w:ilvl="8" w:tplc="F31639B4">
      <w:start w:val="1"/>
      <w:numFmt w:val="bullet"/>
      <w:lvlText w:val="•"/>
      <w:lvlJc w:val="left"/>
      <w:rPr>
        <w:rFonts w:ascii="Trebuchet MS" w:eastAsia="Trebuchet MS" w:hAnsi="Trebuchet MS" w:cs="Trebuchet MS"/>
        <w:position w:val="-2"/>
        <w:rtl w:val="0"/>
      </w:rPr>
    </w:lvl>
  </w:abstractNum>
  <w:abstractNum w:abstractNumId="30" w15:restartNumberingAfterBreak="0">
    <w:nsid w:val="58D9472B"/>
    <w:multiLevelType w:val="hybridMultilevel"/>
    <w:tmpl w:val="587A93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D6B1D02"/>
    <w:multiLevelType w:val="hybridMultilevel"/>
    <w:tmpl w:val="33E2E890"/>
    <w:styleLink w:val="List21"/>
    <w:lvl w:ilvl="0" w:tplc="0BFE8952">
      <w:numFmt w:val="bullet"/>
      <w:lvlText w:val="➢"/>
      <w:lvlJc w:val="left"/>
      <w:rPr>
        <w:rFonts w:ascii="Trebuchet MS" w:eastAsia="Trebuchet MS" w:hAnsi="Trebuchet MS" w:cs="Trebuchet MS"/>
        <w:b/>
        <w:bCs/>
        <w:position w:val="0"/>
      </w:rPr>
    </w:lvl>
    <w:lvl w:ilvl="1" w:tplc="735CF37E">
      <w:start w:val="1"/>
      <w:numFmt w:val="bullet"/>
      <w:lvlText w:val="o"/>
      <w:lvlJc w:val="left"/>
      <w:rPr>
        <w:rFonts w:ascii="Calibri" w:eastAsia="Calibri" w:hAnsi="Calibri" w:cs="Calibri"/>
        <w:b/>
        <w:bCs/>
        <w:position w:val="0"/>
      </w:rPr>
    </w:lvl>
    <w:lvl w:ilvl="2" w:tplc="AC0E0860">
      <w:start w:val="1"/>
      <w:numFmt w:val="bullet"/>
      <w:lvlText w:val="▪"/>
      <w:lvlJc w:val="left"/>
      <w:rPr>
        <w:rFonts w:ascii="Calibri" w:eastAsia="Calibri" w:hAnsi="Calibri" w:cs="Calibri"/>
        <w:b/>
        <w:bCs/>
        <w:position w:val="0"/>
      </w:rPr>
    </w:lvl>
    <w:lvl w:ilvl="3" w:tplc="A79CA18A">
      <w:start w:val="1"/>
      <w:numFmt w:val="bullet"/>
      <w:lvlText w:val="•"/>
      <w:lvlJc w:val="left"/>
      <w:rPr>
        <w:rFonts w:ascii="Calibri" w:eastAsia="Calibri" w:hAnsi="Calibri" w:cs="Calibri"/>
        <w:b/>
        <w:bCs/>
        <w:position w:val="0"/>
      </w:rPr>
    </w:lvl>
    <w:lvl w:ilvl="4" w:tplc="D71E19AE">
      <w:start w:val="1"/>
      <w:numFmt w:val="bullet"/>
      <w:lvlText w:val="o"/>
      <w:lvlJc w:val="left"/>
      <w:rPr>
        <w:rFonts w:ascii="Calibri" w:eastAsia="Calibri" w:hAnsi="Calibri" w:cs="Calibri"/>
        <w:b/>
        <w:bCs/>
        <w:position w:val="0"/>
      </w:rPr>
    </w:lvl>
    <w:lvl w:ilvl="5" w:tplc="745450F8">
      <w:start w:val="1"/>
      <w:numFmt w:val="bullet"/>
      <w:lvlText w:val="▪"/>
      <w:lvlJc w:val="left"/>
      <w:rPr>
        <w:rFonts w:ascii="Calibri" w:eastAsia="Calibri" w:hAnsi="Calibri" w:cs="Calibri"/>
        <w:b/>
        <w:bCs/>
        <w:position w:val="0"/>
      </w:rPr>
    </w:lvl>
    <w:lvl w:ilvl="6" w:tplc="C3DA10F4">
      <w:start w:val="1"/>
      <w:numFmt w:val="bullet"/>
      <w:lvlText w:val="•"/>
      <w:lvlJc w:val="left"/>
      <w:rPr>
        <w:rFonts w:ascii="Calibri" w:eastAsia="Calibri" w:hAnsi="Calibri" w:cs="Calibri"/>
        <w:b/>
        <w:bCs/>
        <w:position w:val="0"/>
      </w:rPr>
    </w:lvl>
    <w:lvl w:ilvl="7" w:tplc="DC984EB4">
      <w:start w:val="1"/>
      <w:numFmt w:val="bullet"/>
      <w:lvlText w:val="o"/>
      <w:lvlJc w:val="left"/>
      <w:rPr>
        <w:rFonts w:ascii="Calibri" w:eastAsia="Calibri" w:hAnsi="Calibri" w:cs="Calibri"/>
        <w:b/>
        <w:bCs/>
        <w:position w:val="0"/>
      </w:rPr>
    </w:lvl>
    <w:lvl w:ilvl="8" w:tplc="E22AE15A">
      <w:start w:val="1"/>
      <w:numFmt w:val="bullet"/>
      <w:lvlText w:val="▪"/>
      <w:lvlJc w:val="left"/>
      <w:rPr>
        <w:rFonts w:ascii="Calibri" w:eastAsia="Calibri" w:hAnsi="Calibri" w:cs="Calibri"/>
        <w:b/>
        <w:bCs/>
        <w:position w:val="0"/>
      </w:rPr>
    </w:lvl>
  </w:abstractNum>
  <w:abstractNum w:abstractNumId="32" w15:restartNumberingAfterBreak="0">
    <w:nsid w:val="60933231"/>
    <w:multiLevelType w:val="hybridMultilevel"/>
    <w:tmpl w:val="5EA8C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6B3BEB"/>
    <w:multiLevelType w:val="hybridMultilevel"/>
    <w:tmpl w:val="B434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F18EF"/>
    <w:multiLevelType w:val="hybridMultilevel"/>
    <w:tmpl w:val="7538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0F1147"/>
    <w:multiLevelType w:val="hybridMultilevel"/>
    <w:tmpl w:val="FFFFFFFF"/>
    <w:lvl w:ilvl="0" w:tplc="1CCAEB6C">
      <w:start w:val="1"/>
      <w:numFmt w:val="bullet"/>
      <w:lvlText w:val=""/>
      <w:lvlJc w:val="left"/>
      <w:pPr>
        <w:ind w:left="720" w:hanging="360"/>
      </w:pPr>
      <w:rPr>
        <w:rFonts w:ascii="Symbol" w:hAnsi="Symbol" w:hint="default"/>
      </w:rPr>
    </w:lvl>
    <w:lvl w:ilvl="1" w:tplc="136E9F12">
      <w:start w:val="1"/>
      <w:numFmt w:val="bullet"/>
      <w:lvlText w:val="o"/>
      <w:lvlJc w:val="left"/>
      <w:pPr>
        <w:ind w:left="1440" w:hanging="360"/>
      </w:pPr>
      <w:rPr>
        <w:rFonts w:ascii="Courier New" w:hAnsi="Courier New" w:hint="default"/>
      </w:rPr>
    </w:lvl>
    <w:lvl w:ilvl="2" w:tplc="DBB66A6C">
      <w:start w:val="1"/>
      <w:numFmt w:val="bullet"/>
      <w:lvlText w:val=""/>
      <w:lvlJc w:val="left"/>
      <w:pPr>
        <w:ind w:left="2160" w:hanging="360"/>
      </w:pPr>
      <w:rPr>
        <w:rFonts w:ascii="Wingdings" w:hAnsi="Wingdings" w:hint="default"/>
      </w:rPr>
    </w:lvl>
    <w:lvl w:ilvl="3" w:tplc="37A88A6C">
      <w:start w:val="1"/>
      <w:numFmt w:val="bullet"/>
      <w:lvlText w:val=""/>
      <w:lvlJc w:val="left"/>
      <w:pPr>
        <w:ind w:left="2880" w:hanging="360"/>
      </w:pPr>
      <w:rPr>
        <w:rFonts w:ascii="Symbol" w:hAnsi="Symbol" w:hint="default"/>
      </w:rPr>
    </w:lvl>
    <w:lvl w:ilvl="4" w:tplc="CD0A8ECE">
      <w:start w:val="1"/>
      <w:numFmt w:val="bullet"/>
      <w:lvlText w:val="o"/>
      <w:lvlJc w:val="left"/>
      <w:pPr>
        <w:ind w:left="3600" w:hanging="360"/>
      </w:pPr>
      <w:rPr>
        <w:rFonts w:ascii="Courier New" w:hAnsi="Courier New" w:hint="default"/>
      </w:rPr>
    </w:lvl>
    <w:lvl w:ilvl="5" w:tplc="00F898D0">
      <w:start w:val="1"/>
      <w:numFmt w:val="bullet"/>
      <w:lvlText w:val=""/>
      <w:lvlJc w:val="left"/>
      <w:pPr>
        <w:ind w:left="4320" w:hanging="360"/>
      </w:pPr>
      <w:rPr>
        <w:rFonts w:ascii="Wingdings" w:hAnsi="Wingdings" w:hint="default"/>
      </w:rPr>
    </w:lvl>
    <w:lvl w:ilvl="6" w:tplc="0746507C">
      <w:start w:val="1"/>
      <w:numFmt w:val="bullet"/>
      <w:lvlText w:val=""/>
      <w:lvlJc w:val="left"/>
      <w:pPr>
        <w:ind w:left="5040" w:hanging="360"/>
      </w:pPr>
      <w:rPr>
        <w:rFonts w:ascii="Symbol" w:hAnsi="Symbol" w:hint="default"/>
      </w:rPr>
    </w:lvl>
    <w:lvl w:ilvl="7" w:tplc="2AE4C7E2">
      <w:start w:val="1"/>
      <w:numFmt w:val="bullet"/>
      <w:lvlText w:val="o"/>
      <w:lvlJc w:val="left"/>
      <w:pPr>
        <w:ind w:left="5760" w:hanging="360"/>
      </w:pPr>
      <w:rPr>
        <w:rFonts w:ascii="Courier New" w:hAnsi="Courier New" w:hint="default"/>
      </w:rPr>
    </w:lvl>
    <w:lvl w:ilvl="8" w:tplc="B922ED76">
      <w:start w:val="1"/>
      <w:numFmt w:val="bullet"/>
      <w:lvlText w:val=""/>
      <w:lvlJc w:val="left"/>
      <w:pPr>
        <w:ind w:left="6480" w:hanging="360"/>
      </w:pPr>
      <w:rPr>
        <w:rFonts w:ascii="Wingdings" w:hAnsi="Wingdings" w:hint="default"/>
      </w:rPr>
    </w:lvl>
  </w:abstractNum>
  <w:abstractNum w:abstractNumId="36" w15:restartNumberingAfterBreak="0">
    <w:nsid w:val="70705B81"/>
    <w:multiLevelType w:val="hybridMultilevel"/>
    <w:tmpl w:val="4BD6E680"/>
    <w:styleLink w:val="List31"/>
    <w:lvl w:ilvl="0" w:tplc="4E4C5334">
      <w:numFmt w:val="bullet"/>
      <w:lvlText w:val="•"/>
      <w:lvlJc w:val="left"/>
      <w:rPr>
        <w:rFonts w:ascii="Calibri" w:eastAsia="Calibri" w:hAnsi="Calibri" w:cs="Calibri"/>
        <w:b/>
        <w:bCs/>
        <w:position w:val="0"/>
        <w:rtl w:val="0"/>
      </w:rPr>
    </w:lvl>
    <w:lvl w:ilvl="1" w:tplc="46161742">
      <w:start w:val="1"/>
      <w:numFmt w:val="bullet"/>
      <w:lvlText w:val="➢"/>
      <w:lvlJc w:val="left"/>
      <w:rPr>
        <w:rFonts w:ascii="Calibri" w:eastAsia="Calibri" w:hAnsi="Calibri" w:cs="Calibri"/>
        <w:b/>
        <w:bCs/>
        <w:position w:val="0"/>
        <w:rtl w:val="0"/>
      </w:rPr>
    </w:lvl>
    <w:lvl w:ilvl="2" w:tplc="976EF0D4">
      <w:start w:val="1"/>
      <w:numFmt w:val="bullet"/>
      <w:lvlText w:val="▪"/>
      <w:lvlJc w:val="left"/>
      <w:rPr>
        <w:rFonts w:ascii="Calibri" w:eastAsia="Calibri" w:hAnsi="Calibri" w:cs="Calibri"/>
        <w:b/>
        <w:bCs/>
        <w:position w:val="0"/>
        <w:rtl w:val="0"/>
      </w:rPr>
    </w:lvl>
    <w:lvl w:ilvl="3" w:tplc="84A66B56">
      <w:start w:val="1"/>
      <w:numFmt w:val="bullet"/>
      <w:lvlText w:val="•"/>
      <w:lvlJc w:val="left"/>
      <w:rPr>
        <w:rFonts w:ascii="Calibri" w:eastAsia="Calibri" w:hAnsi="Calibri" w:cs="Calibri"/>
        <w:b/>
        <w:bCs/>
        <w:position w:val="0"/>
        <w:rtl w:val="0"/>
      </w:rPr>
    </w:lvl>
    <w:lvl w:ilvl="4" w:tplc="5A40DE34">
      <w:start w:val="1"/>
      <w:numFmt w:val="bullet"/>
      <w:lvlText w:val="o"/>
      <w:lvlJc w:val="left"/>
      <w:rPr>
        <w:rFonts w:ascii="Calibri" w:eastAsia="Calibri" w:hAnsi="Calibri" w:cs="Calibri"/>
        <w:b/>
        <w:bCs/>
        <w:position w:val="0"/>
        <w:rtl w:val="0"/>
      </w:rPr>
    </w:lvl>
    <w:lvl w:ilvl="5" w:tplc="0194D544">
      <w:start w:val="1"/>
      <w:numFmt w:val="bullet"/>
      <w:lvlText w:val="▪"/>
      <w:lvlJc w:val="left"/>
      <w:rPr>
        <w:rFonts w:ascii="Calibri" w:eastAsia="Calibri" w:hAnsi="Calibri" w:cs="Calibri"/>
        <w:b/>
        <w:bCs/>
        <w:position w:val="0"/>
        <w:rtl w:val="0"/>
      </w:rPr>
    </w:lvl>
    <w:lvl w:ilvl="6" w:tplc="0A14DB10">
      <w:start w:val="1"/>
      <w:numFmt w:val="bullet"/>
      <w:lvlText w:val="•"/>
      <w:lvlJc w:val="left"/>
      <w:rPr>
        <w:rFonts w:ascii="Calibri" w:eastAsia="Calibri" w:hAnsi="Calibri" w:cs="Calibri"/>
        <w:b/>
        <w:bCs/>
        <w:position w:val="0"/>
        <w:rtl w:val="0"/>
      </w:rPr>
    </w:lvl>
    <w:lvl w:ilvl="7" w:tplc="7DDABB8C">
      <w:start w:val="1"/>
      <w:numFmt w:val="bullet"/>
      <w:lvlText w:val="o"/>
      <w:lvlJc w:val="left"/>
      <w:rPr>
        <w:rFonts w:ascii="Calibri" w:eastAsia="Calibri" w:hAnsi="Calibri" w:cs="Calibri"/>
        <w:b/>
        <w:bCs/>
        <w:position w:val="0"/>
        <w:rtl w:val="0"/>
      </w:rPr>
    </w:lvl>
    <w:lvl w:ilvl="8" w:tplc="781EB4AE">
      <w:start w:val="1"/>
      <w:numFmt w:val="bullet"/>
      <w:lvlText w:val="▪"/>
      <w:lvlJc w:val="left"/>
      <w:rPr>
        <w:rFonts w:ascii="Calibri" w:eastAsia="Calibri" w:hAnsi="Calibri" w:cs="Calibri"/>
        <w:b/>
        <w:bCs/>
        <w:position w:val="0"/>
        <w:rtl w:val="0"/>
      </w:rPr>
    </w:lvl>
  </w:abstractNum>
  <w:abstractNum w:abstractNumId="37" w15:restartNumberingAfterBreak="0">
    <w:nsid w:val="73A019DC"/>
    <w:multiLevelType w:val="hybridMultilevel"/>
    <w:tmpl w:val="F75C0D40"/>
    <w:styleLink w:val="List8"/>
    <w:lvl w:ilvl="0" w:tplc="1EBC5E84">
      <w:start w:val="1"/>
      <w:numFmt w:val="bullet"/>
      <w:lvlText w:val=""/>
      <w:lvlJc w:val="left"/>
      <w:rPr>
        <w:rFonts w:ascii="Symbol" w:hAnsi="Symbol" w:hint="default"/>
        <w:b/>
        <w:bCs/>
        <w:position w:val="0"/>
        <w:rtl w:val="0"/>
      </w:rPr>
    </w:lvl>
    <w:lvl w:ilvl="1" w:tplc="4076460A">
      <w:start w:val="1"/>
      <w:numFmt w:val="bullet"/>
      <w:lvlText w:val=""/>
      <w:lvlJc w:val="left"/>
      <w:rPr>
        <w:rFonts w:ascii="Symbol" w:hAnsi="Symbol" w:hint="default"/>
        <w:b/>
        <w:bCs/>
        <w:position w:val="0"/>
        <w:rtl w:val="0"/>
      </w:rPr>
    </w:lvl>
    <w:lvl w:ilvl="2" w:tplc="4C002418">
      <w:start w:val="1"/>
      <w:numFmt w:val="bullet"/>
      <w:lvlText w:val="▪"/>
      <w:lvlJc w:val="left"/>
      <w:rPr>
        <w:rFonts w:ascii="Calibri" w:eastAsia="Calibri" w:hAnsi="Calibri" w:cs="Calibri"/>
        <w:b/>
        <w:bCs/>
        <w:position w:val="0"/>
        <w:rtl w:val="0"/>
      </w:rPr>
    </w:lvl>
    <w:lvl w:ilvl="3" w:tplc="383E0838">
      <w:start w:val="1"/>
      <w:numFmt w:val="bullet"/>
      <w:lvlText w:val="•"/>
      <w:lvlJc w:val="left"/>
      <w:rPr>
        <w:rFonts w:ascii="Calibri" w:eastAsia="Calibri" w:hAnsi="Calibri" w:cs="Calibri"/>
        <w:b/>
        <w:bCs/>
        <w:position w:val="0"/>
        <w:rtl w:val="0"/>
      </w:rPr>
    </w:lvl>
    <w:lvl w:ilvl="4" w:tplc="9FEEFE8C">
      <w:start w:val="1"/>
      <w:numFmt w:val="bullet"/>
      <w:lvlText w:val="o"/>
      <w:lvlJc w:val="left"/>
      <w:rPr>
        <w:rFonts w:ascii="Calibri" w:eastAsia="Calibri" w:hAnsi="Calibri" w:cs="Calibri"/>
        <w:b/>
        <w:bCs/>
        <w:position w:val="0"/>
        <w:rtl w:val="0"/>
      </w:rPr>
    </w:lvl>
    <w:lvl w:ilvl="5" w:tplc="D9842F72">
      <w:start w:val="1"/>
      <w:numFmt w:val="bullet"/>
      <w:lvlText w:val="▪"/>
      <w:lvlJc w:val="left"/>
      <w:rPr>
        <w:rFonts w:ascii="Calibri" w:eastAsia="Calibri" w:hAnsi="Calibri" w:cs="Calibri"/>
        <w:b/>
        <w:bCs/>
        <w:position w:val="0"/>
        <w:rtl w:val="0"/>
      </w:rPr>
    </w:lvl>
    <w:lvl w:ilvl="6" w:tplc="833AB150">
      <w:start w:val="1"/>
      <w:numFmt w:val="bullet"/>
      <w:lvlText w:val="•"/>
      <w:lvlJc w:val="left"/>
      <w:rPr>
        <w:rFonts w:ascii="Calibri" w:eastAsia="Calibri" w:hAnsi="Calibri" w:cs="Calibri"/>
        <w:b/>
        <w:bCs/>
        <w:position w:val="0"/>
        <w:rtl w:val="0"/>
      </w:rPr>
    </w:lvl>
    <w:lvl w:ilvl="7" w:tplc="CDACCC30">
      <w:start w:val="1"/>
      <w:numFmt w:val="bullet"/>
      <w:lvlText w:val="o"/>
      <w:lvlJc w:val="left"/>
      <w:rPr>
        <w:rFonts w:ascii="Calibri" w:eastAsia="Calibri" w:hAnsi="Calibri" w:cs="Calibri"/>
        <w:b/>
        <w:bCs/>
        <w:position w:val="0"/>
        <w:rtl w:val="0"/>
      </w:rPr>
    </w:lvl>
    <w:lvl w:ilvl="8" w:tplc="C212A972">
      <w:start w:val="1"/>
      <w:numFmt w:val="bullet"/>
      <w:lvlText w:val="▪"/>
      <w:lvlJc w:val="left"/>
      <w:rPr>
        <w:rFonts w:ascii="Calibri" w:eastAsia="Calibri" w:hAnsi="Calibri" w:cs="Calibri"/>
        <w:b/>
        <w:bCs/>
        <w:position w:val="0"/>
        <w:rtl w:val="0"/>
      </w:rPr>
    </w:lvl>
  </w:abstractNum>
  <w:abstractNum w:abstractNumId="38" w15:restartNumberingAfterBreak="0">
    <w:nsid w:val="7558073D"/>
    <w:multiLevelType w:val="hybridMultilevel"/>
    <w:tmpl w:val="B0BEE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E90F17"/>
    <w:multiLevelType w:val="hybridMultilevel"/>
    <w:tmpl w:val="2A9629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F39783B"/>
    <w:multiLevelType w:val="hybridMultilevel"/>
    <w:tmpl w:val="625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7"/>
  </w:num>
  <w:num w:numId="6">
    <w:abstractNumId w:val="7"/>
  </w:num>
  <w:num w:numId="7">
    <w:abstractNumId w:val="3"/>
  </w:num>
  <w:num w:numId="8">
    <w:abstractNumId w:val="2"/>
  </w:num>
  <w:num w:numId="9">
    <w:abstractNumId w:val="1"/>
  </w:num>
  <w:num w:numId="10">
    <w:abstractNumId w:val="0"/>
  </w:num>
  <w:num w:numId="11">
    <w:abstractNumId w:val="22"/>
  </w:num>
  <w:num w:numId="12">
    <w:abstractNumId w:val="10"/>
  </w:num>
  <w:num w:numId="13">
    <w:abstractNumId w:val="11"/>
  </w:num>
  <w:num w:numId="14">
    <w:abstractNumId w:val="23"/>
  </w:num>
  <w:num w:numId="15">
    <w:abstractNumId w:val="36"/>
  </w:num>
  <w:num w:numId="16">
    <w:abstractNumId w:val="31"/>
  </w:num>
  <w:num w:numId="17">
    <w:abstractNumId w:val="15"/>
  </w:num>
  <w:num w:numId="18">
    <w:abstractNumId w:val="9"/>
  </w:num>
  <w:num w:numId="19">
    <w:abstractNumId w:val="37"/>
  </w:num>
  <w:num w:numId="20">
    <w:abstractNumId w:val="25"/>
  </w:num>
  <w:num w:numId="21">
    <w:abstractNumId w:val="13"/>
  </w:num>
  <w:num w:numId="22">
    <w:abstractNumId w:val="27"/>
  </w:num>
  <w:num w:numId="23">
    <w:abstractNumId w:val="16"/>
  </w:num>
  <w:num w:numId="24">
    <w:abstractNumId w:val="21"/>
  </w:num>
  <w:num w:numId="25">
    <w:abstractNumId w:val="29"/>
  </w:num>
  <w:num w:numId="26">
    <w:abstractNumId w:val="26"/>
  </w:num>
  <w:num w:numId="27">
    <w:abstractNumId w:val="12"/>
  </w:num>
  <w:num w:numId="28">
    <w:abstractNumId w:val="24"/>
  </w:num>
  <w:num w:numId="29">
    <w:abstractNumId w:val="18"/>
  </w:num>
  <w:num w:numId="30">
    <w:abstractNumId w:val="19"/>
  </w:num>
  <w:num w:numId="31">
    <w:abstractNumId w:val="34"/>
  </w:num>
  <w:num w:numId="32">
    <w:abstractNumId w:val="33"/>
  </w:num>
  <w:num w:numId="33">
    <w:abstractNumId w:val="14"/>
  </w:num>
  <w:num w:numId="34">
    <w:abstractNumId w:val="30"/>
    <w:lvlOverride w:ilvl="0">
      <w:startOverride w:val="1"/>
    </w:lvlOverride>
    <w:lvlOverride w:ilvl="1"/>
    <w:lvlOverride w:ilvl="2"/>
    <w:lvlOverride w:ilvl="3"/>
    <w:lvlOverride w:ilvl="4"/>
    <w:lvlOverride w:ilvl="5"/>
    <w:lvlOverride w:ilvl="6"/>
    <w:lvlOverride w:ilvl="7"/>
    <w:lvlOverride w:ilvl="8"/>
  </w:num>
  <w:num w:numId="35">
    <w:abstractNumId w:val="30"/>
  </w:num>
  <w:num w:numId="36">
    <w:abstractNumId w:val="39"/>
  </w:num>
  <w:num w:numId="37">
    <w:abstractNumId w:val="20"/>
  </w:num>
  <w:num w:numId="38">
    <w:abstractNumId w:val="28"/>
  </w:num>
  <w:num w:numId="39">
    <w:abstractNumId w:val="35"/>
  </w:num>
  <w:num w:numId="40">
    <w:abstractNumId w:val="32"/>
  </w:num>
  <w:num w:numId="41">
    <w:abstractNumId w:val="40"/>
  </w:num>
  <w:num w:numId="42">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1FB"/>
    <w:rsid w:val="000011D4"/>
    <w:rsid w:val="00002095"/>
    <w:rsid w:val="00002C18"/>
    <w:rsid w:val="0000403E"/>
    <w:rsid w:val="000041F7"/>
    <w:rsid w:val="0000481B"/>
    <w:rsid w:val="00006DB0"/>
    <w:rsid w:val="00011224"/>
    <w:rsid w:val="00012278"/>
    <w:rsid w:val="00012799"/>
    <w:rsid w:val="00012F6C"/>
    <w:rsid w:val="00013AC6"/>
    <w:rsid w:val="00013B91"/>
    <w:rsid w:val="000143E1"/>
    <w:rsid w:val="00014627"/>
    <w:rsid w:val="00014D96"/>
    <w:rsid w:val="000154B3"/>
    <w:rsid w:val="000155C4"/>
    <w:rsid w:val="00015DB6"/>
    <w:rsid w:val="0001701D"/>
    <w:rsid w:val="00017E1D"/>
    <w:rsid w:val="00021E72"/>
    <w:rsid w:val="00022CE1"/>
    <w:rsid w:val="00024824"/>
    <w:rsid w:val="0002520C"/>
    <w:rsid w:val="0002549D"/>
    <w:rsid w:val="00025AEA"/>
    <w:rsid w:val="000268B4"/>
    <w:rsid w:val="000270CC"/>
    <w:rsid w:val="000302D1"/>
    <w:rsid w:val="000303DF"/>
    <w:rsid w:val="0003077F"/>
    <w:rsid w:val="00030B93"/>
    <w:rsid w:val="000318EA"/>
    <w:rsid w:val="00031A4A"/>
    <w:rsid w:val="0003229C"/>
    <w:rsid w:val="00032988"/>
    <w:rsid w:val="00033A7A"/>
    <w:rsid w:val="000340B9"/>
    <w:rsid w:val="0003417F"/>
    <w:rsid w:val="0003558E"/>
    <w:rsid w:val="00036028"/>
    <w:rsid w:val="00036167"/>
    <w:rsid w:val="00036DA9"/>
    <w:rsid w:val="00040D58"/>
    <w:rsid w:val="00040E1C"/>
    <w:rsid w:val="000452CE"/>
    <w:rsid w:val="00045E20"/>
    <w:rsid w:val="00047795"/>
    <w:rsid w:val="0005113B"/>
    <w:rsid w:val="00051CE0"/>
    <w:rsid w:val="00052131"/>
    <w:rsid w:val="00052681"/>
    <w:rsid w:val="00052880"/>
    <w:rsid w:val="00052A4A"/>
    <w:rsid w:val="0005307C"/>
    <w:rsid w:val="00053B38"/>
    <w:rsid w:val="000547C2"/>
    <w:rsid w:val="0005507C"/>
    <w:rsid w:val="000573AD"/>
    <w:rsid w:val="00060167"/>
    <w:rsid w:val="00060408"/>
    <w:rsid w:val="00060BE3"/>
    <w:rsid w:val="00061E6D"/>
    <w:rsid w:val="000622D7"/>
    <w:rsid w:val="00063411"/>
    <w:rsid w:val="00063475"/>
    <w:rsid w:val="00063B0B"/>
    <w:rsid w:val="00063FC3"/>
    <w:rsid w:val="0006465D"/>
    <w:rsid w:val="00065BD8"/>
    <w:rsid w:val="00066019"/>
    <w:rsid w:val="00066172"/>
    <w:rsid w:val="00067337"/>
    <w:rsid w:val="00067BD5"/>
    <w:rsid w:val="00071667"/>
    <w:rsid w:val="000717B3"/>
    <w:rsid w:val="00071B4A"/>
    <w:rsid w:val="00071FCF"/>
    <w:rsid w:val="00072A36"/>
    <w:rsid w:val="0007344E"/>
    <w:rsid w:val="000741FB"/>
    <w:rsid w:val="00074DD7"/>
    <w:rsid w:val="00077F95"/>
    <w:rsid w:val="00081161"/>
    <w:rsid w:val="00082ACF"/>
    <w:rsid w:val="00084677"/>
    <w:rsid w:val="00085514"/>
    <w:rsid w:val="0008634E"/>
    <w:rsid w:val="000901CC"/>
    <w:rsid w:val="000902A9"/>
    <w:rsid w:val="00091A02"/>
    <w:rsid w:val="00092937"/>
    <w:rsid w:val="00092BFF"/>
    <w:rsid w:val="00092ECA"/>
    <w:rsid w:val="00094E1E"/>
    <w:rsid w:val="00095F9A"/>
    <w:rsid w:val="0009617D"/>
    <w:rsid w:val="00096808"/>
    <w:rsid w:val="000974FB"/>
    <w:rsid w:val="000A1E88"/>
    <w:rsid w:val="000A3B24"/>
    <w:rsid w:val="000A4547"/>
    <w:rsid w:val="000A5496"/>
    <w:rsid w:val="000A5AC2"/>
    <w:rsid w:val="000A5F84"/>
    <w:rsid w:val="000A764A"/>
    <w:rsid w:val="000A7AF8"/>
    <w:rsid w:val="000B0AE0"/>
    <w:rsid w:val="000B270D"/>
    <w:rsid w:val="000B2ACD"/>
    <w:rsid w:val="000B31E5"/>
    <w:rsid w:val="000B3533"/>
    <w:rsid w:val="000B3999"/>
    <w:rsid w:val="000B5661"/>
    <w:rsid w:val="000B6DDA"/>
    <w:rsid w:val="000B7342"/>
    <w:rsid w:val="000C12F8"/>
    <w:rsid w:val="000C210D"/>
    <w:rsid w:val="000C286E"/>
    <w:rsid w:val="000C41C8"/>
    <w:rsid w:val="000C4247"/>
    <w:rsid w:val="000C4680"/>
    <w:rsid w:val="000C4729"/>
    <w:rsid w:val="000C4B90"/>
    <w:rsid w:val="000C5486"/>
    <w:rsid w:val="000C65F1"/>
    <w:rsid w:val="000C7F8C"/>
    <w:rsid w:val="000D05EC"/>
    <w:rsid w:val="000D0740"/>
    <w:rsid w:val="000D07C0"/>
    <w:rsid w:val="000D1413"/>
    <w:rsid w:val="000D2CC8"/>
    <w:rsid w:val="000D56A8"/>
    <w:rsid w:val="000D5E85"/>
    <w:rsid w:val="000D5F0A"/>
    <w:rsid w:val="000D747E"/>
    <w:rsid w:val="000D7931"/>
    <w:rsid w:val="000DF760"/>
    <w:rsid w:val="000E18DF"/>
    <w:rsid w:val="000E2555"/>
    <w:rsid w:val="000E3471"/>
    <w:rsid w:val="000E4296"/>
    <w:rsid w:val="000E58D6"/>
    <w:rsid w:val="000E66CF"/>
    <w:rsid w:val="000F0AD4"/>
    <w:rsid w:val="000F106F"/>
    <w:rsid w:val="000F19D9"/>
    <w:rsid w:val="000F334D"/>
    <w:rsid w:val="000F33F8"/>
    <w:rsid w:val="000F3BC3"/>
    <w:rsid w:val="000F494A"/>
    <w:rsid w:val="000F505B"/>
    <w:rsid w:val="000F5D66"/>
    <w:rsid w:val="000F6C85"/>
    <w:rsid w:val="000F6CCF"/>
    <w:rsid w:val="001032E5"/>
    <w:rsid w:val="0010433E"/>
    <w:rsid w:val="00104C25"/>
    <w:rsid w:val="00104D85"/>
    <w:rsid w:val="0010515E"/>
    <w:rsid w:val="00106B79"/>
    <w:rsid w:val="001072D8"/>
    <w:rsid w:val="00107863"/>
    <w:rsid w:val="00107CC0"/>
    <w:rsid w:val="00107CF5"/>
    <w:rsid w:val="00110395"/>
    <w:rsid w:val="0011065E"/>
    <w:rsid w:val="0011150B"/>
    <w:rsid w:val="00112B6C"/>
    <w:rsid w:val="001147FA"/>
    <w:rsid w:val="00114A1A"/>
    <w:rsid w:val="00116142"/>
    <w:rsid w:val="0011735C"/>
    <w:rsid w:val="001175C9"/>
    <w:rsid w:val="00117D37"/>
    <w:rsid w:val="001200E8"/>
    <w:rsid w:val="001207EB"/>
    <w:rsid w:val="00120993"/>
    <w:rsid w:val="00121A68"/>
    <w:rsid w:val="00122100"/>
    <w:rsid w:val="001242BA"/>
    <w:rsid w:val="0012449B"/>
    <w:rsid w:val="00126109"/>
    <w:rsid w:val="0012734D"/>
    <w:rsid w:val="001276C0"/>
    <w:rsid w:val="001303CD"/>
    <w:rsid w:val="00130F11"/>
    <w:rsid w:val="00132205"/>
    <w:rsid w:val="00132D86"/>
    <w:rsid w:val="001333E3"/>
    <w:rsid w:val="0013351D"/>
    <w:rsid w:val="00133972"/>
    <w:rsid w:val="001401F3"/>
    <w:rsid w:val="00140E68"/>
    <w:rsid w:val="00140F12"/>
    <w:rsid w:val="00143973"/>
    <w:rsid w:val="00143CA6"/>
    <w:rsid w:val="001449E8"/>
    <w:rsid w:val="00144B55"/>
    <w:rsid w:val="00144D25"/>
    <w:rsid w:val="00146D6D"/>
    <w:rsid w:val="00146E33"/>
    <w:rsid w:val="00146F21"/>
    <w:rsid w:val="001474FE"/>
    <w:rsid w:val="00147534"/>
    <w:rsid w:val="00151A8A"/>
    <w:rsid w:val="00152CAA"/>
    <w:rsid w:val="00152F3F"/>
    <w:rsid w:val="00152F4D"/>
    <w:rsid w:val="001534CB"/>
    <w:rsid w:val="0015536E"/>
    <w:rsid w:val="0015581F"/>
    <w:rsid w:val="00156BC3"/>
    <w:rsid w:val="00156C8D"/>
    <w:rsid w:val="001570F6"/>
    <w:rsid w:val="00157B7B"/>
    <w:rsid w:val="001615A6"/>
    <w:rsid w:val="001615CF"/>
    <w:rsid w:val="00161F3E"/>
    <w:rsid w:val="00162A4E"/>
    <w:rsid w:val="00162C77"/>
    <w:rsid w:val="0016494D"/>
    <w:rsid w:val="001650D5"/>
    <w:rsid w:val="0016569C"/>
    <w:rsid w:val="00165E24"/>
    <w:rsid w:val="00165FE7"/>
    <w:rsid w:val="00166795"/>
    <w:rsid w:val="00166A4E"/>
    <w:rsid w:val="00166FC9"/>
    <w:rsid w:val="0017229C"/>
    <w:rsid w:val="001723FF"/>
    <w:rsid w:val="001739B2"/>
    <w:rsid w:val="00173E60"/>
    <w:rsid w:val="0017411F"/>
    <w:rsid w:val="001758EF"/>
    <w:rsid w:val="00175DA7"/>
    <w:rsid w:val="0017655A"/>
    <w:rsid w:val="00176581"/>
    <w:rsid w:val="00176BBD"/>
    <w:rsid w:val="00177883"/>
    <w:rsid w:val="001817C2"/>
    <w:rsid w:val="001826F1"/>
    <w:rsid w:val="00182779"/>
    <w:rsid w:val="00184367"/>
    <w:rsid w:val="00184ED5"/>
    <w:rsid w:val="00185BA1"/>
    <w:rsid w:val="0018640F"/>
    <w:rsid w:val="00186A3C"/>
    <w:rsid w:val="00187633"/>
    <w:rsid w:val="00187DA4"/>
    <w:rsid w:val="00190A46"/>
    <w:rsid w:val="00190F06"/>
    <w:rsid w:val="001910A2"/>
    <w:rsid w:val="001919E4"/>
    <w:rsid w:val="0019212C"/>
    <w:rsid w:val="00193E26"/>
    <w:rsid w:val="0019431F"/>
    <w:rsid w:val="0019783B"/>
    <w:rsid w:val="00197E77"/>
    <w:rsid w:val="001A0450"/>
    <w:rsid w:val="001A095B"/>
    <w:rsid w:val="001A0D31"/>
    <w:rsid w:val="001A2051"/>
    <w:rsid w:val="001A224C"/>
    <w:rsid w:val="001A2A2E"/>
    <w:rsid w:val="001A3900"/>
    <w:rsid w:val="001A432F"/>
    <w:rsid w:val="001A4701"/>
    <w:rsid w:val="001A48AA"/>
    <w:rsid w:val="001A53CF"/>
    <w:rsid w:val="001A5A67"/>
    <w:rsid w:val="001B03D7"/>
    <w:rsid w:val="001B1FA0"/>
    <w:rsid w:val="001B25D8"/>
    <w:rsid w:val="001B3290"/>
    <w:rsid w:val="001B3C70"/>
    <w:rsid w:val="001B434E"/>
    <w:rsid w:val="001B6766"/>
    <w:rsid w:val="001B7125"/>
    <w:rsid w:val="001B7A43"/>
    <w:rsid w:val="001C00FA"/>
    <w:rsid w:val="001C2CA2"/>
    <w:rsid w:val="001C4425"/>
    <w:rsid w:val="001C4957"/>
    <w:rsid w:val="001C687E"/>
    <w:rsid w:val="001C6E7A"/>
    <w:rsid w:val="001D0B40"/>
    <w:rsid w:val="001D232B"/>
    <w:rsid w:val="001D29EF"/>
    <w:rsid w:val="001D2E32"/>
    <w:rsid w:val="001D337F"/>
    <w:rsid w:val="001D38C0"/>
    <w:rsid w:val="001D4AE0"/>
    <w:rsid w:val="001D5255"/>
    <w:rsid w:val="001D5694"/>
    <w:rsid w:val="001D634C"/>
    <w:rsid w:val="001D6A36"/>
    <w:rsid w:val="001D7118"/>
    <w:rsid w:val="001E131E"/>
    <w:rsid w:val="001E19FC"/>
    <w:rsid w:val="001E51BD"/>
    <w:rsid w:val="001E56C6"/>
    <w:rsid w:val="001E5D72"/>
    <w:rsid w:val="001E61E7"/>
    <w:rsid w:val="001E6452"/>
    <w:rsid w:val="001E6830"/>
    <w:rsid w:val="001E683A"/>
    <w:rsid w:val="001E71B9"/>
    <w:rsid w:val="001F0073"/>
    <w:rsid w:val="001F109F"/>
    <w:rsid w:val="001F1B3E"/>
    <w:rsid w:val="001F30AE"/>
    <w:rsid w:val="001F42BB"/>
    <w:rsid w:val="001F6102"/>
    <w:rsid w:val="0020121F"/>
    <w:rsid w:val="00201812"/>
    <w:rsid w:val="002020FE"/>
    <w:rsid w:val="00203CA6"/>
    <w:rsid w:val="00203E98"/>
    <w:rsid w:val="002040AB"/>
    <w:rsid w:val="0020490D"/>
    <w:rsid w:val="00206FF4"/>
    <w:rsid w:val="00210439"/>
    <w:rsid w:val="00210E40"/>
    <w:rsid w:val="00211289"/>
    <w:rsid w:val="002125E9"/>
    <w:rsid w:val="0021397B"/>
    <w:rsid w:val="00214026"/>
    <w:rsid w:val="00214A95"/>
    <w:rsid w:val="00215D03"/>
    <w:rsid w:val="00216122"/>
    <w:rsid w:val="002169E7"/>
    <w:rsid w:val="00216C73"/>
    <w:rsid w:val="00220101"/>
    <w:rsid w:val="00220418"/>
    <w:rsid w:val="0022079D"/>
    <w:rsid w:val="002222B4"/>
    <w:rsid w:val="0022397F"/>
    <w:rsid w:val="00223EC9"/>
    <w:rsid w:val="00223FA2"/>
    <w:rsid w:val="002244E7"/>
    <w:rsid w:val="00224BE8"/>
    <w:rsid w:val="00224CF5"/>
    <w:rsid w:val="00226056"/>
    <w:rsid w:val="002262E2"/>
    <w:rsid w:val="00226A02"/>
    <w:rsid w:val="00230A69"/>
    <w:rsid w:val="00231089"/>
    <w:rsid w:val="00233523"/>
    <w:rsid w:val="00234619"/>
    <w:rsid w:val="002379F9"/>
    <w:rsid w:val="002411BA"/>
    <w:rsid w:val="00241E11"/>
    <w:rsid w:val="00241EFC"/>
    <w:rsid w:val="00243C3D"/>
    <w:rsid w:val="00244085"/>
    <w:rsid w:val="00244F6B"/>
    <w:rsid w:val="002455B3"/>
    <w:rsid w:val="00245972"/>
    <w:rsid w:val="002472DE"/>
    <w:rsid w:val="00247556"/>
    <w:rsid w:val="00250424"/>
    <w:rsid w:val="002504DF"/>
    <w:rsid w:val="0025162E"/>
    <w:rsid w:val="002524E5"/>
    <w:rsid w:val="00252608"/>
    <w:rsid w:val="00252F2F"/>
    <w:rsid w:val="00254E68"/>
    <w:rsid w:val="00255E62"/>
    <w:rsid w:val="00255F19"/>
    <w:rsid w:val="00256643"/>
    <w:rsid w:val="00256687"/>
    <w:rsid w:val="002571DA"/>
    <w:rsid w:val="002608B7"/>
    <w:rsid w:val="00262AE4"/>
    <w:rsid w:val="00262F6F"/>
    <w:rsid w:val="00263BE3"/>
    <w:rsid w:val="00264486"/>
    <w:rsid w:val="002669A1"/>
    <w:rsid w:val="00267618"/>
    <w:rsid w:val="00267DC3"/>
    <w:rsid w:val="002708BD"/>
    <w:rsid w:val="00271566"/>
    <w:rsid w:val="00272346"/>
    <w:rsid w:val="002723FB"/>
    <w:rsid w:val="00272F6C"/>
    <w:rsid w:val="002730BF"/>
    <w:rsid w:val="002734BC"/>
    <w:rsid w:val="00273C3D"/>
    <w:rsid w:val="002755AA"/>
    <w:rsid w:val="00275A54"/>
    <w:rsid w:val="0027604F"/>
    <w:rsid w:val="002761E7"/>
    <w:rsid w:val="002765A8"/>
    <w:rsid w:val="0027756B"/>
    <w:rsid w:val="002809BE"/>
    <w:rsid w:val="0028117A"/>
    <w:rsid w:val="002827AF"/>
    <w:rsid w:val="002835EA"/>
    <w:rsid w:val="00286494"/>
    <w:rsid w:val="00291B79"/>
    <w:rsid w:val="002925E6"/>
    <w:rsid w:val="00292EDE"/>
    <w:rsid w:val="0029320E"/>
    <w:rsid w:val="0029434C"/>
    <w:rsid w:val="00294F0E"/>
    <w:rsid w:val="002950BE"/>
    <w:rsid w:val="002950F6"/>
    <w:rsid w:val="002953FB"/>
    <w:rsid w:val="002957AA"/>
    <w:rsid w:val="002972F0"/>
    <w:rsid w:val="0029749A"/>
    <w:rsid w:val="002A18BC"/>
    <w:rsid w:val="002A5D8A"/>
    <w:rsid w:val="002B0A77"/>
    <w:rsid w:val="002B11DC"/>
    <w:rsid w:val="002B1AC2"/>
    <w:rsid w:val="002B2685"/>
    <w:rsid w:val="002B5FF5"/>
    <w:rsid w:val="002B65CC"/>
    <w:rsid w:val="002B6B3A"/>
    <w:rsid w:val="002B6F11"/>
    <w:rsid w:val="002B75B1"/>
    <w:rsid w:val="002B7F73"/>
    <w:rsid w:val="002C08DA"/>
    <w:rsid w:val="002C10C2"/>
    <w:rsid w:val="002C172E"/>
    <w:rsid w:val="002C205B"/>
    <w:rsid w:val="002C2D19"/>
    <w:rsid w:val="002C3D01"/>
    <w:rsid w:val="002C4E21"/>
    <w:rsid w:val="002C5DBB"/>
    <w:rsid w:val="002C5EF4"/>
    <w:rsid w:val="002C6E94"/>
    <w:rsid w:val="002D16ED"/>
    <w:rsid w:val="002D231F"/>
    <w:rsid w:val="002D2C3E"/>
    <w:rsid w:val="002D3102"/>
    <w:rsid w:val="002D3862"/>
    <w:rsid w:val="002D46EE"/>
    <w:rsid w:val="002D53BC"/>
    <w:rsid w:val="002D59EB"/>
    <w:rsid w:val="002D6DDE"/>
    <w:rsid w:val="002D7049"/>
    <w:rsid w:val="002D7DD2"/>
    <w:rsid w:val="002D7DE4"/>
    <w:rsid w:val="002DE2B6"/>
    <w:rsid w:val="002E11D0"/>
    <w:rsid w:val="002E194D"/>
    <w:rsid w:val="002E1BDA"/>
    <w:rsid w:val="002E32AE"/>
    <w:rsid w:val="002E420E"/>
    <w:rsid w:val="002E4AB7"/>
    <w:rsid w:val="002E4D37"/>
    <w:rsid w:val="002E6BB6"/>
    <w:rsid w:val="002E6CC7"/>
    <w:rsid w:val="002E70F7"/>
    <w:rsid w:val="002E7382"/>
    <w:rsid w:val="002E7DE5"/>
    <w:rsid w:val="002F1118"/>
    <w:rsid w:val="002F206E"/>
    <w:rsid w:val="002F46D0"/>
    <w:rsid w:val="002F480D"/>
    <w:rsid w:val="002F52E5"/>
    <w:rsid w:val="002F53AE"/>
    <w:rsid w:val="002F686F"/>
    <w:rsid w:val="002F68C6"/>
    <w:rsid w:val="00300EEA"/>
    <w:rsid w:val="0030124A"/>
    <w:rsid w:val="00301DB1"/>
    <w:rsid w:val="00304E86"/>
    <w:rsid w:val="00305307"/>
    <w:rsid w:val="00306A2E"/>
    <w:rsid w:val="003077BF"/>
    <w:rsid w:val="00310F1E"/>
    <w:rsid w:val="00311C5C"/>
    <w:rsid w:val="0031251B"/>
    <w:rsid w:val="003144A5"/>
    <w:rsid w:val="003147FF"/>
    <w:rsid w:val="00315BF6"/>
    <w:rsid w:val="00316082"/>
    <w:rsid w:val="00316E85"/>
    <w:rsid w:val="00316FCF"/>
    <w:rsid w:val="00317A5C"/>
    <w:rsid w:val="00320E75"/>
    <w:rsid w:val="003236C4"/>
    <w:rsid w:val="0032446E"/>
    <w:rsid w:val="00326A47"/>
    <w:rsid w:val="00327375"/>
    <w:rsid w:val="00327593"/>
    <w:rsid w:val="003279A2"/>
    <w:rsid w:val="0032D2C8"/>
    <w:rsid w:val="00330CE2"/>
    <w:rsid w:val="00331039"/>
    <w:rsid w:val="00331EFE"/>
    <w:rsid w:val="0033206F"/>
    <w:rsid w:val="003326CD"/>
    <w:rsid w:val="0033275B"/>
    <w:rsid w:val="0033490F"/>
    <w:rsid w:val="00334D5B"/>
    <w:rsid w:val="00337949"/>
    <w:rsid w:val="00337E80"/>
    <w:rsid w:val="00337F95"/>
    <w:rsid w:val="00340206"/>
    <w:rsid w:val="00340861"/>
    <w:rsid w:val="00341CCB"/>
    <w:rsid w:val="003424F6"/>
    <w:rsid w:val="00342E09"/>
    <w:rsid w:val="003443B6"/>
    <w:rsid w:val="00345010"/>
    <w:rsid w:val="00345591"/>
    <w:rsid w:val="00345FC2"/>
    <w:rsid w:val="00346041"/>
    <w:rsid w:val="00346227"/>
    <w:rsid w:val="00346C39"/>
    <w:rsid w:val="00347AE0"/>
    <w:rsid w:val="00350FA6"/>
    <w:rsid w:val="00351F31"/>
    <w:rsid w:val="00353B76"/>
    <w:rsid w:val="00355A58"/>
    <w:rsid w:val="00356B91"/>
    <w:rsid w:val="0035752D"/>
    <w:rsid w:val="00357590"/>
    <w:rsid w:val="003576F4"/>
    <w:rsid w:val="003601C3"/>
    <w:rsid w:val="0036088F"/>
    <w:rsid w:val="00360A00"/>
    <w:rsid w:val="00360AB6"/>
    <w:rsid w:val="00362519"/>
    <w:rsid w:val="00363598"/>
    <w:rsid w:val="00364FEA"/>
    <w:rsid w:val="003655F5"/>
    <w:rsid w:val="00365C66"/>
    <w:rsid w:val="003670C3"/>
    <w:rsid w:val="003679EF"/>
    <w:rsid w:val="00370C7F"/>
    <w:rsid w:val="00371015"/>
    <w:rsid w:val="00371E30"/>
    <w:rsid w:val="00373D38"/>
    <w:rsid w:val="003742A3"/>
    <w:rsid w:val="0037655D"/>
    <w:rsid w:val="003770C0"/>
    <w:rsid w:val="003775A2"/>
    <w:rsid w:val="00377AA9"/>
    <w:rsid w:val="003803B1"/>
    <w:rsid w:val="00381E8B"/>
    <w:rsid w:val="00382B2A"/>
    <w:rsid w:val="00382DF3"/>
    <w:rsid w:val="00382F72"/>
    <w:rsid w:val="003847C3"/>
    <w:rsid w:val="00384DB9"/>
    <w:rsid w:val="00384F66"/>
    <w:rsid w:val="0038634D"/>
    <w:rsid w:val="00386841"/>
    <w:rsid w:val="00386BE7"/>
    <w:rsid w:val="0038770E"/>
    <w:rsid w:val="0039154E"/>
    <w:rsid w:val="00391898"/>
    <w:rsid w:val="00391ABC"/>
    <w:rsid w:val="00391CF9"/>
    <w:rsid w:val="00393176"/>
    <w:rsid w:val="003934F0"/>
    <w:rsid w:val="00393F63"/>
    <w:rsid w:val="00394BE8"/>
    <w:rsid w:val="00395818"/>
    <w:rsid w:val="00396DF6"/>
    <w:rsid w:val="00397D4E"/>
    <w:rsid w:val="00397DD2"/>
    <w:rsid w:val="003A11DD"/>
    <w:rsid w:val="003A19E9"/>
    <w:rsid w:val="003A2314"/>
    <w:rsid w:val="003A28D9"/>
    <w:rsid w:val="003A2F68"/>
    <w:rsid w:val="003A3299"/>
    <w:rsid w:val="003A36C6"/>
    <w:rsid w:val="003A3C41"/>
    <w:rsid w:val="003A531E"/>
    <w:rsid w:val="003A68C4"/>
    <w:rsid w:val="003A77A7"/>
    <w:rsid w:val="003A7851"/>
    <w:rsid w:val="003A792D"/>
    <w:rsid w:val="003B095C"/>
    <w:rsid w:val="003B10F2"/>
    <w:rsid w:val="003B1E2B"/>
    <w:rsid w:val="003B2660"/>
    <w:rsid w:val="003B320C"/>
    <w:rsid w:val="003B3AD2"/>
    <w:rsid w:val="003B3C13"/>
    <w:rsid w:val="003B3CB8"/>
    <w:rsid w:val="003B4BA1"/>
    <w:rsid w:val="003B4FF5"/>
    <w:rsid w:val="003B50B6"/>
    <w:rsid w:val="003B6B16"/>
    <w:rsid w:val="003B736F"/>
    <w:rsid w:val="003B767C"/>
    <w:rsid w:val="003B7891"/>
    <w:rsid w:val="003C05CA"/>
    <w:rsid w:val="003C0FD1"/>
    <w:rsid w:val="003C110E"/>
    <w:rsid w:val="003C12B8"/>
    <w:rsid w:val="003C2425"/>
    <w:rsid w:val="003C51D2"/>
    <w:rsid w:val="003C5720"/>
    <w:rsid w:val="003C5F9B"/>
    <w:rsid w:val="003C73D2"/>
    <w:rsid w:val="003D007A"/>
    <w:rsid w:val="003D0BE9"/>
    <w:rsid w:val="003D10E1"/>
    <w:rsid w:val="003D149F"/>
    <w:rsid w:val="003D21FF"/>
    <w:rsid w:val="003D40E4"/>
    <w:rsid w:val="003D40E8"/>
    <w:rsid w:val="003D4CC6"/>
    <w:rsid w:val="003D576B"/>
    <w:rsid w:val="003D5A4F"/>
    <w:rsid w:val="003E1620"/>
    <w:rsid w:val="003E2037"/>
    <w:rsid w:val="003E284D"/>
    <w:rsid w:val="003E29CD"/>
    <w:rsid w:val="003E2DA4"/>
    <w:rsid w:val="003E3403"/>
    <w:rsid w:val="003E38BF"/>
    <w:rsid w:val="003E409C"/>
    <w:rsid w:val="003E454C"/>
    <w:rsid w:val="003E5338"/>
    <w:rsid w:val="003E5FC0"/>
    <w:rsid w:val="003E6CCF"/>
    <w:rsid w:val="003E7017"/>
    <w:rsid w:val="003E7156"/>
    <w:rsid w:val="003E7470"/>
    <w:rsid w:val="003E7A47"/>
    <w:rsid w:val="003F2DEC"/>
    <w:rsid w:val="003F31B0"/>
    <w:rsid w:val="003F3B15"/>
    <w:rsid w:val="003F3BAF"/>
    <w:rsid w:val="003F42FE"/>
    <w:rsid w:val="003F6079"/>
    <w:rsid w:val="003F6C5E"/>
    <w:rsid w:val="003F71E7"/>
    <w:rsid w:val="003F7FBA"/>
    <w:rsid w:val="00400452"/>
    <w:rsid w:val="004009D3"/>
    <w:rsid w:val="00400A5B"/>
    <w:rsid w:val="00400B4F"/>
    <w:rsid w:val="00402606"/>
    <w:rsid w:val="00404D3B"/>
    <w:rsid w:val="004069E4"/>
    <w:rsid w:val="004078D9"/>
    <w:rsid w:val="00407A4E"/>
    <w:rsid w:val="00407CC2"/>
    <w:rsid w:val="00410B78"/>
    <w:rsid w:val="00413263"/>
    <w:rsid w:val="00413531"/>
    <w:rsid w:val="004137DA"/>
    <w:rsid w:val="00413B2C"/>
    <w:rsid w:val="00414553"/>
    <w:rsid w:val="0041590B"/>
    <w:rsid w:val="00415F40"/>
    <w:rsid w:val="00415F74"/>
    <w:rsid w:val="00416407"/>
    <w:rsid w:val="0041736E"/>
    <w:rsid w:val="00417EFE"/>
    <w:rsid w:val="00420584"/>
    <w:rsid w:val="00420E02"/>
    <w:rsid w:val="00421D36"/>
    <w:rsid w:val="004240D6"/>
    <w:rsid w:val="00424EF0"/>
    <w:rsid w:val="00425337"/>
    <w:rsid w:val="00431085"/>
    <w:rsid w:val="00431AB0"/>
    <w:rsid w:val="00431B47"/>
    <w:rsid w:val="00431C36"/>
    <w:rsid w:val="004322EC"/>
    <w:rsid w:val="00432C3F"/>
    <w:rsid w:val="004337DD"/>
    <w:rsid w:val="00433BC6"/>
    <w:rsid w:val="00433CF9"/>
    <w:rsid w:val="004344A3"/>
    <w:rsid w:val="004352F2"/>
    <w:rsid w:val="00435F2E"/>
    <w:rsid w:val="004364D5"/>
    <w:rsid w:val="00436A03"/>
    <w:rsid w:val="0043772C"/>
    <w:rsid w:val="00441087"/>
    <w:rsid w:val="004427FB"/>
    <w:rsid w:val="004428ED"/>
    <w:rsid w:val="00443400"/>
    <w:rsid w:val="00443AE3"/>
    <w:rsid w:val="00443FD2"/>
    <w:rsid w:val="00445B9B"/>
    <w:rsid w:val="00446615"/>
    <w:rsid w:val="0044691B"/>
    <w:rsid w:val="004510BA"/>
    <w:rsid w:val="004515BD"/>
    <w:rsid w:val="00452ADA"/>
    <w:rsid w:val="004544A6"/>
    <w:rsid w:val="004544F2"/>
    <w:rsid w:val="0045453B"/>
    <w:rsid w:val="00454ECE"/>
    <w:rsid w:val="00455616"/>
    <w:rsid w:val="00455ABB"/>
    <w:rsid w:val="00455D60"/>
    <w:rsid w:val="004560B9"/>
    <w:rsid w:val="004567A2"/>
    <w:rsid w:val="0045729C"/>
    <w:rsid w:val="00457D46"/>
    <w:rsid w:val="004607AA"/>
    <w:rsid w:val="00460AC4"/>
    <w:rsid w:val="00461A0E"/>
    <w:rsid w:val="00461A9E"/>
    <w:rsid w:val="00461B15"/>
    <w:rsid w:val="004622CE"/>
    <w:rsid w:val="00463E09"/>
    <w:rsid w:val="00464940"/>
    <w:rsid w:val="0046628C"/>
    <w:rsid w:val="004663EA"/>
    <w:rsid w:val="00467284"/>
    <w:rsid w:val="00467756"/>
    <w:rsid w:val="00467C85"/>
    <w:rsid w:val="0047053B"/>
    <w:rsid w:val="00470A17"/>
    <w:rsid w:val="004721EC"/>
    <w:rsid w:val="00473490"/>
    <w:rsid w:val="004744B0"/>
    <w:rsid w:val="00475260"/>
    <w:rsid w:val="00476AE1"/>
    <w:rsid w:val="00480A4F"/>
    <w:rsid w:val="00482488"/>
    <w:rsid w:val="00482C39"/>
    <w:rsid w:val="00482F8E"/>
    <w:rsid w:val="0048557B"/>
    <w:rsid w:val="0048618F"/>
    <w:rsid w:val="0048791A"/>
    <w:rsid w:val="00487CA9"/>
    <w:rsid w:val="00490CB9"/>
    <w:rsid w:val="00491057"/>
    <w:rsid w:val="004918F2"/>
    <w:rsid w:val="00491B91"/>
    <w:rsid w:val="00492B98"/>
    <w:rsid w:val="00493420"/>
    <w:rsid w:val="00493CC8"/>
    <w:rsid w:val="00494EAC"/>
    <w:rsid w:val="00494FDE"/>
    <w:rsid w:val="004961D6"/>
    <w:rsid w:val="00496514"/>
    <w:rsid w:val="00497700"/>
    <w:rsid w:val="0049775F"/>
    <w:rsid w:val="004A0CFB"/>
    <w:rsid w:val="004A1C72"/>
    <w:rsid w:val="004A4393"/>
    <w:rsid w:val="004A5A22"/>
    <w:rsid w:val="004A5E32"/>
    <w:rsid w:val="004A78A2"/>
    <w:rsid w:val="004B120D"/>
    <w:rsid w:val="004B1432"/>
    <w:rsid w:val="004B1DC3"/>
    <w:rsid w:val="004B21DD"/>
    <w:rsid w:val="004B4530"/>
    <w:rsid w:val="004B493A"/>
    <w:rsid w:val="004B4C19"/>
    <w:rsid w:val="004B5272"/>
    <w:rsid w:val="004B5A58"/>
    <w:rsid w:val="004B5A5E"/>
    <w:rsid w:val="004B6ED2"/>
    <w:rsid w:val="004B72F3"/>
    <w:rsid w:val="004B7962"/>
    <w:rsid w:val="004B7EBE"/>
    <w:rsid w:val="004C030A"/>
    <w:rsid w:val="004C0CB9"/>
    <w:rsid w:val="004C105A"/>
    <w:rsid w:val="004C1564"/>
    <w:rsid w:val="004C1A85"/>
    <w:rsid w:val="004C270B"/>
    <w:rsid w:val="004C4F2E"/>
    <w:rsid w:val="004C5465"/>
    <w:rsid w:val="004C5630"/>
    <w:rsid w:val="004C5FF6"/>
    <w:rsid w:val="004D008F"/>
    <w:rsid w:val="004D0B8F"/>
    <w:rsid w:val="004D0C59"/>
    <w:rsid w:val="004D2140"/>
    <w:rsid w:val="004D263A"/>
    <w:rsid w:val="004D2B9E"/>
    <w:rsid w:val="004D3EF6"/>
    <w:rsid w:val="004D443F"/>
    <w:rsid w:val="004D5509"/>
    <w:rsid w:val="004D5C4A"/>
    <w:rsid w:val="004D652C"/>
    <w:rsid w:val="004E0A7B"/>
    <w:rsid w:val="004E13B1"/>
    <w:rsid w:val="004E1C43"/>
    <w:rsid w:val="004E1EB9"/>
    <w:rsid w:val="004E1F43"/>
    <w:rsid w:val="004E2D05"/>
    <w:rsid w:val="004E33E2"/>
    <w:rsid w:val="004E47E5"/>
    <w:rsid w:val="004E5777"/>
    <w:rsid w:val="004E5F08"/>
    <w:rsid w:val="004E7D88"/>
    <w:rsid w:val="004F13D4"/>
    <w:rsid w:val="004F14AB"/>
    <w:rsid w:val="004F1A1D"/>
    <w:rsid w:val="004F3F01"/>
    <w:rsid w:val="004F47F7"/>
    <w:rsid w:val="004F5AFD"/>
    <w:rsid w:val="004F6C10"/>
    <w:rsid w:val="00500E69"/>
    <w:rsid w:val="0050268B"/>
    <w:rsid w:val="0050365A"/>
    <w:rsid w:val="005039FC"/>
    <w:rsid w:val="00503F72"/>
    <w:rsid w:val="005047A2"/>
    <w:rsid w:val="005049E8"/>
    <w:rsid w:val="005062C2"/>
    <w:rsid w:val="00506E60"/>
    <w:rsid w:val="00507208"/>
    <w:rsid w:val="005074B6"/>
    <w:rsid w:val="00510838"/>
    <w:rsid w:val="00510E97"/>
    <w:rsid w:val="00512065"/>
    <w:rsid w:val="00512B80"/>
    <w:rsid w:val="0051317A"/>
    <w:rsid w:val="00513467"/>
    <w:rsid w:val="005150D6"/>
    <w:rsid w:val="00520375"/>
    <w:rsid w:val="00520EDD"/>
    <w:rsid w:val="005225B2"/>
    <w:rsid w:val="00522922"/>
    <w:rsid w:val="00523D7A"/>
    <w:rsid w:val="00526432"/>
    <w:rsid w:val="0053013D"/>
    <w:rsid w:val="005306D4"/>
    <w:rsid w:val="00531DC0"/>
    <w:rsid w:val="0053284A"/>
    <w:rsid w:val="00533832"/>
    <w:rsid w:val="005401C1"/>
    <w:rsid w:val="00543BED"/>
    <w:rsid w:val="005471AA"/>
    <w:rsid w:val="005473E9"/>
    <w:rsid w:val="005476F9"/>
    <w:rsid w:val="00547BB9"/>
    <w:rsid w:val="00550870"/>
    <w:rsid w:val="00551055"/>
    <w:rsid w:val="00551890"/>
    <w:rsid w:val="00552AD9"/>
    <w:rsid w:val="00553B6F"/>
    <w:rsid w:val="0055416D"/>
    <w:rsid w:val="00554EE5"/>
    <w:rsid w:val="00555B4A"/>
    <w:rsid w:val="005573A6"/>
    <w:rsid w:val="00560E33"/>
    <w:rsid w:val="00561BFC"/>
    <w:rsid w:val="00561C07"/>
    <w:rsid w:val="00561E0C"/>
    <w:rsid w:val="00562E21"/>
    <w:rsid w:val="00563198"/>
    <w:rsid w:val="005640DD"/>
    <w:rsid w:val="00564511"/>
    <w:rsid w:val="0056519C"/>
    <w:rsid w:val="005654D6"/>
    <w:rsid w:val="00565FE9"/>
    <w:rsid w:val="005667D4"/>
    <w:rsid w:val="00567649"/>
    <w:rsid w:val="00567AAF"/>
    <w:rsid w:val="00567CFD"/>
    <w:rsid w:val="00567DE9"/>
    <w:rsid w:val="00567FE5"/>
    <w:rsid w:val="005725CB"/>
    <w:rsid w:val="005725DB"/>
    <w:rsid w:val="00572ECA"/>
    <w:rsid w:val="00572FA8"/>
    <w:rsid w:val="00573239"/>
    <w:rsid w:val="00574CE0"/>
    <w:rsid w:val="00576C12"/>
    <w:rsid w:val="00576F9B"/>
    <w:rsid w:val="00580F72"/>
    <w:rsid w:val="00581612"/>
    <w:rsid w:val="00581CB9"/>
    <w:rsid w:val="00582FBE"/>
    <w:rsid w:val="00583D0E"/>
    <w:rsid w:val="00584F67"/>
    <w:rsid w:val="00585D93"/>
    <w:rsid w:val="00585DAC"/>
    <w:rsid w:val="00586043"/>
    <w:rsid w:val="00586047"/>
    <w:rsid w:val="005868BC"/>
    <w:rsid w:val="005869CD"/>
    <w:rsid w:val="00586BDA"/>
    <w:rsid w:val="00586BFA"/>
    <w:rsid w:val="005923FD"/>
    <w:rsid w:val="00592EAA"/>
    <w:rsid w:val="00593660"/>
    <w:rsid w:val="00593A0E"/>
    <w:rsid w:val="00595EBC"/>
    <w:rsid w:val="00596A36"/>
    <w:rsid w:val="0059739D"/>
    <w:rsid w:val="005976DC"/>
    <w:rsid w:val="005A1369"/>
    <w:rsid w:val="005A23E6"/>
    <w:rsid w:val="005A30ED"/>
    <w:rsid w:val="005A4D5A"/>
    <w:rsid w:val="005A57DB"/>
    <w:rsid w:val="005A647F"/>
    <w:rsid w:val="005A7978"/>
    <w:rsid w:val="005A7CD2"/>
    <w:rsid w:val="005B04FA"/>
    <w:rsid w:val="005B16FF"/>
    <w:rsid w:val="005B18C0"/>
    <w:rsid w:val="005B237D"/>
    <w:rsid w:val="005B2529"/>
    <w:rsid w:val="005B31EB"/>
    <w:rsid w:val="005B3624"/>
    <w:rsid w:val="005B4368"/>
    <w:rsid w:val="005B4C2F"/>
    <w:rsid w:val="005B4F0E"/>
    <w:rsid w:val="005B5684"/>
    <w:rsid w:val="005B5780"/>
    <w:rsid w:val="005B5C7D"/>
    <w:rsid w:val="005B6F0A"/>
    <w:rsid w:val="005B7A2B"/>
    <w:rsid w:val="005B7ABA"/>
    <w:rsid w:val="005C02B0"/>
    <w:rsid w:val="005C0516"/>
    <w:rsid w:val="005C08D0"/>
    <w:rsid w:val="005C0E17"/>
    <w:rsid w:val="005C1E47"/>
    <w:rsid w:val="005C2688"/>
    <w:rsid w:val="005C3B66"/>
    <w:rsid w:val="005C49DD"/>
    <w:rsid w:val="005C4DD6"/>
    <w:rsid w:val="005C4F36"/>
    <w:rsid w:val="005C5052"/>
    <w:rsid w:val="005C581B"/>
    <w:rsid w:val="005C5D5F"/>
    <w:rsid w:val="005C7505"/>
    <w:rsid w:val="005C7565"/>
    <w:rsid w:val="005D01F8"/>
    <w:rsid w:val="005D028C"/>
    <w:rsid w:val="005D1A54"/>
    <w:rsid w:val="005D2C40"/>
    <w:rsid w:val="005D30FB"/>
    <w:rsid w:val="005D4379"/>
    <w:rsid w:val="005D441A"/>
    <w:rsid w:val="005D4C22"/>
    <w:rsid w:val="005D4C35"/>
    <w:rsid w:val="005D539C"/>
    <w:rsid w:val="005D6077"/>
    <w:rsid w:val="005D6935"/>
    <w:rsid w:val="005D739A"/>
    <w:rsid w:val="005E227F"/>
    <w:rsid w:val="005E34F5"/>
    <w:rsid w:val="005E350F"/>
    <w:rsid w:val="005E373E"/>
    <w:rsid w:val="005E4CE1"/>
    <w:rsid w:val="005E546A"/>
    <w:rsid w:val="005E74C0"/>
    <w:rsid w:val="005F1AA9"/>
    <w:rsid w:val="005F4CA5"/>
    <w:rsid w:val="005F64AC"/>
    <w:rsid w:val="005F66A8"/>
    <w:rsid w:val="005F6BA3"/>
    <w:rsid w:val="005F6D1B"/>
    <w:rsid w:val="005F7C15"/>
    <w:rsid w:val="0060007D"/>
    <w:rsid w:val="006003A7"/>
    <w:rsid w:val="00600E07"/>
    <w:rsid w:val="0060285F"/>
    <w:rsid w:val="00603DAF"/>
    <w:rsid w:val="00604928"/>
    <w:rsid w:val="006050B7"/>
    <w:rsid w:val="00605189"/>
    <w:rsid w:val="00606838"/>
    <w:rsid w:val="00607484"/>
    <w:rsid w:val="006114B5"/>
    <w:rsid w:val="00611EF7"/>
    <w:rsid w:val="006125F3"/>
    <w:rsid w:val="00612712"/>
    <w:rsid w:val="00613704"/>
    <w:rsid w:val="00614524"/>
    <w:rsid w:val="006148E8"/>
    <w:rsid w:val="00615EE8"/>
    <w:rsid w:val="00616280"/>
    <w:rsid w:val="00617372"/>
    <w:rsid w:val="0061786C"/>
    <w:rsid w:val="00617CFD"/>
    <w:rsid w:val="006200C3"/>
    <w:rsid w:val="00621769"/>
    <w:rsid w:val="006219AA"/>
    <w:rsid w:val="00622902"/>
    <w:rsid w:val="00623680"/>
    <w:rsid w:val="0062417C"/>
    <w:rsid w:val="006244DA"/>
    <w:rsid w:val="00625913"/>
    <w:rsid w:val="006267A3"/>
    <w:rsid w:val="006274AC"/>
    <w:rsid w:val="00627568"/>
    <w:rsid w:val="00633DED"/>
    <w:rsid w:val="0063461D"/>
    <w:rsid w:val="00636CFE"/>
    <w:rsid w:val="00636D6A"/>
    <w:rsid w:val="00640691"/>
    <w:rsid w:val="00640D0F"/>
    <w:rsid w:val="00641120"/>
    <w:rsid w:val="00641905"/>
    <w:rsid w:val="0064198D"/>
    <w:rsid w:val="00643AA7"/>
    <w:rsid w:val="0064466C"/>
    <w:rsid w:val="00645356"/>
    <w:rsid w:val="006459F2"/>
    <w:rsid w:val="00645AF4"/>
    <w:rsid w:val="00645E93"/>
    <w:rsid w:val="006463B5"/>
    <w:rsid w:val="006472B4"/>
    <w:rsid w:val="0064C6AB"/>
    <w:rsid w:val="00650727"/>
    <w:rsid w:val="006517C6"/>
    <w:rsid w:val="00651D99"/>
    <w:rsid w:val="00652D16"/>
    <w:rsid w:val="006535A8"/>
    <w:rsid w:val="00653C00"/>
    <w:rsid w:val="00653E40"/>
    <w:rsid w:val="00656D3C"/>
    <w:rsid w:val="00657592"/>
    <w:rsid w:val="00657B07"/>
    <w:rsid w:val="00660C4E"/>
    <w:rsid w:val="00660D07"/>
    <w:rsid w:val="00661672"/>
    <w:rsid w:val="0066254B"/>
    <w:rsid w:val="00662AF4"/>
    <w:rsid w:val="006631D2"/>
    <w:rsid w:val="00663342"/>
    <w:rsid w:val="0066427E"/>
    <w:rsid w:val="006644D0"/>
    <w:rsid w:val="0066464E"/>
    <w:rsid w:val="00665A62"/>
    <w:rsid w:val="00672BC2"/>
    <w:rsid w:val="00673421"/>
    <w:rsid w:val="0067342B"/>
    <w:rsid w:val="00673528"/>
    <w:rsid w:val="00673873"/>
    <w:rsid w:val="00673AB2"/>
    <w:rsid w:val="00674E72"/>
    <w:rsid w:val="006754F5"/>
    <w:rsid w:val="006771BB"/>
    <w:rsid w:val="00677C24"/>
    <w:rsid w:val="00680049"/>
    <w:rsid w:val="00681371"/>
    <w:rsid w:val="00681464"/>
    <w:rsid w:val="00681EB3"/>
    <w:rsid w:val="00682BB8"/>
    <w:rsid w:val="00683445"/>
    <w:rsid w:val="00683E44"/>
    <w:rsid w:val="00684639"/>
    <w:rsid w:val="00684B67"/>
    <w:rsid w:val="00686638"/>
    <w:rsid w:val="00687270"/>
    <w:rsid w:val="00687933"/>
    <w:rsid w:val="006900DA"/>
    <w:rsid w:val="0069131B"/>
    <w:rsid w:val="0069189F"/>
    <w:rsid w:val="00692F16"/>
    <w:rsid w:val="00695FD3"/>
    <w:rsid w:val="00696123"/>
    <w:rsid w:val="00697FC4"/>
    <w:rsid w:val="0069F57A"/>
    <w:rsid w:val="006A1241"/>
    <w:rsid w:val="006A161B"/>
    <w:rsid w:val="006A1D2A"/>
    <w:rsid w:val="006A1FDD"/>
    <w:rsid w:val="006A2E7D"/>
    <w:rsid w:val="006A2EFA"/>
    <w:rsid w:val="006A3081"/>
    <w:rsid w:val="006A3292"/>
    <w:rsid w:val="006A4377"/>
    <w:rsid w:val="006A707B"/>
    <w:rsid w:val="006A7673"/>
    <w:rsid w:val="006A7E0A"/>
    <w:rsid w:val="006B4CB5"/>
    <w:rsid w:val="006B6C5D"/>
    <w:rsid w:val="006B76F1"/>
    <w:rsid w:val="006C022F"/>
    <w:rsid w:val="006C0505"/>
    <w:rsid w:val="006C0790"/>
    <w:rsid w:val="006C07EC"/>
    <w:rsid w:val="006C0BC7"/>
    <w:rsid w:val="006C0C25"/>
    <w:rsid w:val="006C162E"/>
    <w:rsid w:val="006C1A23"/>
    <w:rsid w:val="006C1D75"/>
    <w:rsid w:val="006C2669"/>
    <w:rsid w:val="006C3A26"/>
    <w:rsid w:val="006C4CE5"/>
    <w:rsid w:val="006C543F"/>
    <w:rsid w:val="006C6B4D"/>
    <w:rsid w:val="006C7474"/>
    <w:rsid w:val="006C7665"/>
    <w:rsid w:val="006D0652"/>
    <w:rsid w:val="006D06D0"/>
    <w:rsid w:val="006D0C94"/>
    <w:rsid w:val="006D0F8F"/>
    <w:rsid w:val="006D2E48"/>
    <w:rsid w:val="006D3E7F"/>
    <w:rsid w:val="006D4BFF"/>
    <w:rsid w:val="006D715E"/>
    <w:rsid w:val="006E18ED"/>
    <w:rsid w:val="006E212B"/>
    <w:rsid w:val="006E2AAB"/>
    <w:rsid w:val="006E48A6"/>
    <w:rsid w:val="006E4EA4"/>
    <w:rsid w:val="006E5894"/>
    <w:rsid w:val="006E6338"/>
    <w:rsid w:val="006E7FCB"/>
    <w:rsid w:val="006F0429"/>
    <w:rsid w:val="006F199F"/>
    <w:rsid w:val="006F1FF9"/>
    <w:rsid w:val="006F5179"/>
    <w:rsid w:val="006F6449"/>
    <w:rsid w:val="006F65EF"/>
    <w:rsid w:val="006F6A01"/>
    <w:rsid w:val="006F7826"/>
    <w:rsid w:val="006F7BED"/>
    <w:rsid w:val="00700D23"/>
    <w:rsid w:val="00701BF9"/>
    <w:rsid w:val="0070290C"/>
    <w:rsid w:val="007039FC"/>
    <w:rsid w:val="00704009"/>
    <w:rsid w:val="0070496F"/>
    <w:rsid w:val="0070537F"/>
    <w:rsid w:val="007065BA"/>
    <w:rsid w:val="00706D28"/>
    <w:rsid w:val="00706E6D"/>
    <w:rsid w:val="0071028A"/>
    <w:rsid w:val="00710408"/>
    <w:rsid w:val="007117FB"/>
    <w:rsid w:val="0071197C"/>
    <w:rsid w:val="007134CF"/>
    <w:rsid w:val="00714081"/>
    <w:rsid w:val="00714366"/>
    <w:rsid w:val="0071450A"/>
    <w:rsid w:val="007149E7"/>
    <w:rsid w:val="00715D04"/>
    <w:rsid w:val="00716FDD"/>
    <w:rsid w:val="007172B8"/>
    <w:rsid w:val="00720E82"/>
    <w:rsid w:val="007212B2"/>
    <w:rsid w:val="0072232B"/>
    <w:rsid w:val="00723145"/>
    <w:rsid w:val="0072485C"/>
    <w:rsid w:val="00724BD9"/>
    <w:rsid w:val="00727A9E"/>
    <w:rsid w:val="00730696"/>
    <w:rsid w:val="00732F39"/>
    <w:rsid w:val="00735359"/>
    <w:rsid w:val="0073548B"/>
    <w:rsid w:val="00736763"/>
    <w:rsid w:val="0074027A"/>
    <w:rsid w:val="00741096"/>
    <w:rsid w:val="00741841"/>
    <w:rsid w:val="007431BF"/>
    <w:rsid w:val="0074333C"/>
    <w:rsid w:val="00743AE6"/>
    <w:rsid w:val="00743E91"/>
    <w:rsid w:val="00744759"/>
    <w:rsid w:val="0074645B"/>
    <w:rsid w:val="00746EAE"/>
    <w:rsid w:val="00747473"/>
    <w:rsid w:val="00747BED"/>
    <w:rsid w:val="00751700"/>
    <w:rsid w:val="00751BC7"/>
    <w:rsid w:val="00751C17"/>
    <w:rsid w:val="00752F1D"/>
    <w:rsid w:val="00753335"/>
    <w:rsid w:val="007537DE"/>
    <w:rsid w:val="00753949"/>
    <w:rsid w:val="00754068"/>
    <w:rsid w:val="00754339"/>
    <w:rsid w:val="00756506"/>
    <w:rsid w:val="00757CC0"/>
    <w:rsid w:val="00765578"/>
    <w:rsid w:val="00765A60"/>
    <w:rsid w:val="00767944"/>
    <w:rsid w:val="007707C8"/>
    <w:rsid w:val="00770C2B"/>
    <w:rsid w:val="00770D8B"/>
    <w:rsid w:val="00770DA5"/>
    <w:rsid w:val="00770F65"/>
    <w:rsid w:val="00771509"/>
    <w:rsid w:val="00772019"/>
    <w:rsid w:val="00772EB3"/>
    <w:rsid w:val="0077308D"/>
    <w:rsid w:val="0077332D"/>
    <w:rsid w:val="00773B40"/>
    <w:rsid w:val="00773DB2"/>
    <w:rsid w:val="007756BF"/>
    <w:rsid w:val="007770A6"/>
    <w:rsid w:val="00777A72"/>
    <w:rsid w:val="00781EA0"/>
    <w:rsid w:val="00782471"/>
    <w:rsid w:val="00783448"/>
    <w:rsid w:val="00783EA8"/>
    <w:rsid w:val="00784B82"/>
    <w:rsid w:val="007876CA"/>
    <w:rsid w:val="00787861"/>
    <w:rsid w:val="007904BD"/>
    <w:rsid w:val="007909AB"/>
    <w:rsid w:val="007911DD"/>
    <w:rsid w:val="00792A04"/>
    <w:rsid w:val="00793319"/>
    <w:rsid w:val="007939B7"/>
    <w:rsid w:val="00794341"/>
    <w:rsid w:val="0079448F"/>
    <w:rsid w:val="0079491E"/>
    <w:rsid w:val="007962F3"/>
    <w:rsid w:val="00797756"/>
    <w:rsid w:val="007A02C3"/>
    <w:rsid w:val="007A06AB"/>
    <w:rsid w:val="007A0B2C"/>
    <w:rsid w:val="007A15E7"/>
    <w:rsid w:val="007A2A04"/>
    <w:rsid w:val="007A3494"/>
    <w:rsid w:val="007A421C"/>
    <w:rsid w:val="007A4A85"/>
    <w:rsid w:val="007A5122"/>
    <w:rsid w:val="007A6117"/>
    <w:rsid w:val="007A69F8"/>
    <w:rsid w:val="007A6AA6"/>
    <w:rsid w:val="007B00A8"/>
    <w:rsid w:val="007B09D5"/>
    <w:rsid w:val="007B0A29"/>
    <w:rsid w:val="007B1093"/>
    <w:rsid w:val="007B1625"/>
    <w:rsid w:val="007B1CBD"/>
    <w:rsid w:val="007B27CF"/>
    <w:rsid w:val="007B299A"/>
    <w:rsid w:val="007B2E6E"/>
    <w:rsid w:val="007B43FD"/>
    <w:rsid w:val="007B4519"/>
    <w:rsid w:val="007B655E"/>
    <w:rsid w:val="007B6683"/>
    <w:rsid w:val="007B6E6F"/>
    <w:rsid w:val="007C0BA0"/>
    <w:rsid w:val="007C25B9"/>
    <w:rsid w:val="007C3C0E"/>
    <w:rsid w:val="007C3EF6"/>
    <w:rsid w:val="007C41A9"/>
    <w:rsid w:val="007C4BB1"/>
    <w:rsid w:val="007C503B"/>
    <w:rsid w:val="007C5BFD"/>
    <w:rsid w:val="007C7024"/>
    <w:rsid w:val="007C7795"/>
    <w:rsid w:val="007D03E3"/>
    <w:rsid w:val="007D052D"/>
    <w:rsid w:val="007D09C9"/>
    <w:rsid w:val="007D0FE0"/>
    <w:rsid w:val="007D1718"/>
    <w:rsid w:val="007D324F"/>
    <w:rsid w:val="007D4FCD"/>
    <w:rsid w:val="007D574A"/>
    <w:rsid w:val="007D5968"/>
    <w:rsid w:val="007D5DA8"/>
    <w:rsid w:val="007D5F9F"/>
    <w:rsid w:val="007D6188"/>
    <w:rsid w:val="007D6529"/>
    <w:rsid w:val="007D6A4B"/>
    <w:rsid w:val="007D6CB7"/>
    <w:rsid w:val="007D71BF"/>
    <w:rsid w:val="007D7CA9"/>
    <w:rsid w:val="007E136E"/>
    <w:rsid w:val="007E1ECB"/>
    <w:rsid w:val="007E4EF7"/>
    <w:rsid w:val="007E5FA3"/>
    <w:rsid w:val="007E6D80"/>
    <w:rsid w:val="007E77F4"/>
    <w:rsid w:val="007F090D"/>
    <w:rsid w:val="007F19DA"/>
    <w:rsid w:val="007F568E"/>
    <w:rsid w:val="007F5EFB"/>
    <w:rsid w:val="007F66C3"/>
    <w:rsid w:val="007F6A9C"/>
    <w:rsid w:val="007F728B"/>
    <w:rsid w:val="007F7459"/>
    <w:rsid w:val="007F7894"/>
    <w:rsid w:val="00801706"/>
    <w:rsid w:val="008018C9"/>
    <w:rsid w:val="008026BE"/>
    <w:rsid w:val="008029B4"/>
    <w:rsid w:val="0080323D"/>
    <w:rsid w:val="0080388C"/>
    <w:rsid w:val="0080449A"/>
    <w:rsid w:val="008045BC"/>
    <w:rsid w:val="00806B27"/>
    <w:rsid w:val="00807A14"/>
    <w:rsid w:val="00810A66"/>
    <w:rsid w:val="00810FE0"/>
    <w:rsid w:val="0081102A"/>
    <w:rsid w:val="00814E0F"/>
    <w:rsid w:val="0081537D"/>
    <w:rsid w:val="00817156"/>
    <w:rsid w:val="00817DF3"/>
    <w:rsid w:val="00817F57"/>
    <w:rsid w:val="0082209B"/>
    <w:rsid w:val="00822480"/>
    <w:rsid w:val="00824221"/>
    <w:rsid w:val="00824A54"/>
    <w:rsid w:val="00825037"/>
    <w:rsid w:val="00826374"/>
    <w:rsid w:val="008264A4"/>
    <w:rsid w:val="00826C47"/>
    <w:rsid w:val="00831133"/>
    <w:rsid w:val="00834015"/>
    <w:rsid w:val="00835C15"/>
    <w:rsid w:val="0084069E"/>
    <w:rsid w:val="00840CB1"/>
    <w:rsid w:val="00843C30"/>
    <w:rsid w:val="0084526F"/>
    <w:rsid w:val="00847EED"/>
    <w:rsid w:val="00851E5B"/>
    <w:rsid w:val="0085318A"/>
    <w:rsid w:val="008531AF"/>
    <w:rsid w:val="008555FB"/>
    <w:rsid w:val="008563D1"/>
    <w:rsid w:val="0085684E"/>
    <w:rsid w:val="00856983"/>
    <w:rsid w:val="008573AC"/>
    <w:rsid w:val="008574FC"/>
    <w:rsid w:val="00860591"/>
    <w:rsid w:val="00860C80"/>
    <w:rsid w:val="0086120E"/>
    <w:rsid w:val="0086130B"/>
    <w:rsid w:val="00863A93"/>
    <w:rsid w:val="0086431F"/>
    <w:rsid w:val="0086461C"/>
    <w:rsid w:val="008654AC"/>
    <w:rsid w:val="008662AD"/>
    <w:rsid w:val="00866444"/>
    <w:rsid w:val="00866C19"/>
    <w:rsid w:val="00867920"/>
    <w:rsid w:val="0087001D"/>
    <w:rsid w:val="008707BD"/>
    <w:rsid w:val="0087128F"/>
    <w:rsid w:val="00871FFC"/>
    <w:rsid w:val="008758FA"/>
    <w:rsid w:val="00876B3B"/>
    <w:rsid w:val="00877C83"/>
    <w:rsid w:val="00881A57"/>
    <w:rsid w:val="0088228D"/>
    <w:rsid w:val="0088332C"/>
    <w:rsid w:val="00883517"/>
    <w:rsid w:val="00883598"/>
    <w:rsid w:val="00883F1F"/>
    <w:rsid w:val="00884098"/>
    <w:rsid w:val="00885547"/>
    <w:rsid w:val="008858FC"/>
    <w:rsid w:val="00886196"/>
    <w:rsid w:val="00886C2B"/>
    <w:rsid w:val="00892C76"/>
    <w:rsid w:val="00893058"/>
    <w:rsid w:val="00894ADE"/>
    <w:rsid w:val="00895C4C"/>
    <w:rsid w:val="00895D52"/>
    <w:rsid w:val="008A0654"/>
    <w:rsid w:val="008A1A51"/>
    <w:rsid w:val="008A34D7"/>
    <w:rsid w:val="008A5911"/>
    <w:rsid w:val="008A6091"/>
    <w:rsid w:val="008A62C6"/>
    <w:rsid w:val="008A6A22"/>
    <w:rsid w:val="008A7C6E"/>
    <w:rsid w:val="008B076D"/>
    <w:rsid w:val="008B0E3E"/>
    <w:rsid w:val="008B21D1"/>
    <w:rsid w:val="008B2E02"/>
    <w:rsid w:val="008B3083"/>
    <w:rsid w:val="008B3490"/>
    <w:rsid w:val="008B37A7"/>
    <w:rsid w:val="008B748E"/>
    <w:rsid w:val="008C000E"/>
    <w:rsid w:val="008C0523"/>
    <w:rsid w:val="008C084F"/>
    <w:rsid w:val="008C089E"/>
    <w:rsid w:val="008C2259"/>
    <w:rsid w:val="008C2657"/>
    <w:rsid w:val="008C28F9"/>
    <w:rsid w:val="008C3B62"/>
    <w:rsid w:val="008C4D43"/>
    <w:rsid w:val="008C4D89"/>
    <w:rsid w:val="008C5AF8"/>
    <w:rsid w:val="008C63D0"/>
    <w:rsid w:val="008C6806"/>
    <w:rsid w:val="008C75F7"/>
    <w:rsid w:val="008D064E"/>
    <w:rsid w:val="008D1066"/>
    <w:rsid w:val="008D1BB4"/>
    <w:rsid w:val="008D1E80"/>
    <w:rsid w:val="008D1E9D"/>
    <w:rsid w:val="008D36C8"/>
    <w:rsid w:val="008D3C2E"/>
    <w:rsid w:val="008D4027"/>
    <w:rsid w:val="008D49E4"/>
    <w:rsid w:val="008D55AA"/>
    <w:rsid w:val="008D5C67"/>
    <w:rsid w:val="008D695F"/>
    <w:rsid w:val="008E0D6B"/>
    <w:rsid w:val="008E2921"/>
    <w:rsid w:val="008E38C7"/>
    <w:rsid w:val="008E4AC8"/>
    <w:rsid w:val="008E516D"/>
    <w:rsid w:val="008E5223"/>
    <w:rsid w:val="008E5412"/>
    <w:rsid w:val="008F098E"/>
    <w:rsid w:val="008F10B0"/>
    <w:rsid w:val="008F16E3"/>
    <w:rsid w:val="008F18CF"/>
    <w:rsid w:val="008F25A7"/>
    <w:rsid w:val="008F2C0E"/>
    <w:rsid w:val="008F40E5"/>
    <w:rsid w:val="008F43BE"/>
    <w:rsid w:val="008F4A57"/>
    <w:rsid w:val="008F56CC"/>
    <w:rsid w:val="0090012C"/>
    <w:rsid w:val="00900CCB"/>
    <w:rsid w:val="00901D78"/>
    <w:rsid w:val="0090234A"/>
    <w:rsid w:val="009026A4"/>
    <w:rsid w:val="00903A9F"/>
    <w:rsid w:val="00904642"/>
    <w:rsid w:val="00904ACE"/>
    <w:rsid w:val="00904F87"/>
    <w:rsid w:val="00905E89"/>
    <w:rsid w:val="00906641"/>
    <w:rsid w:val="0090710B"/>
    <w:rsid w:val="0090712B"/>
    <w:rsid w:val="00907561"/>
    <w:rsid w:val="00907849"/>
    <w:rsid w:val="00907F5E"/>
    <w:rsid w:val="0091088B"/>
    <w:rsid w:val="009119E3"/>
    <w:rsid w:val="00911A7C"/>
    <w:rsid w:val="00911FA9"/>
    <w:rsid w:val="00912374"/>
    <w:rsid w:val="00912F7B"/>
    <w:rsid w:val="00913389"/>
    <w:rsid w:val="00913781"/>
    <w:rsid w:val="009141B5"/>
    <w:rsid w:val="009164E1"/>
    <w:rsid w:val="00916A95"/>
    <w:rsid w:val="00916EC2"/>
    <w:rsid w:val="00921FCF"/>
    <w:rsid w:val="009242EB"/>
    <w:rsid w:val="009243F6"/>
    <w:rsid w:val="009245E5"/>
    <w:rsid w:val="00924E2B"/>
    <w:rsid w:val="009253C2"/>
    <w:rsid w:val="00925478"/>
    <w:rsid w:val="00926768"/>
    <w:rsid w:val="0092707E"/>
    <w:rsid w:val="00927B2F"/>
    <w:rsid w:val="009306E6"/>
    <w:rsid w:val="0093092F"/>
    <w:rsid w:val="009312EE"/>
    <w:rsid w:val="00932DEE"/>
    <w:rsid w:val="0093325F"/>
    <w:rsid w:val="00933B86"/>
    <w:rsid w:val="00935427"/>
    <w:rsid w:val="00937D28"/>
    <w:rsid w:val="009401EC"/>
    <w:rsid w:val="0094085F"/>
    <w:rsid w:val="00940BD4"/>
    <w:rsid w:val="00944164"/>
    <w:rsid w:val="00945645"/>
    <w:rsid w:val="00945978"/>
    <w:rsid w:val="00946885"/>
    <w:rsid w:val="00947E8F"/>
    <w:rsid w:val="0095061A"/>
    <w:rsid w:val="00950F21"/>
    <w:rsid w:val="00952F1D"/>
    <w:rsid w:val="0095348F"/>
    <w:rsid w:val="0095359C"/>
    <w:rsid w:val="009536F1"/>
    <w:rsid w:val="00954A32"/>
    <w:rsid w:val="00954B9C"/>
    <w:rsid w:val="00954F3F"/>
    <w:rsid w:val="009576AD"/>
    <w:rsid w:val="00957834"/>
    <w:rsid w:val="00957D9A"/>
    <w:rsid w:val="00960D90"/>
    <w:rsid w:val="009619DF"/>
    <w:rsid w:val="00966D8D"/>
    <w:rsid w:val="00967A47"/>
    <w:rsid w:val="009717F0"/>
    <w:rsid w:val="00972B6D"/>
    <w:rsid w:val="0097403A"/>
    <w:rsid w:val="00974E0D"/>
    <w:rsid w:val="0097669A"/>
    <w:rsid w:val="00976A13"/>
    <w:rsid w:val="00977BE4"/>
    <w:rsid w:val="009808A3"/>
    <w:rsid w:val="00981835"/>
    <w:rsid w:val="00983451"/>
    <w:rsid w:val="0098431B"/>
    <w:rsid w:val="009846AE"/>
    <w:rsid w:val="009846AF"/>
    <w:rsid w:val="009860F6"/>
    <w:rsid w:val="009864DD"/>
    <w:rsid w:val="009900E2"/>
    <w:rsid w:val="00990DCE"/>
    <w:rsid w:val="009938E6"/>
    <w:rsid w:val="0099544D"/>
    <w:rsid w:val="00995D3A"/>
    <w:rsid w:val="00996134"/>
    <w:rsid w:val="009968F2"/>
    <w:rsid w:val="00996DA9"/>
    <w:rsid w:val="00996F22"/>
    <w:rsid w:val="0099777B"/>
    <w:rsid w:val="00997ACB"/>
    <w:rsid w:val="009A023C"/>
    <w:rsid w:val="009A0322"/>
    <w:rsid w:val="009A0913"/>
    <w:rsid w:val="009A137A"/>
    <w:rsid w:val="009A29FF"/>
    <w:rsid w:val="009A41F0"/>
    <w:rsid w:val="009A4945"/>
    <w:rsid w:val="009A5AC0"/>
    <w:rsid w:val="009A5D2D"/>
    <w:rsid w:val="009B27F2"/>
    <w:rsid w:val="009B2E97"/>
    <w:rsid w:val="009B2FB1"/>
    <w:rsid w:val="009B4445"/>
    <w:rsid w:val="009B44E1"/>
    <w:rsid w:val="009B5104"/>
    <w:rsid w:val="009B5D9E"/>
    <w:rsid w:val="009B6E7C"/>
    <w:rsid w:val="009C209F"/>
    <w:rsid w:val="009C228C"/>
    <w:rsid w:val="009C2398"/>
    <w:rsid w:val="009C43BE"/>
    <w:rsid w:val="009C60CB"/>
    <w:rsid w:val="009C6C74"/>
    <w:rsid w:val="009C6DF0"/>
    <w:rsid w:val="009C7294"/>
    <w:rsid w:val="009C7800"/>
    <w:rsid w:val="009D00FD"/>
    <w:rsid w:val="009D314A"/>
    <w:rsid w:val="009D4401"/>
    <w:rsid w:val="009D4F83"/>
    <w:rsid w:val="009D5161"/>
    <w:rsid w:val="009D5D51"/>
    <w:rsid w:val="009D661E"/>
    <w:rsid w:val="009D7E4F"/>
    <w:rsid w:val="009E004E"/>
    <w:rsid w:val="009E2906"/>
    <w:rsid w:val="009E3627"/>
    <w:rsid w:val="009E3A87"/>
    <w:rsid w:val="009E4251"/>
    <w:rsid w:val="009E4A4E"/>
    <w:rsid w:val="009E55D2"/>
    <w:rsid w:val="009E63F2"/>
    <w:rsid w:val="009E7C98"/>
    <w:rsid w:val="009F3019"/>
    <w:rsid w:val="009F358C"/>
    <w:rsid w:val="009F4DAA"/>
    <w:rsid w:val="009F538F"/>
    <w:rsid w:val="009F648B"/>
    <w:rsid w:val="009F6623"/>
    <w:rsid w:val="009F7BD6"/>
    <w:rsid w:val="00A00EE2"/>
    <w:rsid w:val="00A014F1"/>
    <w:rsid w:val="00A02B91"/>
    <w:rsid w:val="00A03E04"/>
    <w:rsid w:val="00A03E7C"/>
    <w:rsid w:val="00A04F60"/>
    <w:rsid w:val="00A05715"/>
    <w:rsid w:val="00A05A31"/>
    <w:rsid w:val="00A05D02"/>
    <w:rsid w:val="00A0774F"/>
    <w:rsid w:val="00A106C8"/>
    <w:rsid w:val="00A11242"/>
    <w:rsid w:val="00A11993"/>
    <w:rsid w:val="00A1223D"/>
    <w:rsid w:val="00A12370"/>
    <w:rsid w:val="00A1248B"/>
    <w:rsid w:val="00A129BA"/>
    <w:rsid w:val="00A12E38"/>
    <w:rsid w:val="00A13369"/>
    <w:rsid w:val="00A135AD"/>
    <w:rsid w:val="00A13BE5"/>
    <w:rsid w:val="00A15820"/>
    <w:rsid w:val="00A15924"/>
    <w:rsid w:val="00A178C1"/>
    <w:rsid w:val="00A17B2C"/>
    <w:rsid w:val="00A17C07"/>
    <w:rsid w:val="00A20ED4"/>
    <w:rsid w:val="00A2198C"/>
    <w:rsid w:val="00A21C86"/>
    <w:rsid w:val="00A22037"/>
    <w:rsid w:val="00A220E1"/>
    <w:rsid w:val="00A2272F"/>
    <w:rsid w:val="00A22C0D"/>
    <w:rsid w:val="00A232E6"/>
    <w:rsid w:val="00A2350E"/>
    <w:rsid w:val="00A23DEB"/>
    <w:rsid w:val="00A2428D"/>
    <w:rsid w:val="00A251C8"/>
    <w:rsid w:val="00A25231"/>
    <w:rsid w:val="00A25A0C"/>
    <w:rsid w:val="00A26C47"/>
    <w:rsid w:val="00A2710B"/>
    <w:rsid w:val="00A27FCE"/>
    <w:rsid w:val="00A30EC8"/>
    <w:rsid w:val="00A312DE"/>
    <w:rsid w:val="00A31D27"/>
    <w:rsid w:val="00A31EC7"/>
    <w:rsid w:val="00A31F6C"/>
    <w:rsid w:val="00A32573"/>
    <w:rsid w:val="00A329B9"/>
    <w:rsid w:val="00A32A93"/>
    <w:rsid w:val="00A354B1"/>
    <w:rsid w:val="00A35725"/>
    <w:rsid w:val="00A36441"/>
    <w:rsid w:val="00A36624"/>
    <w:rsid w:val="00A37248"/>
    <w:rsid w:val="00A373FD"/>
    <w:rsid w:val="00A37D57"/>
    <w:rsid w:val="00A4068B"/>
    <w:rsid w:val="00A407D1"/>
    <w:rsid w:val="00A407EE"/>
    <w:rsid w:val="00A4107A"/>
    <w:rsid w:val="00A41B5B"/>
    <w:rsid w:val="00A43697"/>
    <w:rsid w:val="00A439C3"/>
    <w:rsid w:val="00A446C8"/>
    <w:rsid w:val="00A44CE3"/>
    <w:rsid w:val="00A45568"/>
    <w:rsid w:val="00A4630D"/>
    <w:rsid w:val="00A46868"/>
    <w:rsid w:val="00A468A0"/>
    <w:rsid w:val="00A46F9A"/>
    <w:rsid w:val="00A46FAB"/>
    <w:rsid w:val="00A477BD"/>
    <w:rsid w:val="00A5170D"/>
    <w:rsid w:val="00A51B35"/>
    <w:rsid w:val="00A526EF"/>
    <w:rsid w:val="00A52C8E"/>
    <w:rsid w:val="00A5309A"/>
    <w:rsid w:val="00A534B9"/>
    <w:rsid w:val="00A53637"/>
    <w:rsid w:val="00A53B85"/>
    <w:rsid w:val="00A5429D"/>
    <w:rsid w:val="00A5573D"/>
    <w:rsid w:val="00A55CBD"/>
    <w:rsid w:val="00A55F7B"/>
    <w:rsid w:val="00A5617C"/>
    <w:rsid w:val="00A56583"/>
    <w:rsid w:val="00A5696F"/>
    <w:rsid w:val="00A57CFE"/>
    <w:rsid w:val="00A60875"/>
    <w:rsid w:val="00A61947"/>
    <w:rsid w:val="00A626BC"/>
    <w:rsid w:val="00A62C5F"/>
    <w:rsid w:val="00A649CA"/>
    <w:rsid w:val="00A6595D"/>
    <w:rsid w:val="00A65CE4"/>
    <w:rsid w:val="00A67036"/>
    <w:rsid w:val="00A67836"/>
    <w:rsid w:val="00A70528"/>
    <w:rsid w:val="00A70D25"/>
    <w:rsid w:val="00A70EF3"/>
    <w:rsid w:val="00A72F07"/>
    <w:rsid w:val="00A748B1"/>
    <w:rsid w:val="00A748F2"/>
    <w:rsid w:val="00A76D6F"/>
    <w:rsid w:val="00A77859"/>
    <w:rsid w:val="00A80116"/>
    <w:rsid w:val="00A806AC"/>
    <w:rsid w:val="00A82D60"/>
    <w:rsid w:val="00A835B0"/>
    <w:rsid w:val="00A846A7"/>
    <w:rsid w:val="00A846BB"/>
    <w:rsid w:val="00A84EC5"/>
    <w:rsid w:val="00A85CDD"/>
    <w:rsid w:val="00A876DC"/>
    <w:rsid w:val="00A87810"/>
    <w:rsid w:val="00A90F14"/>
    <w:rsid w:val="00A911D6"/>
    <w:rsid w:val="00A936C2"/>
    <w:rsid w:val="00A93E2C"/>
    <w:rsid w:val="00A94BC0"/>
    <w:rsid w:val="00A94E42"/>
    <w:rsid w:val="00A95315"/>
    <w:rsid w:val="00A9572F"/>
    <w:rsid w:val="00A95C24"/>
    <w:rsid w:val="00A967FF"/>
    <w:rsid w:val="00A97CD7"/>
    <w:rsid w:val="00A97DD1"/>
    <w:rsid w:val="00AA0442"/>
    <w:rsid w:val="00AA0556"/>
    <w:rsid w:val="00AA07AB"/>
    <w:rsid w:val="00AA091A"/>
    <w:rsid w:val="00AA1278"/>
    <w:rsid w:val="00AA15CB"/>
    <w:rsid w:val="00AA268A"/>
    <w:rsid w:val="00AA3D7A"/>
    <w:rsid w:val="00AA4577"/>
    <w:rsid w:val="00AA622E"/>
    <w:rsid w:val="00AA6896"/>
    <w:rsid w:val="00AA78CA"/>
    <w:rsid w:val="00AB1A94"/>
    <w:rsid w:val="00AB1DF8"/>
    <w:rsid w:val="00AB2AA4"/>
    <w:rsid w:val="00AB30AF"/>
    <w:rsid w:val="00AB3942"/>
    <w:rsid w:val="00AB4118"/>
    <w:rsid w:val="00AB4449"/>
    <w:rsid w:val="00AB4745"/>
    <w:rsid w:val="00AB6AF3"/>
    <w:rsid w:val="00AB6DD8"/>
    <w:rsid w:val="00AB6F9E"/>
    <w:rsid w:val="00AB71E7"/>
    <w:rsid w:val="00AB731B"/>
    <w:rsid w:val="00AB7848"/>
    <w:rsid w:val="00AC005F"/>
    <w:rsid w:val="00AC060D"/>
    <w:rsid w:val="00AC138A"/>
    <w:rsid w:val="00AC1F3C"/>
    <w:rsid w:val="00AC56BA"/>
    <w:rsid w:val="00AC6196"/>
    <w:rsid w:val="00AC7266"/>
    <w:rsid w:val="00AD005C"/>
    <w:rsid w:val="00AD3362"/>
    <w:rsid w:val="00AD33E1"/>
    <w:rsid w:val="00AD3ADD"/>
    <w:rsid w:val="00AD3ED6"/>
    <w:rsid w:val="00AD4379"/>
    <w:rsid w:val="00AD4CE6"/>
    <w:rsid w:val="00AD58EF"/>
    <w:rsid w:val="00AD638C"/>
    <w:rsid w:val="00AD64F3"/>
    <w:rsid w:val="00AD69A5"/>
    <w:rsid w:val="00AD6D8B"/>
    <w:rsid w:val="00AD7D30"/>
    <w:rsid w:val="00AE0FC8"/>
    <w:rsid w:val="00AE1B75"/>
    <w:rsid w:val="00AE1EAC"/>
    <w:rsid w:val="00AE1FF7"/>
    <w:rsid w:val="00AE25D6"/>
    <w:rsid w:val="00AE2975"/>
    <w:rsid w:val="00AE46AE"/>
    <w:rsid w:val="00AE7A50"/>
    <w:rsid w:val="00AF088A"/>
    <w:rsid w:val="00AF0915"/>
    <w:rsid w:val="00AF1323"/>
    <w:rsid w:val="00AF1B8A"/>
    <w:rsid w:val="00AF1EA5"/>
    <w:rsid w:val="00AF3158"/>
    <w:rsid w:val="00AF3EE5"/>
    <w:rsid w:val="00AF41D8"/>
    <w:rsid w:val="00AF468D"/>
    <w:rsid w:val="00AF4878"/>
    <w:rsid w:val="00AF621A"/>
    <w:rsid w:val="00AF7F69"/>
    <w:rsid w:val="00B03537"/>
    <w:rsid w:val="00B0379F"/>
    <w:rsid w:val="00B05005"/>
    <w:rsid w:val="00B05447"/>
    <w:rsid w:val="00B055F1"/>
    <w:rsid w:val="00B05DDC"/>
    <w:rsid w:val="00B06C74"/>
    <w:rsid w:val="00B0759B"/>
    <w:rsid w:val="00B07C47"/>
    <w:rsid w:val="00B07C7B"/>
    <w:rsid w:val="00B10DB5"/>
    <w:rsid w:val="00B11020"/>
    <w:rsid w:val="00B11AA4"/>
    <w:rsid w:val="00B1355C"/>
    <w:rsid w:val="00B13723"/>
    <w:rsid w:val="00B15444"/>
    <w:rsid w:val="00B16911"/>
    <w:rsid w:val="00B16FEE"/>
    <w:rsid w:val="00B206CD"/>
    <w:rsid w:val="00B21BF1"/>
    <w:rsid w:val="00B222A9"/>
    <w:rsid w:val="00B231C6"/>
    <w:rsid w:val="00B26767"/>
    <w:rsid w:val="00B279FE"/>
    <w:rsid w:val="00B3047B"/>
    <w:rsid w:val="00B3115B"/>
    <w:rsid w:val="00B31D66"/>
    <w:rsid w:val="00B3246A"/>
    <w:rsid w:val="00B324E3"/>
    <w:rsid w:val="00B329EA"/>
    <w:rsid w:val="00B33167"/>
    <w:rsid w:val="00B338AB"/>
    <w:rsid w:val="00B34EAA"/>
    <w:rsid w:val="00B36C4E"/>
    <w:rsid w:val="00B377E3"/>
    <w:rsid w:val="00B37C1D"/>
    <w:rsid w:val="00B40A31"/>
    <w:rsid w:val="00B42979"/>
    <w:rsid w:val="00B42F2D"/>
    <w:rsid w:val="00B432FB"/>
    <w:rsid w:val="00B43CC4"/>
    <w:rsid w:val="00B43DC2"/>
    <w:rsid w:val="00B44751"/>
    <w:rsid w:val="00B47303"/>
    <w:rsid w:val="00B50A11"/>
    <w:rsid w:val="00B51117"/>
    <w:rsid w:val="00B51149"/>
    <w:rsid w:val="00B53003"/>
    <w:rsid w:val="00B5351D"/>
    <w:rsid w:val="00B537A5"/>
    <w:rsid w:val="00B541E9"/>
    <w:rsid w:val="00B54521"/>
    <w:rsid w:val="00B54743"/>
    <w:rsid w:val="00B55840"/>
    <w:rsid w:val="00B55AC2"/>
    <w:rsid w:val="00B55CDE"/>
    <w:rsid w:val="00B564EC"/>
    <w:rsid w:val="00B579A8"/>
    <w:rsid w:val="00B61A9C"/>
    <w:rsid w:val="00B62E49"/>
    <w:rsid w:val="00B64F90"/>
    <w:rsid w:val="00B65318"/>
    <w:rsid w:val="00B6579B"/>
    <w:rsid w:val="00B658C5"/>
    <w:rsid w:val="00B65F07"/>
    <w:rsid w:val="00B667FB"/>
    <w:rsid w:val="00B678D2"/>
    <w:rsid w:val="00B67D88"/>
    <w:rsid w:val="00B70525"/>
    <w:rsid w:val="00B7057A"/>
    <w:rsid w:val="00B72EF0"/>
    <w:rsid w:val="00B73B50"/>
    <w:rsid w:val="00B747D6"/>
    <w:rsid w:val="00B74D94"/>
    <w:rsid w:val="00B81C88"/>
    <w:rsid w:val="00B82727"/>
    <w:rsid w:val="00B830EA"/>
    <w:rsid w:val="00B855AD"/>
    <w:rsid w:val="00B86848"/>
    <w:rsid w:val="00B87F1D"/>
    <w:rsid w:val="00B92636"/>
    <w:rsid w:val="00B926D2"/>
    <w:rsid w:val="00B92FF6"/>
    <w:rsid w:val="00B935AB"/>
    <w:rsid w:val="00B94829"/>
    <w:rsid w:val="00B94EA5"/>
    <w:rsid w:val="00B94F14"/>
    <w:rsid w:val="00BA038D"/>
    <w:rsid w:val="00BA49C2"/>
    <w:rsid w:val="00BA5305"/>
    <w:rsid w:val="00BA63F0"/>
    <w:rsid w:val="00BB0415"/>
    <w:rsid w:val="00BB1647"/>
    <w:rsid w:val="00BB41F2"/>
    <w:rsid w:val="00BB49CC"/>
    <w:rsid w:val="00BB4C09"/>
    <w:rsid w:val="00BB514A"/>
    <w:rsid w:val="00BB6D16"/>
    <w:rsid w:val="00BB6DC9"/>
    <w:rsid w:val="00BB7D71"/>
    <w:rsid w:val="00BC010E"/>
    <w:rsid w:val="00BC0452"/>
    <w:rsid w:val="00BC09C3"/>
    <w:rsid w:val="00BC0A22"/>
    <w:rsid w:val="00BC14C3"/>
    <w:rsid w:val="00BC15F9"/>
    <w:rsid w:val="00BC22F3"/>
    <w:rsid w:val="00BC4009"/>
    <w:rsid w:val="00BC40FB"/>
    <w:rsid w:val="00BC4A11"/>
    <w:rsid w:val="00BC6F46"/>
    <w:rsid w:val="00BC6F5B"/>
    <w:rsid w:val="00BC7032"/>
    <w:rsid w:val="00BC708B"/>
    <w:rsid w:val="00BD0539"/>
    <w:rsid w:val="00BD064F"/>
    <w:rsid w:val="00BD1010"/>
    <w:rsid w:val="00BD144E"/>
    <w:rsid w:val="00BD1965"/>
    <w:rsid w:val="00BD1F3B"/>
    <w:rsid w:val="00BD225C"/>
    <w:rsid w:val="00BD25C5"/>
    <w:rsid w:val="00BD29EB"/>
    <w:rsid w:val="00BD3511"/>
    <w:rsid w:val="00BD3B0A"/>
    <w:rsid w:val="00BD4866"/>
    <w:rsid w:val="00BD5191"/>
    <w:rsid w:val="00BD553E"/>
    <w:rsid w:val="00BD635B"/>
    <w:rsid w:val="00BD7F02"/>
    <w:rsid w:val="00BE0843"/>
    <w:rsid w:val="00BE0ABA"/>
    <w:rsid w:val="00BE1423"/>
    <w:rsid w:val="00BE1C0D"/>
    <w:rsid w:val="00BE275B"/>
    <w:rsid w:val="00BE27E9"/>
    <w:rsid w:val="00BE4CE1"/>
    <w:rsid w:val="00BE52D1"/>
    <w:rsid w:val="00BE557F"/>
    <w:rsid w:val="00BE5BB4"/>
    <w:rsid w:val="00BE5EE2"/>
    <w:rsid w:val="00BE6B23"/>
    <w:rsid w:val="00BE7A36"/>
    <w:rsid w:val="00BF033C"/>
    <w:rsid w:val="00BF1CB7"/>
    <w:rsid w:val="00BF2EFF"/>
    <w:rsid w:val="00BF3A71"/>
    <w:rsid w:val="00BF3BDB"/>
    <w:rsid w:val="00BF54E3"/>
    <w:rsid w:val="00BF6F03"/>
    <w:rsid w:val="00C016B9"/>
    <w:rsid w:val="00C02005"/>
    <w:rsid w:val="00C02280"/>
    <w:rsid w:val="00C02A27"/>
    <w:rsid w:val="00C03299"/>
    <w:rsid w:val="00C04206"/>
    <w:rsid w:val="00C06855"/>
    <w:rsid w:val="00C07FFA"/>
    <w:rsid w:val="00C1157E"/>
    <w:rsid w:val="00C11F1F"/>
    <w:rsid w:val="00C120AF"/>
    <w:rsid w:val="00C1231F"/>
    <w:rsid w:val="00C12C8E"/>
    <w:rsid w:val="00C12D69"/>
    <w:rsid w:val="00C13731"/>
    <w:rsid w:val="00C141FD"/>
    <w:rsid w:val="00C1470B"/>
    <w:rsid w:val="00C17C9A"/>
    <w:rsid w:val="00C21248"/>
    <w:rsid w:val="00C21775"/>
    <w:rsid w:val="00C2378F"/>
    <w:rsid w:val="00C23A74"/>
    <w:rsid w:val="00C23A7D"/>
    <w:rsid w:val="00C258AC"/>
    <w:rsid w:val="00C260A5"/>
    <w:rsid w:val="00C30023"/>
    <w:rsid w:val="00C30438"/>
    <w:rsid w:val="00C3048E"/>
    <w:rsid w:val="00C30912"/>
    <w:rsid w:val="00C30A15"/>
    <w:rsid w:val="00C320FC"/>
    <w:rsid w:val="00C3273B"/>
    <w:rsid w:val="00C32EDF"/>
    <w:rsid w:val="00C33A16"/>
    <w:rsid w:val="00C33CB7"/>
    <w:rsid w:val="00C345AB"/>
    <w:rsid w:val="00C35058"/>
    <w:rsid w:val="00C35BE6"/>
    <w:rsid w:val="00C37F04"/>
    <w:rsid w:val="00C40423"/>
    <w:rsid w:val="00C41237"/>
    <w:rsid w:val="00C41E5D"/>
    <w:rsid w:val="00C421B1"/>
    <w:rsid w:val="00C43096"/>
    <w:rsid w:val="00C44908"/>
    <w:rsid w:val="00C4599A"/>
    <w:rsid w:val="00C4767D"/>
    <w:rsid w:val="00C50B34"/>
    <w:rsid w:val="00C50BF5"/>
    <w:rsid w:val="00C51CF6"/>
    <w:rsid w:val="00C51F3A"/>
    <w:rsid w:val="00C52450"/>
    <w:rsid w:val="00C52C99"/>
    <w:rsid w:val="00C560C6"/>
    <w:rsid w:val="00C571D4"/>
    <w:rsid w:val="00C60035"/>
    <w:rsid w:val="00C604AB"/>
    <w:rsid w:val="00C6108C"/>
    <w:rsid w:val="00C6234C"/>
    <w:rsid w:val="00C62D01"/>
    <w:rsid w:val="00C62F52"/>
    <w:rsid w:val="00C63676"/>
    <w:rsid w:val="00C64936"/>
    <w:rsid w:val="00C64D5B"/>
    <w:rsid w:val="00C64D74"/>
    <w:rsid w:val="00C66BCF"/>
    <w:rsid w:val="00C6769A"/>
    <w:rsid w:val="00C67B5B"/>
    <w:rsid w:val="00C67C00"/>
    <w:rsid w:val="00C70365"/>
    <w:rsid w:val="00C71E57"/>
    <w:rsid w:val="00C75625"/>
    <w:rsid w:val="00C7569B"/>
    <w:rsid w:val="00C75EF2"/>
    <w:rsid w:val="00C767FD"/>
    <w:rsid w:val="00C76AC0"/>
    <w:rsid w:val="00C77911"/>
    <w:rsid w:val="00C81BC0"/>
    <w:rsid w:val="00C8262F"/>
    <w:rsid w:val="00C84624"/>
    <w:rsid w:val="00C85AA2"/>
    <w:rsid w:val="00C85DC0"/>
    <w:rsid w:val="00C86DBB"/>
    <w:rsid w:val="00C87219"/>
    <w:rsid w:val="00C90CCA"/>
    <w:rsid w:val="00C92159"/>
    <w:rsid w:val="00C9294B"/>
    <w:rsid w:val="00C92E50"/>
    <w:rsid w:val="00C9368E"/>
    <w:rsid w:val="00C93854"/>
    <w:rsid w:val="00C9395C"/>
    <w:rsid w:val="00C94082"/>
    <w:rsid w:val="00C95047"/>
    <w:rsid w:val="00C9572C"/>
    <w:rsid w:val="00C95CE7"/>
    <w:rsid w:val="00CA0134"/>
    <w:rsid w:val="00CA02BB"/>
    <w:rsid w:val="00CA0EBD"/>
    <w:rsid w:val="00CA0F04"/>
    <w:rsid w:val="00CA4839"/>
    <w:rsid w:val="00CA4F9C"/>
    <w:rsid w:val="00CA57C4"/>
    <w:rsid w:val="00CA6743"/>
    <w:rsid w:val="00CA6F6B"/>
    <w:rsid w:val="00CA706C"/>
    <w:rsid w:val="00CB1B88"/>
    <w:rsid w:val="00CB20B2"/>
    <w:rsid w:val="00CB2A17"/>
    <w:rsid w:val="00CB2ACE"/>
    <w:rsid w:val="00CB4850"/>
    <w:rsid w:val="00CB48AF"/>
    <w:rsid w:val="00CB4971"/>
    <w:rsid w:val="00CB5353"/>
    <w:rsid w:val="00CB5600"/>
    <w:rsid w:val="00CB592C"/>
    <w:rsid w:val="00CB604F"/>
    <w:rsid w:val="00CB6F11"/>
    <w:rsid w:val="00CB767C"/>
    <w:rsid w:val="00CB7AD7"/>
    <w:rsid w:val="00CC0529"/>
    <w:rsid w:val="00CC057A"/>
    <w:rsid w:val="00CC0A28"/>
    <w:rsid w:val="00CC0E01"/>
    <w:rsid w:val="00CC0F5F"/>
    <w:rsid w:val="00CC1309"/>
    <w:rsid w:val="00CC1859"/>
    <w:rsid w:val="00CC2779"/>
    <w:rsid w:val="00CC3D87"/>
    <w:rsid w:val="00CC4239"/>
    <w:rsid w:val="00CC42FB"/>
    <w:rsid w:val="00CC520E"/>
    <w:rsid w:val="00CC5FCA"/>
    <w:rsid w:val="00CC62B0"/>
    <w:rsid w:val="00CC7097"/>
    <w:rsid w:val="00CC71C8"/>
    <w:rsid w:val="00CC77FE"/>
    <w:rsid w:val="00CD042C"/>
    <w:rsid w:val="00CD0608"/>
    <w:rsid w:val="00CD075B"/>
    <w:rsid w:val="00CD07DE"/>
    <w:rsid w:val="00CD08C9"/>
    <w:rsid w:val="00CD09E5"/>
    <w:rsid w:val="00CD12DE"/>
    <w:rsid w:val="00CD1DEB"/>
    <w:rsid w:val="00CD2184"/>
    <w:rsid w:val="00CD22A4"/>
    <w:rsid w:val="00CD2D55"/>
    <w:rsid w:val="00CD36AD"/>
    <w:rsid w:val="00CD4F27"/>
    <w:rsid w:val="00CD50F9"/>
    <w:rsid w:val="00CD53C0"/>
    <w:rsid w:val="00CD57A9"/>
    <w:rsid w:val="00CD5C35"/>
    <w:rsid w:val="00CD6055"/>
    <w:rsid w:val="00CE116B"/>
    <w:rsid w:val="00CE23F0"/>
    <w:rsid w:val="00CE27A8"/>
    <w:rsid w:val="00CE2D47"/>
    <w:rsid w:val="00CE6659"/>
    <w:rsid w:val="00CE6753"/>
    <w:rsid w:val="00CE6E44"/>
    <w:rsid w:val="00CF078F"/>
    <w:rsid w:val="00CF0F9D"/>
    <w:rsid w:val="00CF2C6A"/>
    <w:rsid w:val="00CF310A"/>
    <w:rsid w:val="00CF40FB"/>
    <w:rsid w:val="00CF43BE"/>
    <w:rsid w:val="00CF45F9"/>
    <w:rsid w:val="00CF4E95"/>
    <w:rsid w:val="00CF595A"/>
    <w:rsid w:val="00CF6BFB"/>
    <w:rsid w:val="00CF787A"/>
    <w:rsid w:val="00D016DF"/>
    <w:rsid w:val="00D01AF5"/>
    <w:rsid w:val="00D02DE7"/>
    <w:rsid w:val="00D02FA7"/>
    <w:rsid w:val="00D033C3"/>
    <w:rsid w:val="00D03C46"/>
    <w:rsid w:val="00D05D8D"/>
    <w:rsid w:val="00D06964"/>
    <w:rsid w:val="00D07CC8"/>
    <w:rsid w:val="00D13265"/>
    <w:rsid w:val="00D13FC4"/>
    <w:rsid w:val="00D15353"/>
    <w:rsid w:val="00D1593A"/>
    <w:rsid w:val="00D174F5"/>
    <w:rsid w:val="00D20684"/>
    <w:rsid w:val="00D2088C"/>
    <w:rsid w:val="00D20B33"/>
    <w:rsid w:val="00D225C8"/>
    <w:rsid w:val="00D235EF"/>
    <w:rsid w:val="00D24051"/>
    <w:rsid w:val="00D2416D"/>
    <w:rsid w:val="00D251AC"/>
    <w:rsid w:val="00D26104"/>
    <w:rsid w:val="00D26151"/>
    <w:rsid w:val="00D267B7"/>
    <w:rsid w:val="00D2686A"/>
    <w:rsid w:val="00D26EF6"/>
    <w:rsid w:val="00D2732E"/>
    <w:rsid w:val="00D276AD"/>
    <w:rsid w:val="00D2787D"/>
    <w:rsid w:val="00D3157C"/>
    <w:rsid w:val="00D31682"/>
    <w:rsid w:val="00D32ABD"/>
    <w:rsid w:val="00D33BD6"/>
    <w:rsid w:val="00D358D1"/>
    <w:rsid w:val="00D36CC6"/>
    <w:rsid w:val="00D4032E"/>
    <w:rsid w:val="00D4090F"/>
    <w:rsid w:val="00D4212F"/>
    <w:rsid w:val="00D42195"/>
    <w:rsid w:val="00D42BF4"/>
    <w:rsid w:val="00D44141"/>
    <w:rsid w:val="00D443AB"/>
    <w:rsid w:val="00D44A4C"/>
    <w:rsid w:val="00D456CB"/>
    <w:rsid w:val="00D45AF2"/>
    <w:rsid w:val="00D47485"/>
    <w:rsid w:val="00D4773D"/>
    <w:rsid w:val="00D53001"/>
    <w:rsid w:val="00D53821"/>
    <w:rsid w:val="00D53AB7"/>
    <w:rsid w:val="00D54936"/>
    <w:rsid w:val="00D56424"/>
    <w:rsid w:val="00D573D4"/>
    <w:rsid w:val="00D6143C"/>
    <w:rsid w:val="00D61976"/>
    <w:rsid w:val="00D61B8A"/>
    <w:rsid w:val="00D62024"/>
    <w:rsid w:val="00D62062"/>
    <w:rsid w:val="00D630A5"/>
    <w:rsid w:val="00D64AE1"/>
    <w:rsid w:val="00D64BE6"/>
    <w:rsid w:val="00D65616"/>
    <w:rsid w:val="00D663B9"/>
    <w:rsid w:val="00D6654D"/>
    <w:rsid w:val="00D707F5"/>
    <w:rsid w:val="00D71CA3"/>
    <w:rsid w:val="00D72743"/>
    <w:rsid w:val="00D7364F"/>
    <w:rsid w:val="00D74D23"/>
    <w:rsid w:val="00D75432"/>
    <w:rsid w:val="00D77C58"/>
    <w:rsid w:val="00D823BE"/>
    <w:rsid w:val="00D83817"/>
    <w:rsid w:val="00D84465"/>
    <w:rsid w:val="00D84DD3"/>
    <w:rsid w:val="00D859CC"/>
    <w:rsid w:val="00D85A49"/>
    <w:rsid w:val="00D867C8"/>
    <w:rsid w:val="00D91539"/>
    <w:rsid w:val="00D92CFB"/>
    <w:rsid w:val="00D9314F"/>
    <w:rsid w:val="00D9366D"/>
    <w:rsid w:val="00D941AD"/>
    <w:rsid w:val="00D9461D"/>
    <w:rsid w:val="00D948F5"/>
    <w:rsid w:val="00D94EBE"/>
    <w:rsid w:val="00D953C6"/>
    <w:rsid w:val="00D95AA9"/>
    <w:rsid w:val="00D9634C"/>
    <w:rsid w:val="00D9656D"/>
    <w:rsid w:val="00D96740"/>
    <w:rsid w:val="00DA0007"/>
    <w:rsid w:val="00DA0ADF"/>
    <w:rsid w:val="00DA3319"/>
    <w:rsid w:val="00DA426A"/>
    <w:rsid w:val="00DA5B19"/>
    <w:rsid w:val="00DA64FD"/>
    <w:rsid w:val="00DA672A"/>
    <w:rsid w:val="00DAFE34"/>
    <w:rsid w:val="00DB00CF"/>
    <w:rsid w:val="00DB0779"/>
    <w:rsid w:val="00DB1C9C"/>
    <w:rsid w:val="00DB5041"/>
    <w:rsid w:val="00DB57C2"/>
    <w:rsid w:val="00DB58D9"/>
    <w:rsid w:val="00DB6563"/>
    <w:rsid w:val="00DB7283"/>
    <w:rsid w:val="00DC05F4"/>
    <w:rsid w:val="00DC10D4"/>
    <w:rsid w:val="00DC1C12"/>
    <w:rsid w:val="00DC305C"/>
    <w:rsid w:val="00DC3682"/>
    <w:rsid w:val="00DC40E7"/>
    <w:rsid w:val="00DC6251"/>
    <w:rsid w:val="00DD0694"/>
    <w:rsid w:val="00DD11C1"/>
    <w:rsid w:val="00DD2422"/>
    <w:rsid w:val="00DD248F"/>
    <w:rsid w:val="00DD25D9"/>
    <w:rsid w:val="00DD2890"/>
    <w:rsid w:val="00DD31C1"/>
    <w:rsid w:val="00DD3D4F"/>
    <w:rsid w:val="00DD5ADC"/>
    <w:rsid w:val="00DD5D84"/>
    <w:rsid w:val="00DD6C77"/>
    <w:rsid w:val="00DE1557"/>
    <w:rsid w:val="00DE2602"/>
    <w:rsid w:val="00DE29FD"/>
    <w:rsid w:val="00DE3276"/>
    <w:rsid w:val="00DE3A1C"/>
    <w:rsid w:val="00DE3E0D"/>
    <w:rsid w:val="00DE40A8"/>
    <w:rsid w:val="00DE5763"/>
    <w:rsid w:val="00DF033F"/>
    <w:rsid w:val="00DF0754"/>
    <w:rsid w:val="00DF145A"/>
    <w:rsid w:val="00DF2394"/>
    <w:rsid w:val="00DF30F7"/>
    <w:rsid w:val="00DF31CB"/>
    <w:rsid w:val="00DF50DB"/>
    <w:rsid w:val="00DF7815"/>
    <w:rsid w:val="00E00016"/>
    <w:rsid w:val="00E0023D"/>
    <w:rsid w:val="00E00C8E"/>
    <w:rsid w:val="00E01F4D"/>
    <w:rsid w:val="00E02E78"/>
    <w:rsid w:val="00E044BD"/>
    <w:rsid w:val="00E04568"/>
    <w:rsid w:val="00E06389"/>
    <w:rsid w:val="00E06766"/>
    <w:rsid w:val="00E06DE3"/>
    <w:rsid w:val="00E06E38"/>
    <w:rsid w:val="00E076DF"/>
    <w:rsid w:val="00E078F3"/>
    <w:rsid w:val="00E12C24"/>
    <w:rsid w:val="00E15C78"/>
    <w:rsid w:val="00E16A33"/>
    <w:rsid w:val="00E20251"/>
    <w:rsid w:val="00E21372"/>
    <w:rsid w:val="00E218BC"/>
    <w:rsid w:val="00E23EEF"/>
    <w:rsid w:val="00E25279"/>
    <w:rsid w:val="00E25D7A"/>
    <w:rsid w:val="00E262AF"/>
    <w:rsid w:val="00E27631"/>
    <w:rsid w:val="00E27F92"/>
    <w:rsid w:val="00E3154E"/>
    <w:rsid w:val="00E32E6D"/>
    <w:rsid w:val="00E32F78"/>
    <w:rsid w:val="00E331D6"/>
    <w:rsid w:val="00E33753"/>
    <w:rsid w:val="00E3480C"/>
    <w:rsid w:val="00E36ADA"/>
    <w:rsid w:val="00E36E4E"/>
    <w:rsid w:val="00E379E3"/>
    <w:rsid w:val="00E37E2D"/>
    <w:rsid w:val="00E40726"/>
    <w:rsid w:val="00E40731"/>
    <w:rsid w:val="00E40B08"/>
    <w:rsid w:val="00E433F9"/>
    <w:rsid w:val="00E44E60"/>
    <w:rsid w:val="00E456DA"/>
    <w:rsid w:val="00E4643E"/>
    <w:rsid w:val="00E4799C"/>
    <w:rsid w:val="00E47BD6"/>
    <w:rsid w:val="00E50653"/>
    <w:rsid w:val="00E50FE9"/>
    <w:rsid w:val="00E52D40"/>
    <w:rsid w:val="00E52DB0"/>
    <w:rsid w:val="00E54881"/>
    <w:rsid w:val="00E54900"/>
    <w:rsid w:val="00E57808"/>
    <w:rsid w:val="00E60257"/>
    <w:rsid w:val="00E621D9"/>
    <w:rsid w:val="00E6245B"/>
    <w:rsid w:val="00E6267C"/>
    <w:rsid w:val="00E63C2B"/>
    <w:rsid w:val="00E646E2"/>
    <w:rsid w:val="00E6484C"/>
    <w:rsid w:val="00E6687B"/>
    <w:rsid w:val="00E67EE3"/>
    <w:rsid w:val="00E71FA8"/>
    <w:rsid w:val="00E73929"/>
    <w:rsid w:val="00E7407C"/>
    <w:rsid w:val="00E74429"/>
    <w:rsid w:val="00E747A3"/>
    <w:rsid w:val="00E75FA2"/>
    <w:rsid w:val="00E76966"/>
    <w:rsid w:val="00E77186"/>
    <w:rsid w:val="00E77AB3"/>
    <w:rsid w:val="00E77D79"/>
    <w:rsid w:val="00E80AC8"/>
    <w:rsid w:val="00E8339C"/>
    <w:rsid w:val="00E83914"/>
    <w:rsid w:val="00E83B1E"/>
    <w:rsid w:val="00E859DE"/>
    <w:rsid w:val="00E85D4F"/>
    <w:rsid w:val="00E86622"/>
    <w:rsid w:val="00E876C2"/>
    <w:rsid w:val="00E90881"/>
    <w:rsid w:val="00E90A37"/>
    <w:rsid w:val="00E90D9F"/>
    <w:rsid w:val="00E912D7"/>
    <w:rsid w:val="00E93BAA"/>
    <w:rsid w:val="00E944F0"/>
    <w:rsid w:val="00E94C4F"/>
    <w:rsid w:val="00E9585B"/>
    <w:rsid w:val="00E959BE"/>
    <w:rsid w:val="00E96940"/>
    <w:rsid w:val="00E96E5E"/>
    <w:rsid w:val="00E96F61"/>
    <w:rsid w:val="00EA3305"/>
    <w:rsid w:val="00EA3C9D"/>
    <w:rsid w:val="00EA3E20"/>
    <w:rsid w:val="00EA51D7"/>
    <w:rsid w:val="00EA5410"/>
    <w:rsid w:val="00EA6588"/>
    <w:rsid w:val="00EA66C2"/>
    <w:rsid w:val="00EA7A06"/>
    <w:rsid w:val="00EB0B9D"/>
    <w:rsid w:val="00EB0E01"/>
    <w:rsid w:val="00EB3568"/>
    <w:rsid w:val="00EB3B48"/>
    <w:rsid w:val="00EB67F3"/>
    <w:rsid w:val="00EB6D93"/>
    <w:rsid w:val="00EC04C2"/>
    <w:rsid w:val="00EC0CA3"/>
    <w:rsid w:val="00EC2420"/>
    <w:rsid w:val="00EC2510"/>
    <w:rsid w:val="00EC453C"/>
    <w:rsid w:val="00EC4834"/>
    <w:rsid w:val="00EC49C8"/>
    <w:rsid w:val="00EC5EA9"/>
    <w:rsid w:val="00EC5F9E"/>
    <w:rsid w:val="00EC68A2"/>
    <w:rsid w:val="00EC7C44"/>
    <w:rsid w:val="00ED002D"/>
    <w:rsid w:val="00ED03F8"/>
    <w:rsid w:val="00ED065E"/>
    <w:rsid w:val="00ED0E01"/>
    <w:rsid w:val="00ED1452"/>
    <w:rsid w:val="00ED2ABE"/>
    <w:rsid w:val="00ED447D"/>
    <w:rsid w:val="00ED4D58"/>
    <w:rsid w:val="00ED664E"/>
    <w:rsid w:val="00ED6881"/>
    <w:rsid w:val="00ED7F23"/>
    <w:rsid w:val="00EE0442"/>
    <w:rsid w:val="00EE0D9E"/>
    <w:rsid w:val="00EE108A"/>
    <w:rsid w:val="00EE15D9"/>
    <w:rsid w:val="00EE2F33"/>
    <w:rsid w:val="00EE4AF3"/>
    <w:rsid w:val="00EE508E"/>
    <w:rsid w:val="00EE5E37"/>
    <w:rsid w:val="00EE74A8"/>
    <w:rsid w:val="00EE75ED"/>
    <w:rsid w:val="00EE774F"/>
    <w:rsid w:val="00EF0030"/>
    <w:rsid w:val="00EF02FB"/>
    <w:rsid w:val="00EF12C5"/>
    <w:rsid w:val="00EF1E84"/>
    <w:rsid w:val="00EF25A9"/>
    <w:rsid w:val="00EF2A18"/>
    <w:rsid w:val="00EF3350"/>
    <w:rsid w:val="00EF3F98"/>
    <w:rsid w:val="00EF4D90"/>
    <w:rsid w:val="00EF4DCC"/>
    <w:rsid w:val="00EF4FAA"/>
    <w:rsid w:val="00EF7605"/>
    <w:rsid w:val="00EF8C82"/>
    <w:rsid w:val="00F008A2"/>
    <w:rsid w:val="00F0172C"/>
    <w:rsid w:val="00F04C0B"/>
    <w:rsid w:val="00F06296"/>
    <w:rsid w:val="00F07341"/>
    <w:rsid w:val="00F122FE"/>
    <w:rsid w:val="00F12464"/>
    <w:rsid w:val="00F142C6"/>
    <w:rsid w:val="00F1648A"/>
    <w:rsid w:val="00F17452"/>
    <w:rsid w:val="00F176AA"/>
    <w:rsid w:val="00F17B28"/>
    <w:rsid w:val="00F20105"/>
    <w:rsid w:val="00F201E2"/>
    <w:rsid w:val="00F2020B"/>
    <w:rsid w:val="00F207B7"/>
    <w:rsid w:val="00F21EA8"/>
    <w:rsid w:val="00F22EBC"/>
    <w:rsid w:val="00F23766"/>
    <w:rsid w:val="00F24B1E"/>
    <w:rsid w:val="00F26F0C"/>
    <w:rsid w:val="00F26FFE"/>
    <w:rsid w:val="00F30822"/>
    <w:rsid w:val="00F308C4"/>
    <w:rsid w:val="00F31C5E"/>
    <w:rsid w:val="00F32D3F"/>
    <w:rsid w:val="00F35133"/>
    <w:rsid w:val="00F35D69"/>
    <w:rsid w:val="00F37930"/>
    <w:rsid w:val="00F40560"/>
    <w:rsid w:val="00F41422"/>
    <w:rsid w:val="00F417F8"/>
    <w:rsid w:val="00F42BFF"/>
    <w:rsid w:val="00F435ED"/>
    <w:rsid w:val="00F441EF"/>
    <w:rsid w:val="00F4548E"/>
    <w:rsid w:val="00F45845"/>
    <w:rsid w:val="00F45B99"/>
    <w:rsid w:val="00F46209"/>
    <w:rsid w:val="00F46591"/>
    <w:rsid w:val="00F46CB3"/>
    <w:rsid w:val="00F5083E"/>
    <w:rsid w:val="00F52186"/>
    <w:rsid w:val="00F5272C"/>
    <w:rsid w:val="00F52D41"/>
    <w:rsid w:val="00F5388D"/>
    <w:rsid w:val="00F54113"/>
    <w:rsid w:val="00F5478B"/>
    <w:rsid w:val="00F56675"/>
    <w:rsid w:val="00F57249"/>
    <w:rsid w:val="00F603F5"/>
    <w:rsid w:val="00F6186A"/>
    <w:rsid w:val="00F64A24"/>
    <w:rsid w:val="00F64D08"/>
    <w:rsid w:val="00F659CF"/>
    <w:rsid w:val="00F65CB1"/>
    <w:rsid w:val="00F67716"/>
    <w:rsid w:val="00F720E7"/>
    <w:rsid w:val="00F733CC"/>
    <w:rsid w:val="00F74473"/>
    <w:rsid w:val="00F74BD6"/>
    <w:rsid w:val="00F752C6"/>
    <w:rsid w:val="00F75545"/>
    <w:rsid w:val="00F764C6"/>
    <w:rsid w:val="00F76BD9"/>
    <w:rsid w:val="00F77554"/>
    <w:rsid w:val="00F77BD5"/>
    <w:rsid w:val="00F800B9"/>
    <w:rsid w:val="00F804B7"/>
    <w:rsid w:val="00F81BB6"/>
    <w:rsid w:val="00F826DB"/>
    <w:rsid w:val="00F82BBB"/>
    <w:rsid w:val="00F83342"/>
    <w:rsid w:val="00F83BDC"/>
    <w:rsid w:val="00F83CA0"/>
    <w:rsid w:val="00F84B3E"/>
    <w:rsid w:val="00F85033"/>
    <w:rsid w:val="00F85D35"/>
    <w:rsid w:val="00F87398"/>
    <w:rsid w:val="00F87B41"/>
    <w:rsid w:val="00F90508"/>
    <w:rsid w:val="00F909A9"/>
    <w:rsid w:val="00F91308"/>
    <w:rsid w:val="00F91BDE"/>
    <w:rsid w:val="00F92484"/>
    <w:rsid w:val="00F942B0"/>
    <w:rsid w:val="00F959D6"/>
    <w:rsid w:val="00F963F9"/>
    <w:rsid w:val="00F9756E"/>
    <w:rsid w:val="00FA0812"/>
    <w:rsid w:val="00FA11D3"/>
    <w:rsid w:val="00FA2B22"/>
    <w:rsid w:val="00FA7FCE"/>
    <w:rsid w:val="00FB0597"/>
    <w:rsid w:val="00FB13AB"/>
    <w:rsid w:val="00FB15DA"/>
    <w:rsid w:val="00FB2031"/>
    <w:rsid w:val="00FB2D70"/>
    <w:rsid w:val="00FB2E1F"/>
    <w:rsid w:val="00FB376E"/>
    <w:rsid w:val="00FB3BCB"/>
    <w:rsid w:val="00FB586C"/>
    <w:rsid w:val="00FB5EF5"/>
    <w:rsid w:val="00FB65D4"/>
    <w:rsid w:val="00FB75F5"/>
    <w:rsid w:val="00FB7A1C"/>
    <w:rsid w:val="00FB7B97"/>
    <w:rsid w:val="00FC0D7B"/>
    <w:rsid w:val="00FC1EE3"/>
    <w:rsid w:val="00FC302C"/>
    <w:rsid w:val="00FC51D6"/>
    <w:rsid w:val="00FC5749"/>
    <w:rsid w:val="00FC70DC"/>
    <w:rsid w:val="00FC733A"/>
    <w:rsid w:val="00FD083D"/>
    <w:rsid w:val="00FD0887"/>
    <w:rsid w:val="00FD0E8E"/>
    <w:rsid w:val="00FD1C26"/>
    <w:rsid w:val="00FD2183"/>
    <w:rsid w:val="00FD2D2E"/>
    <w:rsid w:val="00FD482D"/>
    <w:rsid w:val="00FD5179"/>
    <w:rsid w:val="00FD6B14"/>
    <w:rsid w:val="00FD7EA3"/>
    <w:rsid w:val="00FE292F"/>
    <w:rsid w:val="00FE3DE7"/>
    <w:rsid w:val="00FE4E6A"/>
    <w:rsid w:val="00FE52D7"/>
    <w:rsid w:val="00FE5463"/>
    <w:rsid w:val="00FE7C2A"/>
    <w:rsid w:val="00FE7CA9"/>
    <w:rsid w:val="00FF02BF"/>
    <w:rsid w:val="00FF0801"/>
    <w:rsid w:val="00FF1CFE"/>
    <w:rsid w:val="00FF3C93"/>
    <w:rsid w:val="00FF5205"/>
    <w:rsid w:val="00FF7FFC"/>
    <w:rsid w:val="0109147B"/>
    <w:rsid w:val="0135CCE8"/>
    <w:rsid w:val="01747555"/>
    <w:rsid w:val="017FEA37"/>
    <w:rsid w:val="01BCBEA0"/>
    <w:rsid w:val="01E837BE"/>
    <w:rsid w:val="0202159D"/>
    <w:rsid w:val="020249F7"/>
    <w:rsid w:val="02042247"/>
    <w:rsid w:val="0239E55D"/>
    <w:rsid w:val="023F25A5"/>
    <w:rsid w:val="02408A3E"/>
    <w:rsid w:val="0255ED54"/>
    <w:rsid w:val="02637310"/>
    <w:rsid w:val="02682EEF"/>
    <w:rsid w:val="02821BC9"/>
    <w:rsid w:val="028DF26C"/>
    <w:rsid w:val="02B995CB"/>
    <w:rsid w:val="02C535F5"/>
    <w:rsid w:val="02DCCC6A"/>
    <w:rsid w:val="02DD2543"/>
    <w:rsid w:val="02DE281D"/>
    <w:rsid w:val="02EA4A13"/>
    <w:rsid w:val="030595D5"/>
    <w:rsid w:val="030F60B5"/>
    <w:rsid w:val="036FCFDA"/>
    <w:rsid w:val="037F38D1"/>
    <w:rsid w:val="03915C3D"/>
    <w:rsid w:val="03AC7C52"/>
    <w:rsid w:val="03AE008A"/>
    <w:rsid w:val="03B1FE36"/>
    <w:rsid w:val="03B6E443"/>
    <w:rsid w:val="03BE31A7"/>
    <w:rsid w:val="03DD6358"/>
    <w:rsid w:val="03E21177"/>
    <w:rsid w:val="03E42E7D"/>
    <w:rsid w:val="0415C7CA"/>
    <w:rsid w:val="04487F11"/>
    <w:rsid w:val="0466DF31"/>
    <w:rsid w:val="04858FCB"/>
    <w:rsid w:val="04A01FBE"/>
    <w:rsid w:val="04A7EA9F"/>
    <w:rsid w:val="04AE92F8"/>
    <w:rsid w:val="04B17A7D"/>
    <w:rsid w:val="04B2D033"/>
    <w:rsid w:val="04B362CC"/>
    <w:rsid w:val="04CA582B"/>
    <w:rsid w:val="04F40AA1"/>
    <w:rsid w:val="05022983"/>
    <w:rsid w:val="0508A2A1"/>
    <w:rsid w:val="0514BC71"/>
    <w:rsid w:val="05303ADB"/>
    <w:rsid w:val="055A0785"/>
    <w:rsid w:val="055FAB7E"/>
    <w:rsid w:val="058CEFE1"/>
    <w:rsid w:val="059AA02D"/>
    <w:rsid w:val="05C4296B"/>
    <w:rsid w:val="05E7B0CF"/>
    <w:rsid w:val="06216714"/>
    <w:rsid w:val="0661C86D"/>
    <w:rsid w:val="066716AE"/>
    <w:rsid w:val="069978E7"/>
    <w:rsid w:val="06A4469D"/>
    <w:rsid w:val="06A67FDF"/>
    <w:rsid w:val="06A98BE4"/>
    <w:rsid w:val="06B3A120"/>
    <w:rsid w:val="06D77AED"/>
    <w:rsid w:val="06DD2CEF"/>
    <w:rsid w:val="06EA6FE7"/>
    <w:rsid w:val="06EBDD62"/>
    <w:rsid w:val="07149978"/>
    <w:rsid w:val="07151013"/>
    <w:rsid w:val="075D674F"/>
    <w:rsid w:val="0779E4EE"/>
    <w:rsid w:val="0788F377"/>
    <w:rsid w:val="07B9328B"/>
    <w:rsid w:val="07F0820F"/>
    <w:rsid w:val="0806308D"/>
    <w:rsid w:val="080E539C"/>
    <w:rsid w:val="081AE2E6"/>
    <w:rsid w:val="083C6605"/>
    <w:rsid w:val="083ED033"/>
    <w:rsid w:val="0843A2EE"/>
    <w:rsid w:val="0850DBBC"/>
    <w:rsid w:val="0856F140"/>
    <w:rsid w:val="086E95E2"/>
    <w:rsid w:val="0898C29D"/>
    <w:rsid w:val="08A4B7EF"/>
    <w:rsid w:val="08CC7981"/>
    <w:rsid w:val="08CD0EFA"/>
    <w:rsid w:val="08D1FB01"/>
    <w:rsid w:val="08DCDC0E"/>
    <w:rsid w:val="08F39CE7"/>
    <w:rsid w:val="08FD70D0"/>
    <w:rsid w:val="0907C372"/>
    <w:rsid w:val="091AA3D8"/>
    <w:rsid w:val="092A70D4"/>
    <w:rsid w:val="09367713"/>
    <w:rsid w:val="0943B615"/>
    <w:rsid w:val="095DB826"/>
    <w:rsid w:val="095E27C9"/>
    <w:rsid w:val="099F44AC"/>
    <w:rsid w:val="09A5B539"/>
    <w:rsid w:val="09AD8055"/>
    <w:rsid w:val="09BC2C6E"/>
    <w:rsid w:val="09BC5C88"/>
    <w:rsid w:val="09BE6773"/>
    <w:rsid w:val="09C69CEE"/>
    <w:rsid w:val="0A14D15A"/>
    <w:rsid w:val="0A1A47D2"/>
    <w:rsid w:val="0A293D78"/>
    <w:rsid w:val="0A83C78C"/>
    <w:rsid w:val="0A96EB3A"/>
    <w:rsid w:val="0AAF42A3"/>
    <w:rsid w:val="0AB6324D"/>
    <w:rsid w:val="0AC506CF"/>
    <w:rsid w:val="0B07233F"/>
    <w:rsid w:val="0B18DB27"/>
    <w:rsid w:val="0B277AF9"/>
    <w:rsid w:val="0B2FC0CC"/>
    <w:rsid w:val="0B531C19"/>
    <w:rsid w:val="0B710FA3"/>
    <w:rsid w:val="0B74FD11"/>
    <w:rsid w:val="0B884595"/>
    <w:rsid w:val="0BB1C4BF"/>
    <w:rsid w:val="0BB4613E"/>
    <w:rsid w:val="0BBA1AC3"/>
    <w:rsid w:val="0BBC4FE4"/>
    <w:rsid w:val="0BDF3716"/>
    <w:rsid w:val="0BEB437E"/>
    <w:rsid w:val="0BF29110"/>
    <w:rsid w:val="0BF3B7A1"/>
    <w:rsid w:val="0C02BF32"/>
    <w:rsid w:val="0C46D3A5"/>
    <w:rsid w:val="0C4FA4B1"/>
    <w:rsid w:val="0C50FA00"/>
    <w:rsid w:val="0C871CFC"/>
    <w:rsid w:val="0C87AA33"/>
    <w:rsid w:val="0C8B8DB7"/>
    <w:rsid w:val="0C92449D"/>
    <w:rsid w:val="0CDB931A"/>
    <w:rsid w:val="0CEBBCCC"/>
    <w:rsid w:val="0CFA3453"/>
    <w:rsid w:val="0D0C6386"/>
    <w:rsid w:val="0D19FC58"/>
    <w:rsid w:val="0D3068D3"/>
    <w:rsid w:val="0D30D1B0"/>
    <w:rsid w:val="0D39133D"/>
    <w:rsid w:val="0D53C514"/>
    <w:rsid w:val="0D639A26"/>
    <w:rsid w:val="0D782A85"/>
    <w:rsid w:val="0D91E16C"/>
    <w:rsid w:val="0DAC7EE2"/>
    <w:rsid w:val="0DE38B64"/>
    <w:rsid w:val="0DFB4603"/>
    <w:rsid w:val="0DFB5F10"/>
    <w:rsid w:val="0E04D492"/>
    <w:rsid w:val="0E2F7570"/>
    <w:rsid w:val="0E512165"/>
    <w:rsid w:val="0E5DDCC6"/>
    <w:rsid w:val="0E60D5CA"/>
    <w:rsid w:val="0E62C4D7"/>
    <w:rsid w:val="0E677BC8"/>
    <w:rsid w:val="0E7615CF"/>
    <w:rsid w:val="0E81D385"/>
    <w:rsid w:val="0E867678"/>
    <w:rsid w:val="0E86A912"/>
    <w:rsid w:val="0E95FCD3"/>
    <w:rsid w:val="0F000754"/>
    <w:rsid w:val="0F0625F9"/>
    <w:rsid w:val="0F0A5985"/>
    <w:rsid w:val="0F124865"/>
    <w:rsid w:val="0F1CED09"/>
    <w:rsid w:val="0F1E71A1"/>
    <w:rsid w:val="0F2EDC28"/>
    <w:rsid w:val="0F388F01"/>
    <w:rsid w:val="0F4967D6"/>
    <w:rsid w:val="0F5B6936"/>
    <w:rsid w:val="0F5E03F2"/>
    <w:rsid w:val="0F85B740"/>
    <w:rsid w:val="0F8711A9"/>
    <w:rsid w:val="0FA343C5"/>
    <w:rsid w:val="0FAA7828"/>
    <w:rsid w:val="0FC1B9CA"/>
    <w:rsid w:val="0FCC6F06"/>
    <w:rsid w:val="102C2E35"/>
    <w:rsid w:val="1033276D"/>
    <w:rsid w:val="10391402"/>
    <w:rsid w:val="1039852F"/>
    <w:rsid w:val="103B3E8F"/>
    <w:rsid w:val="10479C34"/>
    <w:rsid w:val="104BC0E4"/>
    <w:rsid w:val="107277DC"/>
    <w:rsid w:val="107F326B"/>
    <w:rsid w:val="1083721F"/>
    <w:rsid w:val="10847E10"/>
    <w:rsid w:val="10AC03DF"/>
    <w:rsid w:val="10B078CC"/>
    <w:rsid w:val="10D82167"/>
    <w:rsid w:val="10F1D5E7"/>
    <w:rsid w:val="10F2AD7D"/>
    <w:rsid w:val="11255A9C"/>
    <w:rsid w:val="11313991"/>
    <w:rsid w:val="113B37CC"/>
    <w:rsid w:val="116796AA"/>
    <w:rsid w:val="116A46E6"/>
    <w:rsid w:val="116C964E"/>
    <w:rsid w:val="11721E65"/>
    <w:rsid w:val="11819915"/>
    <w:rsid w:val="118F4E2F"/>
    <w:rsid w:val="11A557E7"/>
    <w:rsid w:val="11AB9E39"/>
    <w:rsid w:val="11D19FDC"/>
    <w:rsid w:val="11D46D98"/>
    <w:rsid w:val="11E31FEB"/>
    <w:rsid w:val="1234E9DF"/>
    <w:rsid w:val="124B012F"/>
    <w:rsid w:val="1256F192"/>
    <w:rsid w:val="12572875"/>
    <w:rsid w:val="12850061"/>
    <w:rsid w:val="129BEAFE"/>
    <w:rsid w:val="12A85191"/>
    <w:rsid w:val="12AD0FD9"/>
    <w:rsid w:val="12B723FB"/>
    <w:rsid w:val="12BE5B56"/>
    <w:rsid w:val="12D3B789"/>
    <w:rsid w:val="12E32425"/>
    <w:rsid w:val="1308D93C"/>
    <w:rsid w:val="13142421"/>
    <w:rsid w:val="13158BBF"/>
    <w:rsid w:val="132423C2"/>
    <w:rsid w:val="13347168"/>
    <w:rsid w:val="1337B147"/>
    <w:rsid w:val="135ADD2D"/>
    <w:rsid w:val="136E00A5"/>
    <w:rsid w:val="137F6068"/>
    <w:rsid w:val="138891EA"/>
    <w:rsid w:val="1389319C"/>
    <w:rsid w:val="138FDBD2"/>
    <w:rsid w:val="13DDBABC"/>
    <w:rsid w:val="13E55F48"/>
    <w:rsid w:val="13EDFCF6"/>
    <w:rsid w:val="13F9348D"/>
    <w:rsid w:val="140136EF"/>
    <w:rsid w:val="141C463A"/>
    <w:rsid w:val="1423D753"/>
    <w:rsid w:val="14324C97"/>
    <w:rsid w:val="143B9B0B"/>
    <w:rsid w:val="1447528A"/>
    <w:rsid w:val="145B3538"/>
    <w:rsid w:val="148B40E8"/>
    <w:rsid w:val="14A0E54B"/>
    <w:rsid w:val="14A11501"/>
    <w:rsid w:val="14BA9FEB"/>
    <w:rsid w:val="14CE3E84"/>
    <w:rsid w:val="14CEBDF9"/>
    <w:rsid w:val="14E006D5"/>
    <w:rsid w:val="14EE3ABE"/>
    <w:rsid w:val="14FD6BBF"/>
    <w:rsid w:val="150DCE3C"/>
    <w:rsid w:val="151AA554"/>
    <w:rsid w:val="15320F86"/>
    <w:rsid w:val="1538C8DA"/>
    <w:rsid w:val="1542726D"/>
    <w:rsid w:val="156CE222"/>
    <w:rsid w:val="15755717"/>
    <w:rsid w:val="157D03DB"/>
    <w:rsid w:val="1585B232"/>
    <w:rsid w:val="1589F1AC"/>
    <w:rsid w:val="159D2FAB"/>
    <w:rsid w:val="15A476ED"/>
    <w:rsid w:val="15BC09C3"/>
    <w:rsid w:val="15CA88C2"/>
    <w:rsid w:val="15D2557B"/>
    <w:rsid w:val="15DAB65A"/>
    <w:rsid w:val="15DC5D9E"/>
    <w:rsid w:val="1621EBA5"/>
    <w:rsid w:val="162E747F"/>
    <w:rsid w:val="162F190E"/>
    <w:rsid w:val="1636FD49"/>
    <w:rsid w:val="164D6224"/>
    <w:rsid w:val="16593CE0"/>
    <w:rsid w:val="1664E26A"/>
    <w:rsid w:val="1683CF70"/>
    <w:rsid w:val="16A72494"/>
    <w:rsid w:val="16B91528"/>
    <w:rsid w:val="16C32418"/>
    <w:rsid w:val="16D5CB70"/>
    <w:rsid w:val="16E3DC14"/>
    <w:rsid w:val="16E6892A"/>
    <w:rsid w:val="17005A4D"/>
    <w:rsid w:val="1701B898"/>
    <w:rsid w:val="1706A52C"/>
    <w:rsid w:val="1706E57C"/>
    <w:rsid w:val="17152A06"/>
    <w:rsid w:val="1724B584"/>
    <w:rsid w:val="172FF600"/>
    <w:rsid w:val="173552AB"/>
    <w:rsid w:val="17419FD5"/>
    <w:rsid w:val="174E89BD"/>
    <w:rsid w:val="17A3FDA4"/>
    <w:rsid w:val="17AB9CD4"/>
    <w:rsid w:val="17C411E0"/>
    <w:rsid w:val="17D151A1"/>
    <w:rsid w:val="17E5FAE7"/>
    <w:rsid w:val="180B06EC"/>
    <w:rsid w:val="1816C2F2"/>
    <w:rsid w:val="181B5B86"/>
    <w:rsid w:val="182097D3"/>
    <w:rsid w:val="1827B915"/>
    <w:rsid w:val="182A32A1"/>
    <w:rsid w:val="182E30E6"/>
    <w:rsid w:val="1831FBBC"/>
    <w:rsid w:val="183F5419"/>
    <w:rsid w:val="184544B7"/>
    <w:rsid w:val="18496DE1"/>
    <w:rsid w:val="18524DC0"/>
    <w:rsid w:val="186A20D5"/>
    <w:rsid w:val="187A6B95"/>
    <w:rsid w:val="187AFE24"/>
    <w:rsid w:val="1893A2CF"/>
    <w:rsid w:val="189E8631"/>
    <w:rsid w:val="18A7584B"/>
    <w:rsid w:val="18AF3A3E"/>
    <w:rsid w:val="18D56528"/>
    <w:rsid w:val="18F16281"/>
    <w:rsid w:val="190B6D99"/>
    <w:rsid w:val="19233C5C"/>
    <w:rsid w:val="1926471B"/>
    <w:rsid w:val="1945ADD6"/>
    <w:rsid w:val="19532767"/>
    <w:rsid w:val="1957E55C"/>
    <w:rsid w:val="19605929"/>
    <w:rsid w:val="19675B01"/>
    <w:rsid w:val="197681E6"/>
    <w:rsid w:val="197BB0D9"/>
    <w:rsid w:val="198B950B"/>
    <w:rsid w:val="199A0FC0"/>
    <w:rsid w:val="19A7B32F"/>
    <w:rsid w:val="19AB32B8"/>
    <w:rsid w:val="19C18FED"/>
    <w:rsid w:val="19C77B7A"/>
    <w:rsid w:val="19C78871"/>
    <w:rsid w:val="19E5EDE6"/>
    <w:rsid w:val="19EA03D0"/>
    <w:rsid w:val="19F0344D"/>
    <w:rsid w:val="1A0D505E"/>
    <w:rsid w:val="1A2432E3"/>
    <w:rsid w:val="1A355723"/>
    <w:rsid w:val="1A48EDB1"/>
    <w:rsid w:val="1A498CE1"/>
    <w:rsid w:val="1A4D8A75"/>
    <w:rsid w:val="1A5929C5"/>
    <w:rsid w:val="1A974D50"/>
    <w:rsid w:val="1AA00E65"/>
    <w:rsid w:val="1AC9C8E0"/>
    <w:rsid w:val="1AD57CA3"/>
    <w:rsid w:val="1AE98539"/>
    <w:rsid w:val="1AEC075F"/>
    <w:rsid w:val="1AF098C8"/>
    <w:rsid w:val="1B0F17A1"/>
    <w:rsid w:val="1B1DDA9E"/>
    <w:rsid w:val="1B2CF67C"/>
    <w:rsid w:val="1B4C6A94"/>
    <w:rsid w:val="1B93D800"/>
    <w:rsid w:val="1B96619A"/>
    <w:rsid w:val="1BAF5D42"/>
    <w:rsid w:val="1BAF600D"/>
    <w:rsid w:val="1BD2D5A4"/>
    <w:rsid w:val="1BDC403C"/>
    <w:rsid w:val="1BE365D4"/>
    <w:rsid w:val="1BE8420C"/>
    <w:rsid w:val="1C1126CB"/>
    <w:rsid w:val="1C23F4DA"/>
    <w:rsid w:val="1C383E44"/>
    <w:rsid w:val="1C4C3276"/>
    <w:rsid w:val="1C753A64"/>
    <w:rsid w:val="1C7A5F23"/>
    <w:rsid w:val="1C809F32"/>
    <w:rsid w:val="1C82D70F"/>
    <w:rsid w:val="1CB4F4DC"/>
    <w:rsid w:val="1CC32DF6"/>
    <w:rsid w:val="1CD30EC7"/>
    <w:rsid w:val="1CD64935"/>
    <w:rsid w:val="1CDC3AB8"/>
    <w:rsid w:val="1CEDF67F"/>
    <w:rsid w:val="1D1AE78F"/>
    <w:rsid w:val="1D402A39"/>
    <w:rsid w:val="1D57A453"/>
    <w:rsid w:val="1D6977EB"/>
    <w:rsid w:val="1D78C1D1"/>
    <w:rsid w:val="1D78EE06"/>
    <w:rsid w:val="1D983E01"/>
    <w:rsid w:val="1DAD0BA9"/>
    <w:rsid w:val="1DADFB75"/>
    <w:rsid w:val="1DC24AE7"/>
    <w:rsid w:val="1DC8B0BB"/>
    <w:rsid w:val="1DCBE268"/>
    <w:rsid w:val="1DD9BE70"/>
    <w:rsid w:val="1DDC90B8"/>
    <w:rsid w:val="1E0E0D20"/>
    <w:rsid w:val="1E21B81A"/>
    <w:rsid w:val="1E22751A"/>
    <w:rsid w:val="1E25CAD6"/>
    <w:rsid w:val="1E2B8859"/>
    <w:rsid w:val="1E867CED"/>
    <w:rsid w:val="1E91D76B"/>
    <w:rsid w:val="1E93F085"/>
    <w:rsid w:val="1F17E887"/>
    <w:rsid w:val="1F34D060"/>
    <w:rsid w:val="1F374A75"/>
    <w:rsid w:val="1F3883DB"/>
    <w:rsid w:val="1F5A3D31"/>
    <w:rsid w:val="1F5D4DCB"/>
    <w:rsid w:val="1F936AF8"/>
    <w:rsid w:val="1F9EA4AD"/>
    <w:rsid w:val="1FA5F180"/>
    <w:rsid w:val="1FAE7922"/>
    <w:rsid w:val="1FB098E4"/>
    <w:rsid w:val="1FB3F83C"/>
    <w:rsid w:val="1FB5B4E6"/>
    <w:rsid w:val="1FB6D58E"/>
    <w:rsid w:val="1FC233AA"/>
    <w:rsid w:val="1FDFD198"/>
    <w:rsid w:val="1FE7F352"/>
    <w:rsid w:val="203EB00A"/>
    <w:rsid w:val="2063127D"/>
    <w:rsid w:val="207413AD"/>
    <w:rsid w:val="20798EAC"/>
    <w:rsid w:val="2080C171"/>
    <w:rsid w:val="20A2066C"/>
    <w:rsid w:val="20C02B55"/>
    <w:rsid w:val="20DAFCAD"/>
    <w:rsid w:val="20E43C2E"/>
    <w:rsid w:val="20E98F16"/>
    <w:rsid w:val="20F60CE1"/>
    <w:rsid w:val="2115A1EE"/>
    <w:rsid w:val="211ACF22"/>
    <w:rsid w:val="211EB19D"/>
    <w:rsid w:val="212C2185"/>
    <w:rsid w:val="2163298F"/>
    <w:rsid w:val="21672891"/>
    <w:rsid w:val="21787867"/>
    <w:rsid w:val="217CD414"/>
    <w:rsid w:val="21865A08"/>
    <w:rsid w:val="21A3887A"/>
    <w:rsid w:val="21B373B1"/>
    <w:rsid w:val="21C94ABA"/>
    <w:rsid w:val="21DF8F0E"/>
    <w:rsid w:val="21EABDB3"/>
    <w:rsid w:val="21F65C09"/>
    <w:rsid w:val="21F79F4E"/>
    <w:rsid w:val="22136174"/>
    <w:rsid w:val="2235813F"/>
    <w:rsid w:val="2241A720"/>
    <w:rsid w:val="22463E0B"/>
    <w:rsid w:val="224CD0A3"/>
    <w:rsid w:val="22538AA3"/>
    <w:rsid w:val="227AD439"/>
    <w:rsid w:val="228A6EE2"/>
    <w:rsid w:val="228F1C46"/>
    <w:rsid w:val="229C91FC"/>
    <w:rsid w:val="22B93949"/>
    <w:rsid w:val="22E748CF"/>
    <w:rsid w:val="22E99246"/>
    <w:rsid w:val="22F131AA"/>
    <w:rsid w:val="230372E3"/>
    <w:rsid w:val="23079F1B"/>
    <w:rsid w:val="23290CF0"/>
    <w:rsid w:val="23356C84"/>
    <w:rsid w:val="234EC65B"/>
    <w:rsid w:val="236BC845"/>
    <w:rsid w:val="23814EE0"/>
    <w:rsid w:val="23AEDB1D"/>
    <w:rsid w:val="23C0B8AC"/>
    <w:rsid w:val="23C95A95"/>
    <w:rsid w:val="23EF1E00"/>
    <w:rsid w:val="24600F76"/>
    <w:rsid w:val="24627976"/>
    <w:rsid w:val="2493B51F"/>
    <w:rsid w:val="24952312"/>
    <w:rsid w:val="24B47092"/>
    <w:rsid w:val="24C6F507"/>
    <w:rsid w:val="24FA5017"/>
    <w:rsid w:val="2517E1B2"/>
    <w:rsid w:val="251BF9F0"/>
    <w:rsid w:val="255500A5"/>
    <w:rsid w:val="255A1716"/>
    <w:rsid w:val="25659AAD"/>
    <w:rsid w:val="257C0604"/>
    <w:rsid w:val="258255C7"/>
    <w:rsid w:val="258A3CC1"/>
    <w:rsid w:val="259BF716"/>
    <w:rsid w:val="25A9CB6D"/>
    <w:rsid w:val="25F2C202"/>
    <w:rsid w:val="25FC773A"/>
    <w:rsid w:val="260ECDE1"/>
    <w:rsid w:val="2629B07C"/>
    <w:rsid w:val="263C417A"/>
    <w:rsid w:val="26475CEE"/>
    <w:rsid w:val="2673948C"/>
    <w:rsid w:val="268076CD"/>
    <w:rsid w:val="2687076A"/>
    <w:rsid w:val="2690E001"/>
    <w:rsid w:val="26D592BB"/>
    <w:rsid w:val="26E0E7D3"/>
    <w:rsid w:val="26F6DD38"/>
    <w:rsid w:val="2726165A"/>
    <w:rsid w:val="272C883C"/>
    <w:rsid w:val="272DA8F3"/>
    <w:rsid w:val="274568B9"/>
    <w:rsid w:val="2763490A"/>
    <w:rsid w:val="276C0A24"/>
    <w:rsid w:val="2776400F"/>
    <w:rsid w:val="278E8A99"/>
    <w:rsid w:val="27947407"/>
    <w:rsid w:val="27958A63"/>
    <w:rsid w:val="27A449CA"/>
    <w:rsid w:val="27A515B9"/>
    <w:rsid w:val="27E9944D"/>
    <w:rsid w:val="28014626"/>
    <w:rsid w:val="2802A9FF"/>
    <w:rsid w:val="2819DD54"/>
    <w:rsid w:val="28324305"/>
    <w:rsid w:val="2847352B"/>
    <w:rsid w:val="286DB320"/>
    <w:rsid w:val="287AE3B0"/>
    <w:rsid w:val="28828560"/>
    <w:rsid w:val="288F26D8"/>
    <w:rsid w:val="289095C2"/>
    <w:rsid w:val="2891828D"/>
    <w:rsid w:val="289624D3"/>
    <w:rsid w:val="2897942C"/>
    <w:rsid w:val="28A32EDA"/>
    <w:rsid w:val="28B1905A"/>
    <w:rsid w:val="28BEEF93"/>
    <w:rsid w:val="28EC427F"/>
    <w:rsid w:val="2931AFC7"/>
    <w:rsid w:val="2931F6D5"/>
    <w:rsid w:val="295F61CE"/>
    <w:rsid w:val="29813CCF"/>
    <w:rsid w:val="2992432F"/>
    <w:rsid w:val="2995C281"/>
    <w:rsid w:val="29A47AC4"/>
    <w:rsid w:val="29D24AC2"/>
    <w:rsid w:val="2A23746E"/>
    <w:rsid w:val="2A2FC5D2"/>
    <w:rsid w:val="2A432409"/>
    <w:rsid w:val="2A5A532D"/>
    <w:rsid w:val="2A67CBAB"/>
    <w:rsid w:val="2A7A8761"/>
    <w:rsid w:val="2A805758"/>
    <w:rsid w:val="2AAD6735"/>
    <w:rsid w:val="2AB5E7B3"/>
    <w:rsid w:val="2ABD52DF"/>
    <w:rsid w:val="2ADB61B8"/>
    <w:rsid w:val="2AF159BA"/>
    <w:rsid w:val="2B0D348A"/>
    <w:rsid w:val="2B16255A"/>
    <w:rsid w:val="2B1D97A5"/>
    <w:rsid w:val="2B3C5AA1"/>
    <w:rsid w:val="2B3E89F7"/>
    <w:rsid w:val="2B49D71D"/>
    <w:rsid w:val="2B4E8CCD"/>
    <w:rsid w:val="2B5808F3"/>
    <w:rsid w:val="2B6636B4"/>
    <w:rsid w:val="2B6F5AA7"/>
    <w:rsid w:val="2B73D424"/>
    <w:rsid w:val="2B7E1FE6"/>
    <w:rsid w:val="2B88A601"/>
    <w:rsid w:val="2BA216B5"/>
    <w:rsid w:val="2BA85C71"/>
    <w:rsid w:val="2BAA2B99"/>
    <w:rsid w:val="2BCA2F6D"/>
    <w:rsid w:val="2BE95AF3"/>
    <w:rsid w:val="2BE9D741"/>
    <w:rsid w:val="2BEC9379"/>
    <w:rsid w:val="2BF27341"/>
    <w:rsid w:val="2C0C85DB"/>
    <w:rsid w:val="2C179202"/>
    <w:rsid w:val="2C1FAB27"/>
    <w:rsid w:val="2C3C9A2B"/>
    <w:rsid w:val="2C473FDF"/>
    <w:rsid w:val="2C5DA032"/>
    <w:rsid w:val="2C6AA445"/>
    <w:rsid w:val="2C833ED2"/>
    <w:rsid w:val="2C838797"/>
    <w:rsid w:val="2CC29422"/>
    <w:rsid w:val="2CCA95F1"/>
    <w:rsid w:val="2D0B0E65"/>
    <w:rsid w:val="2D148C9B"/>
    <w:rsid w:val="2D219B12"/>
    <w:rsid w:val="2D25798D"/>
    <w:rsid w:val="2D41E92B"/>
    <w:rsid w:val="2D649140"/>
    <w:rsid w:val="2D670E50"/>
    <w:rsid w:val="2D84C880"/>
    <w:rsid w:val="2D861C63"/>
    <w:rsid w:val="2D927DE0"/>
    <w:rsid w:val="2D99F97A"/>
    <w:rsid w:val="2D99FB72"/>
    <w:rsid w:val="2DA8D18A"/>
    <w:rsid w:val="2DACF527"/>
    <w:rsid w:val="2DAF1691"/>
    <w:rsid w:val="2DB99BD9"/>
    <w:rsid w:val="2DCC1041"/>
    <w:rsid w:val="2DED58F8"/>
    <w:rsid w:val="2DF03107"/>
    <w:rsid w:val="2DF964A9"/>
    <w:rsid w:val="2E0856F3"/>
    <w:rsid w:val="2E16252F"/>
    <w:rsid w:val="2E1DAC89"/>
    <w:rsid w:val="2E242673"/>
    <w:rsid w:val="2E3BFF1D"/>
    <w:rsid w:val="2E44F96B"/>
    <w:rsid w:val="2E4CD2EF"/>
    <w:rsid w:val="2E7A4CAE"/>
    <w:rsid w:val="2E831794"/>
    <w:rsid w:val="2E84B568"/>
    <w:rsid w:val="2EAD8072"/>
    <w:rsid w:val="2EB1FB18"/>
    <w:rsid w:val="2EFC0F6F"/>
    <w:rsid w:val="2F13B48F"/>
    <w:rsid w:val="2F54329D"/>
    <w:rsid w:val="2F60A966"/>
    <w:rsid w:val="2F60B81E"/>
    <w:rsid w:val="2F6754BA"/>
    <w:rsid w:val="2F8C0672"/>
    <w:rsid w:val="2FC3BA4A"/>
    <w:rsid w:val="2FD5F4F0"/>
    <w:rsid w:val="2FEC01E4"/>
    <w:rsid w:val="2FF31893"/>
    <w:rsid w:val="2FFB53DA"/>
    <w:rsid w:val="30226601"/>
    <w:rsid w:val="302467C2"/>
    <w:rsid w:val="30297853"/>
    <w:rsid w:val="303539C6"/>
    <w:rsid w:val="3037E60D"/>
    <w:rsid w:val="303A54D9"/>
    <w:rsid w:val="303CC8B0"/>
    <w:rsid w:val="30753E83"/>
    <w:rsid w:val="308794E7"/>
    <w:rsid w:val="30992314"/>
    <w:rsid w:val="30AA8609"/>
    <w:rsid w:val="30B51DB4"/>
    <w:rsid w:val="30BDAA23"/>
    <w:rsid w:val="30C6E40B"/>
    <w:rsid w:val="30DCA088"/>
    <w:rsid w:val="30E413EE"/>
    <w:rsid w:val="31047A91"/>
    <w:rsid w:val="31083EAD"/>
    <w:rsid w:val="310F2BD5"/>
    <w:rsid w:val="311CD57C"/>
    <w:rsid w:val="3137579C"/>
    <w:rsid w:val="3139F139"/>
    <w:rsid w:val="31490D7F"/>
    <w:rsid w:val="3172A7F4"/>
    <w:rsid w:val="3190A4CE"/>
    <w:rsid w:val="3197CCF8"/>
    <w:rsid w:val="31A76850"/>
    <w:rsid w:val="31AD821A"/>
    <w:rsid w:val="31B5B40A"/>
    <w:rsid w:val="31BF9F03"/>
    <w:rsid w:val="31D38A66"/>
    <w:rsid w:val="31DA6A88"/>
    <w:rsid w:val="3224BBF8"/>
    <w:rsid w:val="32258B7B"/>
    <w:rsid w:val="322A1E7B"/>
    <w:rsid w:val="325E58E5"/>
    <w:rsid w:val="32753AC3"/>
    <w:rsid w:val="32908224"/>
    <w:rsid w:val="32B70C27"/>
    <w:rsid w:val="32ED735D"/>
    <w:rsid w:val="331B5C01"/>
    <w:rsid w:val="331E43A8"/>
    <w:rsid w:val="33224946"/>
    <w:rsid w:val="337EB277"/>
    <w:rsid w:val="338C3AE9"/>
    <w:rsid w:val="3393C652"/>
    <w:rsid w:val="339826B4"/>
    <w:rsid w:val="33B6FAB7"/>
    <w:rsid w:val="33C67E65"/>
    <w:rsid w:val="33F27DE8"/>
    <w:rsid w:val="33FA7A9B"/>
    <w:rsid w:val="33FAD89B"/>
    <w:rsid w:val="340D8B13"/>
    <w:rsid w:val="342A70CD"/>
    <w:rsid w:val="345ED3B4"/>
    <w:rsid w:val="348CEA1D"/>
    <w:rsid w:val="348DF9E2"/>
    <w:rsid w:val="34C2CBFF"/>
    <w:rsid w:val="34CDB11A"/>
    <w:rsid w:val="34D47A25"/>
    <w:rsid w:val="34DBB363"/>
    <w:rsid w:val="34DDC942"/>
    <w:rsid w:val="34EB7630"/>
    <w:rsid w:val="350D9CFA"/>
    <w:rsid w:val="3580BDEE"/>
    <w:rsid w:val="35B7DA73"/>
    <w:rsid w:val="35BCD783"/>
    <w:rsid w:val="35CB3C5E"/>
    <w:rsid w:val="35D649C0"/>
    <w:rsid w:val="35D78D43"/>
    <w:rsid w:val="35F93823"/>
    <w:rsid w:val="3629DFC2"/>
    <w:rsid w:val="3637EDBC"/>
    <w:rsid w:val="3647099E"/>
    <w:rsid w:val="368B00D3"/>
    <w:rsid w:val="368E962A"/>
    <w:rsid w:val="36B2A47F"/>
    <w:rsid w:val="36B4EF80"/>
    <w:rsid w:val="36B76471"/>
    <w:rsid w:val="36BC0F3E"/>
    <w:rsid w:val="36BCE9E7"/>
    <w:rsid w:val="36E28AEF"/>
    <w:rsid w:val="3709E4FC"/>
    <w:rsid w:val="3712364E"/>
    <w:rsid w:val="3717D71C"/>
    <w:rsid w:val="37267E47"/>
    <w:rsid w:val="3732F97A"/>
    <w:rsid w:val="374F68FF"/>
    <w:rsid w:val="37516793"/>
    <w:rsid w:val="3763812E"/>
    <w:rsid w:val="37840255"/>
    <w:rsid w:val="378B7400"/>
    <w:rsid w:val="37E3EE2B"/>
    <w:rsid w:val="38091709"/>
    <w:rsid w:val="380EC514"/>
    <w:rsid w:val="3822077D"/>
    <w:rsid w:val="38309D22"/>
    <w:rsid w:val="3831D93F"/>
    <w:rsid w:val="38533BCF"/>
    <w:rsid w:val="38578475"/>
    <w:rsid w:val="386DCD11"/>
    <w:rsid w:val="38826939"/>
    <w:rsid w:val="38872144"/>
    <w:rsid w:val="38F6F29E"/>
    <w:rsid w:val="3903EB8F"/>
    <w:rsid w:val="39052189"/>
    <w:rsid w:val="390C5047"/>
    <w:rsid w:val="393FD660"/>
    <w:rsid w:val="396E9F2B"/>
    <w:rsid w:val="39716224"/>
    <w:rsid w:val="397DB162"/>
    <w:rsid w:val="3985FC3F"/>
    <w:rsid w:val="39B26865"/>
    <w:rsid w:val="39B5DECA"/>
    <w:rsid w:val="39B815B1"/>
    <w:rsid w:val="39D195C1"/>
    <w:rsid w:val="39D8E33D"/>
    <w:rsid w:val="39D9E434"/>
    <w:rsid w:val="39E95055"/>
    <w:rsid w:val="39FCD0F4"/>
    <w:rsid w:val="3A12F242"/>
    <w:rsid w:val="3A1974AD"/>
    <w:rsid w:val="3A405FB8"/>
    <w:rsid w:val="3A48F4B4"/>
    <w:rsid w:val="3A77723E"/>
    <w:rsid w:val="3A8112CA"/>
    <w:rsid w:val="3A854DBD"/>
    <w:rsid w:val="3A934CE1"/>
    <w:rsid w:val="3A956C68"/>
    <w:rsid w:val="3AA92FC4"/>
    <w:rsid w:val="3AB5D254"/>
    <w:rsid w:val="3B388DED"/>
    <w:rsid w:val="3B430189"/>
    <w:rsid w:val="3B5D2CD8"/>
    <w:rsid w:val="3B71232A"/>
    <w:rsid w:val="3B85600A"/>
    <w:rsid w:val="3B9DA597"/>
    <w:rsid w:val="3BC38BB2"/>
    <w:rsid w:val="3BFFFEF5"/>
    <w:rsid w:val="3C1006D2"/>
    <w:rsid w:val="3C1F31D5"/>
    <w:rsid w:val="3C307D1A"/>
    <w:rsid w:val="3C601C31"/>
    <w:rsid w:val="3C8EFA0F"/>
    <w:rsid w:val="3C9E8420"/>
    <w:rsid w:val="3CB7B0DB"/>
    <w:rsid w:val="3D134294"/>
    <w:rsid w:val="3D13808C"/>
    <w:rsid w:val="3D20E5CB"/>
    <w:rsid w:val="3D423A53"/>
    <w:rsid w:val="3D45381D"/>
    <w:rsid w:val="3D483D98"/>
    <w:rsid w:val="3D4BD0AE"/>
    <w:rsid w:val="3D571805"/>
    <w:rsid w:val="3D72AA11"/>
    <w:rsid w:val="3D8A4E8E"/>
    <w:rsid w:val="3D9C6C93"/>
    <w:rsid w:val="3DA92C57"/>
    <w:rsid w:val="3DAB3DF7"/>
    <w:rsid w:val="3DC758ED"/>
    <w:rsid w:val="3DC803E9"/>
    <w:rsid w:val="3DD13B0F"/>
    <w:rsid w:val="3DD3D128"/>
    <w:rsid w:val="3DD75765"/>
    <w:rsid w:val="3DD7C177"/>
    <w:rsid w:val="3DEAA370"/>
    <w:rsid w:val="3DFC41E4"/>
    <w:rsid w:val="3DFD1534"/>
    <w:rsid w:val="3E17248E"/>
    <w:rsid w:val="3E56A1EC"/>
    <w:rsid w:val="3E799B96"/>
    <w:rsid w:val="3E8D7A47"/>
    <w:rsid w:val="3E909CB5"/>
    <w:rsid w:val="3EC95916"/>
    <w:rsid w:val="3ECB8B05"/>
    <w:rsid w:val="3F0015BB"/>
    <w:rsid w:val="3F25C2FB"/>
    <w:rsid w:val="3F2882F9"/>
    <w:rsid w:val="3F2910ED"/>
    <w:rsid w:val="3F35E472"/>
    <w:rsid w:val="3F36BB38"/>
    <w:rsid w:val="3F39260F"/>
    <w:rsid w:val="3F3994DF"/>
    <w:rsid w:val="3F4E0E51"/>
    <w:rsid w:val="3F5EFA29"/>
    <w:rsid w:val="3F625DED"/>
    <w:rsid w:val="3F7FD901"/>
    <w:rsid w:val="3FA4B65B"/>
    <w:rsid w:val="3FC119C4"/>
    <w:rsid w:val="3FD4C324"/>
    <w:rsid w:val="3FE7F4A4"/>
    <w:rsid w:val="3FF22A1F"/>
    <w:rsid w:val="401618AA"/>
    <w:rsid w:val="4018DEA1"/>
    <w:rsid w:val="4020B09C"/>
    <w:rsid w:val="402DF201"/>
    <w:rsid w:val="404937A5"/>
    <w:rsid w:val="40797573"/>
    <w:rsid w:val="407C2935"/>
    <w:rsid w:val="408257AB"/>
    <w:rsid w:val="40905B84"/>
    <w:rsid w:val="40A22C6E"/>
    <w:rsid w:val="40B9FF07"/>
    <w:rsid w:val="40BBD0D6"/>
    <w:rsid w:val="40BCD627"/>
    <w:rsid w:val="40D27601"/>
    <w:rsid w:val="40DBFC6D"/>
    <w:rsid w:val="410815A7"/>
    <w:rsid w:val="41269F4E"/>
    <w:rsid w:val="41317B91"/>
    <w:rsid w:val="414AEC91"/>
    <w:rsid w:val="416E968B"/>
    <w:rsid w:val="417399C8"/>
    <w:rsid w:val="41AF4AAA"/>
    <w:rsid w:val="41ECDF27"/>
    <w:rsid w:val="41F1A0AF"/>
    <w:rsid w:val="41F41F91"/>
    <w:rsid w:val="41F83CEE"/>
    <w:rsid w:val="4211BD36"/>
    <w:rsid w:val="42213E61"/>
    <w:rsid w:val="42A990A9"/>
    <w:rsid w:val="42AF81FE"/>
    <w:rsid w:val="42B6B13D"/>
    <w:rsid w:val="42E90F10"/>
    <w:rsid w:val="431264E3"/>
    <w:rsid w:val="43193054"/>
    <w:rsid w:val="43470BBC"/>
    <w:rsid w:val="436586D5"/>
    <w:rsid w:val="437029C4"/>
    <w:rsid w:val="437DD1DB"/>
    <w:rsid w:val="438257A6"/>
    <w:rsid w:val="438FE2CF"/>
    <w:rsid w:val="439F60FA"/>
    <w:rsid w:val="43A19CF1"/>
    <w:rsid w:val="43A9FBB5"/>
    <w:rsid w:val="43AF2FE6"/>
    <w:rsid w:val="43CD4F93"/>
    <w:rsid w:val="43E0334C"/>
    <w:rsid w:val="440353EB"/>
    <w:rsid w:val="441212FA"/>
    <w:rsid w:val="441F5976"/>
    <w:rsid w:val="442E5C2F"/>
    <w:rsid w:val="443A9E2E"/>
    <w:rsid w:val="446E5B95"/>
    <w:rsid w:val="44765423"/>
    <w:rsid w:val="4476BB7E"/>
    <w:rsid w:val="4476D017"/>
    <w:rsid w:val="44778B40"/>
    <w:rsid w:val="447E5961"/>
    <w:rsid w:val="449C9E4A"/>
    <w:rsid w:val="44AC7D31"/>
    <w:rsid w:val="44B41FDE"/>
    <w:rsid w:val="44C52748"/>
    <w:rsid w:val="44E83C80"/>
    <w:rsid w:val="44F3A110"/>
    <w:rsid w:val="4532AD7E"/>
    <w:rsid w:val="453327BC"/>
    <w:rsid w:val="4546F98E"/>
    <w:rsid w:val="4549DD9D"/>
    <w:rsid w:val="4553F888"/>
    <w:rsid w:val="45542B8D"/>
    <w:rsid w:val="455A8894"/>
    <w:rsid w:val="455DEF97"/>
    <w:rsid w:val="4563FBB2"/>
    <w:rsid w:val="4567BFFE"/>
    <w:rsid w:val="456A7624"/>
    <w:rsid w:val="457407B5"/>
    <w:rsid w:val="4599AAAE"/>
    <w:rsid w:val="459CD237"/>
    <w:rsid w:val="45A8E9B3"/>
    <w:rsid w:val="45AE35F7"/>
    <w:rsid w:val="45CB069E"/>
    <w:rsid w:val="45D81CAD"/>
    <w:rsid w:val="45ECAC38"/>
    <w:rsid w:val="45F663EF"/>
    <w:rsid w:val="45FB2209"/>
    <w:rsid w:val="46020D68"/>
    <w:rsid w:val="461DDC66"/>
    <w:rsid w:val="462E0213"/>
    <w:rsid w:val="463422F2"/>
    <w:rsid w:val="46389876"/>
    <w:rsid w:val="46424055"/>
    <w:rsid w:val="4643934E"/>
    <w:rsid w:val="4656EA06"/>
    <w:rsid w:val="465F0206"/>
    <w:rsid w:val="4677F3D6"/>
    <w:rsid w:val="4686A008"/>
    <w:rsid w:val="468C106E"/>
    <w:rsid w:val="46B853D2"/>
    <w:rsid w:val="46C381DE"/>
    <w:rsid w:val="46E54C28"/>
    <w:rsid w:val="47096233"/>
    <w:rsid w:val="470CBC33"/>
    <w:rsid w:val="470F7768"/>
    <w:rsid w:val="4711D6B4"/>
    <w:rsid w:val="4715304A"/>
    <w:rsid w:val="4719691B"/>
    <w:rsid w:val="475D676F"/>
    <w:rsid w:val="476415F0"/>
    <w:rsid w:val="4769F35C"/>
    <w:rsid w:val="476E8A6F"/>
    <w:rsid w:val="479882CF"/>
    <w:rsid w:val="47C0D5EB"/>
    <w:rsid w:val="47E6F01D"/>
    <w:rsid w:val="47FB2465"/>
    <w:rsid w:val="4805E189"/>
    <w:rsid w:val="48089887"/>
    <w:rsid w:val="481F92C5"/>
    <w:rsid w:val="4822CD3F"/>
    <w:rsid w:val="4826896B"/>
    <w:rsid w:val="483080A1"/>
    <w:rsid w:val="483ABE67"/>
    <w:rsid w:val="48579CFE"/>
    <w:rsid w:val="4874FFCC"/>
    <w:rsid w:val="48933EE6"/>
    <w:rsid w:val="489E61B8"/>
    <w:rsid w:val="48E03DD0"/>
    <w:rsid w:val="490CBC93"/>
    <w:rsid w:val="490F1BE9"/>
    <w:rsid w:val="491583D7"/>
    <w:rsid w:val="4975DE19"/>
    <w:rsid w:val="498C5331"/>
    <w:rsid w:val="499172A8"/>
    <w:rsid w:val="499870E4"/>
    <w:rsid w:val="49AA1B89"/>
    <w:rsid w:val="49BDF09C"/>
    <w:rsid w:val="49E19495"/>
    <w:rsid w:val="49E830E7"/>
    <w:rsid w:val="49FA7450"/>
    <w:rsid w:val="4A20F1D6"/>
    <w:rsid w:val="4A22468A"/>
    <w:rsid w:val="4A30F9A5"/>
    <w:rsid w:val="4A353662"/>
    <w:rsid w:val="4A399156"/>
    <w:rsid w:val="4A4FF4C8"/>
    <w:rsid w:val="4A59BE75"/>
    <w:rsid w:val="4A6116BF"/>
    <w:rsid w:val="4A8AD447"/>
    <w:rsid w:val="4AA5B1B1"/>
    <w:rsid w:val="4AD86FD4"/>
    <w:rsid w:val="4B0D5791"/>
    <w:rsid w:val="4B0DFA76"/>
    <w:rsid w:val="4B1B4206"/>
    <w:rsid w:val="4B1BDF82"/>
    <w:rsid w:val="4B1CC2F0"/>
    <w:rsid w:val="4B304DB8"/>
    <w:rsid w:val="4B4DE200"/>
    <w:rsid w:val="4B7C9F0F"/>
    <w:rsid w:val="4B88B0EF"/>
    <w:rsid w:val="4B9F8A3B"/>
    <w:rsid w:val="4BA5FE04"/>
    <w:rsid w:val="4BABB6D3"/>
    <w:rsid w:val="4BAFBD04"/>
    <w:rsid w:val="4BC71A8E"/>
    <w:rsid w:val="4C09133A"/>
    <w:rsid w:val="4C1D33C8"/>
    <w:rsid w:val="4C304BB5"/>
    <w:rsid w:val="4C562F71"/>
    <w:rsid w:val="4C681D8D"/>
    <w:rsid w:val="4C68E2E4"/>
    <w:rsid w:val="4C69550D"/>
    <w:rsid w:val="4C8A9D33"/>
    <w:rsid w:val="4CA5A274"/>
    <w:rsid w:val="4CAC5ED9"/>
    <w:rsid w:val="4CB3B29A"/>
    <w:rsid w:val="4CC9136A"/>
    <w:rsid w:val="4CEA32EA"/>
    <w:rsid w:val="4D21279E"/>
    <w:rsid w:val="4D2171E5"/>
    <w:rsid w:val="4D29E903"/>
    <w:rsid w:val="4D4FD91F"/>
    <w:rsid w:val="4D507162"/>
    <w:rsid w:val="4D785023"/>
    <w:rsid w:val="4D846FE0"/>
    <w:rsid w:val="4D8920CE"/>
    <w:rsid w:val="4DB29751"/>
    <w:rsid w:val="4DF694AB"/>
    <w:rsid w:val="4E400E8C"/>
    <w:rsid w:val="4E48BF70"/>
    <w:rsid w:val="4E6AB3B9"/>
    <w:rsid w:val="4E7960F2"/>
    <w:rsid w:val="4E873C15"/>
    <w:rsid w:val="4E87DC00"/>
    <w:rsid w:val="4E975851"/>
    <w:rsid w:val="4E9821DC"/>
    <w:rsid w:val="4EB3A188"/>
    <w:rsid w:val="4EB6541F"/>
    <w:rsid w:val="4EBB50D0"/>
    <w:rsid w:val="4EC36DC0"/>
    <w:rsid w:val="4EDA370C"/>
    <w:rsid w:val="4EE0CD7C"/>
    <w:rsid w:val="4EE94AAA"/>
    <w:rsid w:val="4EFFE444"/>
    <w:rsid w:val="4F247B00"/>
    <w:rsid w:val="4F2785D5"/>
    <w:rsid w:val="4F3487E2"/>
    <w:rsid w:val="4F4899DC"/>
    <w:rsid w:val="4F52D504"/>
    <w:rsid w:val="4F653BA1"/>
    <w:rsid w:val="4F69EE74"/>
    <w:rsid w:val="4F6DF824"/>
    <w:rsid w:val="4F8D0B3F"/>
    <w:rsid w:val="4F911B49"/>
    <w:rsid w:val="4F92855D"/>
    <w:rsid w:val="4FA31BC6"/>
    <w:rsid w:val="4FACFD51"/>
    <w:rsid w:val="4FCBC5DF"/>
    <w:rsid w:val="4FCEE265"/>
    <w:rsid w:val="4FD237D8"/>
    <w:rsid w:val="4FF737CD"/>
    <w:rsid w:val="4FF8713A"/>
    <w:rsid w:val="4FFC4168"/>
    <w:rsid w:val="501D55DB"/>
    <w:rsid w:val="5049EC86"/>
    <w:rsid w:val="5054A26A"/>
    <w:rsid w:val="507D21DB"/>
    <w:rsid w:val="508FC053"/>
    <w:rsid w:val="50958E6F"/>
    <w:rsid w:val="50A9705A"/>
    <w:rsid w:val="50B7AD15"/>
    <w:rsid w:val="50CAA4B1"/>
    <w:rsid w:val="50D35DA1"/>
    <w:rsid w:val="50FDB044"/>
    <w:rsid w:val="512435A1"/>
    <w:rsid w:val="512DFF14"/>
    <w:rsid w:val="513FDED3"/>
    <w:rsid w:val="51571DF8"/>
    <w:rsid w:val="516AE1A9"/>
    <w:rsid w:val="517E779A"/>
    <w:rsid w:val="51A9CB96"/>
    <w:rsid w:val="51AE2D83"/>
    <w:rsid w:val="51C84F15"/>
    <w:rsid w:val="51C9B2ED"/>
    <w:rsid w:val="51D7B689"/>
    <w:rsid w:val="51E54DA1"/>
    <w:rsid w:val="51EE6437"/>
    <w:rsid w:val="51F611AD"/>
    <w:rsid w:val="520D8CB4"/>
    <w:rsid w:val="52135D98"/>
    <w:rsid w:val="521A538E"/>
    <w:rsid w:val="5227E54D"/>
    <w:rsid w:val="522E94A6"/>
    <w:rsid w:val="52318170"/>
    <w:rsid w:val="523F8492"/>
    <w:rsid w:val="5288A371"/>
    <w:rsid w:val="528A3610"/>
    <w:rsid w:val="52BBEC28"/>
    <w:rsid w:val="52FCA8F2"/>
    <w:rsid w:val="52FCE721"/>
    <w:rsid w:val="532EAA4A"/>
    <w:rsid w:val="537692FD"/>
    <w:rsid w:val="539AF981"/>
    <w:rsid w:val="53A157B4"/>
    <w:rsid w:val="53AF59C8"/>
    <w:rsid w:val="53BA4BAB"/>
    <w:rsid w:val="53CAAA0D"/>
    <w:rsid w:val="53F4AF96"/>
    <w:rsid w:val="541B98D4"/>
    <w:rsid w:val="5424F465"/>
    <w:rsid w:val="543C63CE"/>
    <w:rsid w:val="543E4D80"/>
    <w:rsid w:val="5458A1B1"/>
    <w:rsid w:val="545E8454"/>
    <w:rsid w:val="54A3A7B0"/>
    <w:rsid w:val="54A702BE"/>
    <w:rsid w:val="54AF5010"/>
    <w:rsid w:val="54B5DC10"/>
    <w:rsid w:val="54DCC259"/>
    <w:rsid w:val="54DE0DC7"/>
    <w:rsid w:val="54ECB4E7"/>
    <w:rsid w:val="55013560"/>
    <w:rsid w:val="550F93AD"/>
    <w:rsid w:val="5514915E"/>
    <w:rsid w:val="5524DA99"/>
    <w:rsid w:val="5535C154"/>
    <w:rsid w:val="553749B2"/>
    <w:rsid w:val="55413511"/>
    <w:rsid w:val="554B3454"/>
    <w:rsid w:val="5553667C"/>
    <w:rsid w:val="5559A00A"/>
    <w:rsid w:val="5562610B"/>
    <w:rsid w:val="55772B94"/>
    <w:rsid w:val="557CE000"/>
    <w:rsid w:val="5584A9AC"/>
    <w:rsid w:val="55B6DF41"/>
    <w:rsid w:val="55E2E3FE"/>
    <w:rsid w:val="55EAE897"/>
    <w:rsid w:val="5607C30E"/>
    <w:rsid w:val="5629601D"/>
    <w:rsid w:val="562F9EE8"/>
    <w:rsid w:val="5644C141"/>
    <w:rsid w:val="56491909"/>
    <w:rsid w:val="564B2071"/>
    <w:rsid w:val="565C7533"/>
    <w:rsid w:val="565E60EF"/>
    <w:rsid w:val="56670D3E"/>
    <w:rsid w:val="5677ECD3"/>
    <w:rsid w:val="56922FA8"/>
    <w:rsid w:val="56938DC0"/>
    <w:rsid w:val="5694FD7D"/>
    <w:rsid w:val="56A71370"/>
    <w:rsid w:val="56ADE738"/>
    <w:rsid w:val="56BB30DB"/>
    <w:rsid w:val="56C215A3"/>
    <w:rsid w:val="56DA51A5"/>
    <w:rsid w:val="571476EB"/>
    <w:rsid w:val="5736F348"/>
    <w:rsid w:val="57581AE6"/>
    <w:rsid w:val="5766EEC9"/>
    <w:rsid w:val="5773CA0A"/>
    <w:rsid w:val="577D8C4E"/>
    <w:rsid w:val="577E9C50"/>
    <w:rsid w:val="57BF566D"/>
    <w:rsid w:val="57C8C450"/>
    <w:rsid w:val="57CE594C"/>
    <w:rsid w:val="57D6D040"/>
    <w:rsid w:val="58094AF3"/>
    <w:rsid w:val="58119EDE"/>
    <w:rsid w:val="58271783"/>
    <w:rsid w:val="582854FF"/>
    <w:rsid w:val="5892E08D"/>
    <w:rsid w:val="589B9116"/>
    <w:rsid w:val="58B830BC"/>
    <w:rsid w:val="58D6DFBD"/>
    <w:rsid w:val="58F40D95"/>
    <w:rsid w:val="58F8524D"/>
    <w:rsid w:val="58FB51F8"/>
    <w:rsid w:val="590BE638"/>
    <w:rsid w:val="590E2926"/>
    <w:rsid w:val="591CC119"/>
    <w:rsid w:val="59287231"/>
    <w:rsid w:val="594647F0"/>
    <w:rsid w:val="596E4A3F"/>
    <w:rsid w:val="599203B4"/>
    <w:rsid w:val="59E37646"/>
    <w:rsid w:val="59F189AC"/>
    <w:rsid w:val="5A3067D3"/>
    <w:rsid w:val="5A3459B7"/>
    <w:rsid w:val="5A39D444"/>
    <w:rsid w:val="5A5C8D4D"/>
    <w:rsid w:val="5A644852"/>
    <w:rsid w:val="5A6DCFEB"/>
    <w:rsid w:val="5A8D29D7"/>
    <w:rsid w:val="5A8E6AC5"/>
    <w:rsid w:val="5A9CFCF0"/>
    <w:rsid w:val="5A9FE59D"/>
    <w:rsid w:val="5AB60842"/>
    <w:rsid w:val="5AC909E4"/>
    <w:rsid w:val="5AD2D643"/>
    <w:rsid w:val="5AE5C31E"/>
    <w:rsid w:val="5AF7573F"/>
    <w:rsid w:val="5AF84911"/>
    <w:rsid w:val="5B262846"/>
    <w:rsid w:val="5B27CEF1"/>
    <w:rsid w:val="5B65AD9F"/>
    <w:rsid w:val="5B6A644A"/>
    <w:rsid w:val="5B6D2801"/>
    <w:rsid w:val="5B76D901"/>
    <w:rsid w:val="5BA84C08"/>
    <w:rsid w:val="5BC0A8DD"/>
    <w:rsid w:val="5BCFF7E6"/>
    <w:rsid w:val="5BD20A8F"/>
    <w:rsid w:val="5BEC335C"/>
    <w:rsid w:val="5BED0B38"/>
    <w:rsid w:val="5BF6E623"/>
    <w:rsid w:val="5C16C5E6"/>
    <w:rsid w:val="5C51A517"/>
    <w:rsid w:val="5C579540"/>
    <w:rsid w:val="5C596E96"/>
    <w:rsid w:val="5C5CBFC5"/>
    <w:rsid w:val="5C5DDCC7"/>
    <w:rsid w:val="5CB617C4"/>
    <w:rsid w:val="5CC98A78"/>
    <w:rsid w:val="5CD7E1B7"/>
    <w:rsid w:val="5CEE089E"/>
    <w:rsid w:val="5D23C53F"/>
    <w:rsid w:val="5D280048"/>
    <w:rsid w:val="5D50E5E4"/>
    <w:rsid w:val="5D588492"/>
    <w:rsid w:val="5D634A7C"/>
    <w:rsid w:val="5D667D7C"/>
    <w:rsid w:val="5D9FFFE4"/>
    <w:rsid w:val="5DC89F6A"/>
    <w:rsid w:val="5DD01DEC"/>
    <w:rsid w:val="5DD2FA46"/>
    <w:rsid w:val="5DEDEB6E"/>
    <w:rsid w:val="5E118ADF"/>
    <w:rsid w:val="5E268E2D"/>
    <w:rsid w:val="5E394689"/>
    <w:rsid w:val="5E664B0F"/>
    <w:rsid w:val="5E6F1147"/>
    <w:rsid w:val="5E7B7861"/>
    <w:rsid w:val="5E8C5BE4"/>
    <w:rsid w:val="5E8D3C97"/>
    <w:rsid w:val="5EA0570B"/>
    <w:rsid w:val="5EA7A4D0"/>
    <w:rsid w:val="5EAB8204"/>
    <w:rsid w:val="5EB236CC"/>
    <w:rsid w:val="5EBDD375"/>
    <w:rsid w:val="5EC8955A"/>
    <w:rsid w:val="5EDD7C98"/>
    <w:rsid w:val="5EED04ED"/>
    <w:rsid w:val="5EEFC017"/>
    <w:rsid w:val="5EF4E8B9"/>
    <w:rsid w:val="5F05E2D5"/>
    <w:rsid w:val="5F0765C6"/>
    <w:rsid w:val="5F0B43D3"/>
    <w:rsid w:val="5F341D09"/>
    <w:rsid w:val="5F349951"/>
    <w:rsid w:val="5F49F549"/>
    <w:rsid w:val="5F52375C"/>
    <w:rsid w:val="5F5DC694"/>
    <w:rsid w:val="5F6E1004"/>
    <w:rsid w:val="5F73CB9D"/>
    <w:rsid w:val="5F7D9042"/>
    <w:rsid w:val="5F80D1C1"/>
    <w:rsid w:val="5F95A9D3"/>
    <w:rsid w:val="5FACD32E"/>
    <w:rsid w:val="5FD11EF5"/>
    <w:rsid w:val="5FF228AE"/>
    <w:rsid w:val="5FF5E7D5"/>
    <w:rsid w:val="602B13F6"/>
    <w:rsid w:val="604A9AFD"/>
    <w:rsid w:val="6050166B"/>
    <w:rsid w:val="605267EB"/>
    <w:rsid w:val="60526AAD"/>
    <w:rsid w:val="606131C0"/>
    <w:rsid w:val="60613DD6"/>
    <w:rsid w:val="6078D376"/>
    <w:rsid w:val="6083AFC7"/>
    <w:rsid w:val="609EE62D"/>
    <w:rsid w:val="60ABF2F8"/>
    <w:rsid w:val="60B32242"/>
    <w:rsid w:val="60B578B0"/>
    <w:rsid w:val="60BBCF47"/>
    <w:rsid w:val="60BCDEB0"/>
    <w:rsid w:val="60C9C452"/>
    <w:rsid w:val="60CDBFE4"/>
    <w:rsid w:val="60E13834"/>
    <w:rsid w:val="60EA6AFA"/>
    <w:rsid w:val="60EA9821"/>
    <w:rsid w:val="612BEB14"/>
    <w:rsid w:val="61415EBA"/>
    <w:rsid w:val="614E8DF9"/>
    <w:rsid w:val="6151FDB5"/>
    <w:rsid w:val="615DB820"/>
    <w:rsid w:val="616FEF00"/>
    <w:rsid w:val="61792E0C"/>
    <w:rsid w:val="618E1524"/>
    <w:rsid w:val="61DD99B1"/>
    <w:rsid w:val="61E0D183"/>
    <w:rsid w:val="6202622C"/>
    <w:rsid w:val="6205477F"/>
    <w:rsid w:val="6263D15B"/>
    <w:rsid w:val="628B9B5B"/>
    <w:rsid w:val="62A241E4"/>
    <w:rsid w:val="62A6C9B9"/>
    <w:rsid w:val="62B79E65"/>
    <w:rsid w:val="62D0EE54"/>
    <w:rsid w:val="62F49C93"/>
    <w:rsid w:val="62F6907D"/>
    <w:rsid w:val="62FC3849"/>
    <w:rsid w:val="63174BED"/>
    <w:rsid w:val="633BBFBA"/>
    <w:rsid w:val="6352ED22"/>
    <w:rsid w:val="6357E92D"/>
    <w:rsid w:val="635F8CCC"/>
    <w:rsid w:val="63A50B89"/>
    <w:rsid w:val="63B3A580"/>
    <w:rsid w:val="63E18F90"/>
    <w:rsid w:val="63EF8A8C"/>
    <w:rsid w:val="63F85B86"/>
    <w:rsid w:val="63F9A50D"/>
    <w:rsid w:val="6409B24B"/>
    <w:rsid w:val="641E5E2E"/>
    <w:rsid w:val="64217095"/>
    <w:rsid w:val="642CF99C"/>
    <w:rsid w:val="64594C6B"/>
    <w:rsid w:val="646AA41F"/>
    <w:rsid w:val="6498A4DD"/>
    <w:rsid w:val="64994684"/>
    <w:rsid w:val="64ADCC29"/>
    <w:rsid w:val="64AEE6C6"/>
    <w:rsid w:val="64B1D592"/>
    <w:rsid w:val="64C36C72"/>
    <w:rsid w:val="64D65A97"/>
    <w:rsid w:val="64E0E1E5"/>
    <w:rsid w:val="64E5E91A"/>
    <w:rsid w:val="64EB0C13"/>
    <w:rsid w:val="650E44B1"/>
    <w:rsid w:val="651864D9"/>
    <w:rsid w:val="651F123D"/>
    <w:rsid w:val="6525BDA6"/>
    <w:rsid w:val="6527AAE3"/>
    <w:rsid w:val="652EE075"/>
    <w:rsid w:val="65465588"/>
    <w:rsid w:val="654F57D6"/>
    <w:rsid w:val="65632337"/>
    <w:rsid w:val="6570FAFE"/>
    <w:rsid w:val="65789983"/>
    <w:rsid w:val="658411C9"/>
    <w:rsid w:val="658512CA"/>
    <w:rsid w:val="6598E03F"/>
    <w:rsid w:val="6599A196"/>
    <w:rsid w:val="65A0293E"/>
    <w:rsid w:val="65D5BA54"/>
    <w:rsid w:val="65E46BE8"/>
    <w:rsid w:val="65E72057"/>
    <w:rsid w:val="66093019"/>
    <w:rsid w:val="6626005F"/>
    <w:rsid w:val="664B1BCE"/>
    <w:rsid w:val="66682906"/>
    <w:rsid w:val="66AE8B28"/>
    <w:rsid w:val="66B7F3B7"/>
    <w:rsid w:val="66D50525"/>
    <w:rsid w:val="66DEC2F5"/>
    <w:rsid w:val="66EA31AB"/>
    <w:rsid w:val="66F86FD1"/>
    <w:rsid w:val="66F8E020"/>
    <w:rsid w:val="6706C9F0"/>
    <w:rsid w:val="670749BB"/>
    <w:rsid w:val="67149CBE"/>
    <w:rsid w:val="6728BC09"/>
    <w:rsid w:val="67437238"/>
    <w:rsid w:val="6746C849"/>
    <w:rsid w:val="675BFBC6"/>
    <w:rsid w:val="6782CFAF"/>
    <w:rsid w:val="67832ECB"/>
    <w:rsid w:val="678DA576"/>
    <w:rsid w:val="6797EBF1"/>
    <w:rsid w:val="67BA0C8F"/>
    <w:rsid w:val="67C6BFB6"/>
    <w:rsid w:val="67CAE127"/>
    <w:rsid w:val="67CC436E"/>
    <w:rsid w:val="67DD402A"/>
    <w:rsid w:val="67E33288"/>
    <w:rsid w:val="67EBDA88"/>
    <w:rsid w:val="67F5A2F7"/>
    <w:rsid w:val="6808A9AF"/>
    <w:rsid w:val="6812450E"/>
    <w:rsid w:val="68142B0D"/>
    <w:rsid w:val="681A9B58"/>
    <w:rsid w:val="681DD3AB"/>
    <w:rsid w:val="68304373"/>
    <w:rsid w:val="683CFDE5"/>
    <w:rsid w:val="6844EA82"/>
    <w:rsid w:val="684A955C"/>
    <w:rsid w:val="68B91AE1"/>
    <w:rsid w:val="68C379A8"/>
    <w:rsid w:val="68D7D8DF"/>
    <w:rsid w:val="68FCD8E9"/>
    <w:rsid w:val="68FDB008"/>
    <w:rsid w:val="69021717"/>
    <w:rsid w:val="69060EA9"/>
    <w:rsid w:val="69121E4C"/>
    <w:rsid w:val="6917747C"/>
    <w:rsid w:val="692A5D5D"/>
    <w:rsid w:val="6932AFE8"/>
    <w:rsid w:val="69420AA6"/>
    <w:rsid w:val="69813D4C"/>
    <w:rsid w:val="6995B4F6"/>
    <w:rsid w:val="699D41A8"/>
    <w:rsid w:val="69B25D30"/>
    <w:rsid w:val="69BF2E06"/>
    <w:rsid w:val="69CEECA4"/>
    <w:rsid w:val="69D43938"/>
    <w:rsid w:val="69D56892"/>
    <w:rsid w:val="69E10260"/>
    <w:rsid w:val="69E287F7"/>
    <w:rsid w:val="69E57255"/>
    <w:rsid w:val="69EE22B4"/>
    <w:rsid w:val="69EFE011"/>
    <w:rsid w:val="69FCBD03"/>
    <w:rsid w:val="6A017136"/>
    <w:rsid w:val="6A2F0458"/>
    <w:rsid w:val="6A30CB39"/>
    <w:rsid w:val="6A3799FA"/>
    <w:rsid w:val="6A5BED27"/>
    <w:rsid w:val="6A83E03C"/>
    <w:rsid w:val="6AD67ABD"/>
    <w:rsid w:val="6ADC24BC"/>
    <w:rsid w:val="6AEFF8B2"/>
    <w:rsid w:val="6B2CC609"/>
    <w:rsid w:val="6B2E56B6"/>
    <w:rsid w:val="6B341F22"/>
    <w:rsid w:val="6B3AF169"/>
    <w:rsid w:val="6B4B504A"/>
    <w:rsid w:val="6B5046E9"/>
    <w:rsid w:val="6B50B314"/>
    <w:rsid w:val="6B80B939"/>
    <w:rsid w:val="6B860F57"/>
    <w:rsid w:val="6BBD694C"/>
    <w:rsid w:val="6BC79D9F"/>
    <w:rsid w:val="6BD3A5E7"/>
    <w:rsid w:val="6BDCF649"/>
    <w:rsid w:val="6BEEE6C1"/>
    <w:rsid w:val="6C0C6DFD"/>
    <w:rsid w:val="6C28BB53"/>
    <w:rsid w:val="6C44DD5C"/>
    <w:rsid w:val="6C5DCE17"/>
    <w:rsid w:val="6C5FAA3D"/>
    <w:rsid w:val="6C6262DF"/>
    <w:rsid w:val="6C652BFE"/>
    <w:rsid w:val="6C6F4097"/>
    <w:rsid w:val="6C8402CE"/>
    <w:rsid w:val="6CC2A9B7"/>
    <w:rsid w:val="6CDA678D"/>
    <w:rsid w:val="6CE3A795"/>
    <w:rsid w:val="6CE9F0D6"/>
    <w:rsid w:val="6D01633F"/>
    <w:rsid w:val="6D10E7AB"/>
    <w:rsid w:val="6D18A528"/>
    <w:rsid w:val="6D3275D8"/>
    <w:rsid w:val="6D36BFD5"/>
    <w:rsid w:val="6D3D78A6"/>
    <w:rsid w:val="6D4F7B25"/>
    <w:rsid w:val="6D648A7D"/>
    <w:rsid w:val="6D6DAC71"/>
    <w:rsid w:val="6D821A18"/>
    <w:rsid w:val="6D83D290"/>
    <w:rsid w:val="6D9640E3"/>
    <w:rsid w:val="6D97678D"/>
    <w:rsid w:val="6DC1ADAE"/>
    <w:rsid w:val="6DC9B154"/>
    <w:rsid w:val="6DCD05BB"/>
    <w:rsid w:val="6DE6EF9B"/>
    <w:rsid w:val="6DF91B79"/>
    <w:rsid w:val="6E2791B6"/>
    <w:rsid w:val="6E2E2D23"/>
    <w:rsid w:val="6E3C26F4"/>
    <w:rsid w:val="6E566B50"/>
    <w:rsid w:val="6E6363D2"/>
    <w:rsid w:val="6E7DC0BD"/>
    <w:rsid w:val="6E871DFE"/>
    <w:rsid w:val="6EAD910F"/>
    <w:rsid w:val="6EBA1797"/>
    <w:rsid w:val="6EC8178C"/>
    <w:rsid w:val="6EC910BD"/>
    <w:rsid w:val="6ECBBFAB"/>
    <w:rsid w:val="6ED70940"/>
    <w:rsid w:val="6EE648D3"/>
    <w:rsid w:val="6EEF5D05"/>
    <w:rsid w:val="6F0445E2"/>
    <w:rsid w:val="6F38DDE5"/>
    <w:rsid w:val="6F47F82F"/>
    <w:rsid w:val="6F4CE6C5"/>
    <w:rsid w:val="6F4F32C9"/>
    <w:rsid w:val="6F5A1FEA"/>
    <w:rsid w:val="6F5B26E2"/>
    <w:rsid w:val="6F6C7806"/>
    <w:rsid w:val="6F81948C"/>
    <w:rsid w:val="6F862661"/>
    <w:rsid w:val="6F9D8C33"/>
    <w:rsid w:val="6FB45D80"/>
    <w:rsid w:val="6FC39FF9"/>
    <w:rsid w:val="6FCD41F0"/>
    <w:rsid w:val="6FD91A59"/>
    <w:rsid w:val="7030BD0F"/>
    <w:rsid w:val="703CCDE6"/>
    <w:rsid w:val="703CCE1F"/>
    <w:rsid w:val="703E2F90"/>
    <w:rsid w:val="704E7FE7"/>
    <w:rsid w:val="707088F2"/>
    <w:rsid w:val="7095EAEF"/>
    <w:rsid w:val="709E27DF"/>
    <w:rsid w:val="70A97D67"/>
    <w:rsid w:val="70BE8056"/>
    <w:rsid w:val="70DE0B58"/>
    <w:rsid w:val="70F26F63"/>
    <w:rsid w:val="7105A235"/>
    <w:rsid w:val="710C7F14"/>
    <w:rsid w:val="713DEE7D"/>
    <w:rsid w:val="714EC930"/>
    <w:rsid w:val="715EEB98"/>
    <w:rsid w:val="71700F05"/>
    <w:rsid w:val="71853CBD"/>
    <w:rsid w:val="719BDB95"/>
    <w:rsid w:val="719DAD16"/>
    <w:rsid w:val="71ACC300"/>
    <w:rsid w:val="71C18E0B"/>
    <w:rsid w:val="71C715DF"/>
    <w:rsid w:val="71D0916E"/>
    <w:rsid w:val="71FBA0D9"/>
    <w:rsid w:val="721D7A38"/>
    <w:rsid w:val="7229953E"/>
    <w:rsid w:val="72338B6E"/>
    <w:rsid w:val="7247285E"/>
    <w:rsid w:val="7255AD31"/>
    <w:rsid w:val="72917B6C"/>
    <w:rsid w:val="729520C5"/>
    <w:rsid w:val="72C9549D"/>
    <w:rsid w:val="72CC0D8F"/>
    <w:rsid w:val="72D30231"/>
    <w:rsid w:val="72D4CCE0"/>
    <w:rsid w:val="72F76BBD"/>
    <w:rsid w:val="73048DF1"/>
    <w:rsid w:val="730E413E"/>
    <w:rsid w:val="732147DF"/>
    <w:rsid w:val="734E130F"/>
    <w:rsid w:val="7388171B"/>
    <w:rsid w:val="739481EB"/>
    <w:rsid w:val="73D523E6"/>
    <w:rsid w:val="73EBA1CF"/>
    <w:rsid w:val="741FE643"/>
    <w:rsid w:val="742AB7AA"/>
    <w:rsid w:val="744ADEB4"/>
    <w:rsid w:val="74518075"/>
    <w:rsid w:val="74600D63"/>
    <w:rsid w:val="7460E3F3"/>
    <w:rsid w:val="746E0370"/>
    <w:rsid w:val="7471269B"/>
    <w:rsid w:val="747186D7"/>
    <w:rsid w:val="74746830"/>
    <w:rsid w:val="7482A8E2"/>
    <w:rsid w:val="749DF7FC"/>
    <w:rsid w:val="74B9ADDB"/>
    <w:rsid w:val="74E327ED"/>
    <w:rsid w:val="74EA6E92"/>
    <w:rsid w:val="74F1A291"/>
    <w:rsid w:val="74F7555D"/>
    <w:rsid w:val="7513839F"/>
    <w:rsid w:val="75154902"/>
    <w:rsid w:val="751ADB1F"/>
    <w:rsid w:val="7520E543"/>
    <w:rsid w:val="7547739B"/>
    <w:rsid w:val="7557E819"/>
    <w:rsid w:val="755941DE"/>
    <w:rsid w:val="756B44BA"/>
    <w:rsid w:val="7573C7A6"/>
    <w:rsid w:val="758F6BF9"/>
    <w:rsid w:val="75953071"/>
    <w:rsid w:val="75A2CA15"/>
    <w:rsid w:val="75ABCE09"/>
    <w:rsid w:val="75C4FC3E"/>
    <w:rsid w:val="75C5A206"/>
    <w:rsid w:val="75C90B8F"/>
    <w:rsid w:val="75D435F0"/>
    <w:rsid w:val="75E77506"/>
    <w:rsid w:val="75E9F72C"/>
    <w:rsid w:val="75EC2A92"/>
    <w:rsid w:val="7610C0F6"/>
    <w:rsid w:val="762610E9"/>
    <w:rsid w:val="76459F1F"/>
    <w:rsid w:val="76592971"/>
    <w:rsid w:val="769465F7"/>
    <w:rsid w:val="769BA30D"/>
    <w:rsid w:val="76D28D56"/>
    <w:rsid w:val="76DC5320"/>
    <w:rsid w:val="7702C339"/>
    <w:rsid w:val="7738A71C"/>
    <w:rsid w:val="775B9665"/>
    <w:rsid w:val="7769E15A"/>
    <w:rsid w:val="779B3E05"/>
    <w:rsid w:val="77AB6187"/>
    <w:rsid w:val="77DACFA7"/>
    <w:rsid w:val="77DECC53"/>
    <w:rsid w:val="77E42940"/>
    <w:rsid w:val="782167DD"/>
    <w:rsid w:val="78486935"/>
    <w:rsid w:val="784FD518"/>
    <w:rsid w:val="785CB923"/>
    <w:rsid w:val="788B6415"/>
    <w:rsid w:val="78A5C1AE"/>
    <w:rsid w:val="78C62D47"/>
    <w:rsid w:val="78DD4E88"/>
    <w:rsid w:val="78E1CC18"/>
    <w:rsid w:val="7924B804"/>
    <w:rsid w:val="79921E8B"/>
    <w:rsid w:val="79940796"/>
    <w:rsid w:val="79CEC148"/>
    <w:rsid w:val="79E2A0B2"/>
    <w:rsid w:val="79E524EB"/>
    <w:rsid w:val="79F8F477"/>
    <w:rsid w:val="7A278800"/>
    <w:rsid w:val="7A291DB3"/>
    <w:rsid w:val="7A2E74B0"/>
    <w:rsid w:val="7A3703AF"/>
    <w:rsid w:val="7A824EA4"/>
    <w:rsid w:val="7A97425F"/>
    <w:rsid w:val="7ADEC7E4"/>
    <w:rsid w:val="7AE061D1"/>
    <w:rsid w:val="7AE6CA3B"/>
    <w:rsid w:val="7AE6FBB4"/>
    <w:rsid w:val="7AF49740"/>
    <w:rsid w:val="7AFBB830"/>
    <w:rsid w:val="7B04B46C"/>
    <w:rsid w:val="7B10ED9F"/>
    <w:rsid w:val="7B24DDC4"/>
    <w:rsid w:val="7B3796E9"/>
    <w:rsid w:val="7B40C6A1"/>
    <w:rsid w:val="7B6B9612"/>
    <w:rsid w:val="7B7315F4"/>
    <w:rsid w:val="7B7D19DD"/>
    <w:rsid w:val="7B8038C8"/>
    <w:rsid w:val="7BA3C270"/>
    <w:rsid w:val="7BBEF888"/>
    <w:rsid w:val="7BCD4952"/>
    <w:rsid w:val="7BD0D5C6"/>
    <w:rsid w:val="7BE0D158"/>
    <w:rsid w:val="7BE50165"/>
    <w:rsid w:val="7C24892C"/>
    <w:rsid w:val="7C2F147C"/>
    <w:rsid w:val="7C351C58"/>
    <w:rsid w:val="7C399750"/>
    <w:rsid w:val="7C3D074E"/>
    <w:rsid w:val="7C4C23BF"/>
    <w:rsid w:val="7C75637C"/>
    <w:rsid w:val="7C7C8350"/>
    <w:rsid w:val="7C9F4A4F"/>
    <w:rsid w:val="7CA1E4F9"/>
    <w:rsid w:val="7CD1E2F4"/>
    <w:rsid w:val="7CD3FC91"/>
    <w:rsid w:val="7D12CA19"/>
    <w:rsid w:val="7D5078A9"/>
    <w:rsid w:val="7D5F5A74"/>
    <w:rsid w:val="7D800D28"/>
    <w:rsid w:val="7D86DC7B"/>
    <w:rsid w:val="7D8BAE74"/>
    <w:rsid w:val="7D908FDD"/>
    <w:rsid w:val="7D95F09D"/>
    <w:rsid w:val="7D9A5A18"/>
    <w:rsid w:val="7DCA9D03"/>
    <w:rsid w:val="7DE6E52B"/>
    <w:rsid w:val="7DF15B9E"/>
    <w:rsid w:val="7DF501BC"/>
    <w:rsid w:val="7E029AB6"/>
    <w:rsid w:val="7E1F09B0"/>
    <w:rsid w:val="7E3569B0"/>
    <w:rsid w:val="7E43CEC7"/>
    <w:rsid w:val="7E43D838"/>
    <w:rsid w:val="7E5816B6"/>
    <w:rsid w:val="7E5AB1FF"/>
    <w:rsid w:val="7EB2F099"/>
    <w:rsid w:val="7ECA4077"/>
    <w:rsid w:val="7ED2A584"/>
    <w:rsid w:val="7EDB1D87"/>
    <w:rsid w:val="7F0F76F3"/>
    <w:rsid w:val="7F13A424"/>
    <w:rsid w:val="7F29654D"/>
    <w:rsid w:val="7F5458BE"/>
    <w:rsid w:val="7F8EAC31"/>
    <w:rsid w:val="7F9CE546"/>
    <w:rsid w:val="7FC3B9ED"/>
    <w:rsid w:val="7FED78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E890E"/>
  <w15:docId w15:val="{3953F322-2971-47F9-9DAB-4717C5EF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ajorBidi"/>
        <w:color w:val="2A3C50" w:themeColor="text2"/>
        <w:kern w:val="24"/>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60"/>
    <w:lsdException w:name="Light List Accent 1" w:uiPriority="61"/>
    <w:lsdException w:name="Light Grid Accent 1" w:uiPriority="62"/>
    <w:lsdException w:name="Medium Shading 1 Accent 1" w:uiPriority="63"/>
    <w:lsdException w:name="Medium Shading 2 Accent 1" w:uiPriority="41"/>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60"/>
    <w:lsdException w:name="Light List Accent 2" w:uiPriority="61"/>
    <w:lsdException w:name="Light Grid Accent 2" w:uiPriority="62"/>
    <w:lsdException w:name="Medium Shading 1 Accent 2" w:uiPriority="63"/>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62"/>
    <w:lsdException w:name="Medium Shading 1 Accent 4" w:uiPriority="63"/>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1FB"/>
    <w:pPr>
      <w:spacing w:after="160" w:line="264" w:lineRule="auto"/>
    </w:pPr>
    <w:rPr>
      <w:rFonts w:ascii="Garamond" w:eastAsiaTheme="minorEastAsia" w:hAnsi="Garamond" w:cstheme="minorBidi"/>
      <w:color w:val="auto"/>
      <w:kern w:val="0"/>
      <w:sz w:val="24"/>
      <w:szCs w:val="22"/>
      <w14:ligatures w14:val="none"/>
    </w:rPr>
  </w:style>
  <w:style w:type="paragraph" w:styleId="Heading1">
    <w:name w:val="heading 1"/>
    <w:basedOn w:val="Title"/>
    <w:next w:val="Subtitle"/>
    <w:link w:val="Heading1Char"/>
    <w:uiPriority w:val="9"/>
    <w:qFormat/>
    <w:rsid w:val="00B53003"/>
    <w:pPr>
      <w:pageBreakBefore/>
      <w:spacing w:after="80"/>
      <w:outlineLvl w:val="0"/>
    </w:pPr>
    <w:rPr>
      <w:sz w:val="56"/>
    </w:rPr>
  </w:style>
  <w:style w:type="paragraph" w:styleId="Heading2">
    <w:name w:val="heading 2"/>
    <w:basedOn w:val="Normal"/>
    <w:next w:val="Normal"/>
    <w:link w:val="Heading2Char"/>
    <w:uiPriority w:val="9"/>
    <w:unhideWhenUsed/>
    <w:qFormat/>
    <w:rsid w:val="002F46D0"/>
    <w:pPr>
      <w:pBdr>
        <w:bottom w:val="single" w:sz="8" w:space="1" w:color="3F5A78" w:themeColor="accent2"/>
      </w:pBdr>
      <w:spacing w:before="240"/>
      <w:contextualSpacing/>
      <w:outlineLvl w:val="1"/>
    </w:pPr>
    <w:rPr>
      <w:rFonts w:ascii="Century Gothic" w:hAnsi="Century Gothic"/>
      <w:color w:val="284A70" w:themeColor="accent1" w:themeShade="80"/>
      <w:spacing w:val="20"/>
      <w:sz w:val="28"/>
      <w:szCs w:val="28"/>
    </w:rPr>
  </w:style>
  <w:style w:type="paragraph" w:styleId="Heading3">
    <w:name w:val="heading 3"/>
    <w:basedOn w:val="Normal"/>
    <w:next w:val="Normal"/>
    <w:link w:val="Heading3Char"/>
    <w:unhideWhenUsed/>
    <w:qFormat/>
    <w:rsid w:val="002F46D0"/>
    <w:pPr>
      <w:spacing w:before="240" w:after="60"/>
      <w:contextualSpacing/>
      <w:outlineLvl w:val="2"/>
    </w:pPr>
    <w:rPr>
      <w:rFonts w:asciiTheme="minorHAnsi" w:hAnsiTheme="minorHAnsi"/>
      <w:color w:val="284A70" w:themeColor="accent1" w:themeShade="80"/>
      <w:spacing w:val="20"/>
      <w:szCs w:val="24"/>
    </w:rPr>
  </w:style>
  <w:style w:type="paragraph" w:styleId="Heading4">
    <w:name w:val="heading 4"/>
    <w:basedOn w:val="Normal"/>
    <w:next w:val="Normal"/>
    <w:link w:val="Heading4Char"/>
    <w:uiPriority w:val="9"/>
    <w:unhideWhenUsed/>
    <w:qFormat/>
    <w:rsid w:val="000A764A"/>
    <w:pPr>
      <w:spacing w:before="240"/>
      <w:outlineLvl w:val="3"/>
    </w:pPr>
    <w:rPr>
      <w:caps/>
      <w:spacing w:val="14"/>
    </w:rPr>
  </w:style>
  <w:style w:type="paragraph" w:styleId="Heading5">
    <w:name w:val="heading 5"/>
    <w:basedOn w:val="Normal"/>
    <w:next w:val="Normal"/>
    <w:link w:val="Heading5Char"/>
    <w:uiPriority w:val="9"/>
    <w:unhideWhenUsed/>
    <w:qFormat/>
    <w:rsid w:val="000A764A"/>
    <w:pPr>
      <w:spacing w:before="200"/>
      <w:outlineLvl w:val="4"/>
    </w:pPr>
    <w:rPr>
      <w:b/>
      <w:spacing w:val="10"/>
      <w:szCs w:val="26"/>
    </w:rPr>
  </w:style>
  <w:style w:type="paragraph" w:styleId="Heading6">
    <w:name w:val="heading 6"/>
    <w:basedOn w:val="Normal"/>
    <w:next w:val="Normal"/>
    <w:link w:val="Heading6Char"/>
    <w:uiPriority w:val="9"/>
    <w:unhideWhenUsed/>
    <w:qFormat/>
    <w:rsid w:val="003E38BF"/>
    <w:pPr>
      <w:outlineLvl w:val="5"/>
    </w:pPr>
    <w:rPr>
      <w:rFonts w:asciiTheme="majorHAnsi" w:hAnsiTheme="majorHAnsi"/>
      <w:b/>
      <w:color w:val="2F4359" w:themeColor="accent2" w:themeShade="BF"/>
      <w:spacing w:val="10"/>
    </w:rPr>
  </w:style>
  <w:style w:type="paragraph" w:styleId="Heading7">
    <w:name w:val="heading 7"/>
    <w:basedOn w:val="Normal"/>
    <w:next w:val="Normal"/>
    <w:link w:val="Heading7Char"/>
    <w:uiPriority w:val="9"/>
    <w:unhideWhenUsed/>
    <w:qFormat/>
    <w:rsid w:val="003E38BF"/>
    <w:pPr>
      <w:outlineLvl w:val="6"/>
    </w:pPr>
    <w:rPr>
      <w:rFonts w:asciiTheme="majorHAnsi" w:hAnsiTheme="majorHAnsi"/>
      <w:smallCaps/>
      <w:color w:val="4C4C4C" w:themeColor="text1"/>
      <w:spacing w:val="10"/>
    </w:rPr>
  </w:style>
  <w:style w:type="paragraph" w:styleId="Heading8">
    <w:name w:val="heading 8"/>
    <w:basedOn w:val="Normal"/>
    <w:next w:val="Normal"/>
    <w:link w:val="Heading8Char"/>
    <w:uiPriority w:val="9"/>
    <w:unhideWhenUsed/>
    <w:qFormat/>
    <w:rsid w:val="003E38BF"/>
    <w:pPr>
      <w:outlineLvl w:val="7"/>
    </w:pPr>
    <w:rPr>
      <w:rFonts w:asciiTheme="majorHAnsi" w:hAnsiTheme="majorHAnsi"/>
      <w:b/>
      <w:i/>
      <w:color w:val="284A70" w:themeColor="accent1" w:themeShade="80"/>
      <w:spacing w:val="10"/>
      <w:sz w:val="22"/>
    </w:rPr>
  </w:style>
  <w:style w:type="paragraph" w:styleId="Heading9">
    <w:name w:val="heading 9"/>
    <w:basedOn w:val="Normal"/>
    <w:next w:val="Normal"/>
    <w:link w:val="Heading9Char"/>
    <w:uiPriority w:val="9"/>
    <w:semiHidden/>
    <w:unhideWhenUsed/>
    <w:qFormat/>
    <w:rsid w:val="003E38BF"/>
    <w:pPr>
      <w:outlineLvl w:val="8"/>
    </w:pPr>
    <w:rPr>
      <w:rFonts w:asciiTheme="majorHAnsi" w:hAnsiTheme="majorHAnsi"/>
      <w:b/>
      <w:caps/>
      <w:color w:val="3B6BA6"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003"/>
    <w:rPr>
      <w:rFonts w:cs="Times New Roman (Headings CS)"/>
      <w:color w:val="auto"/>
      <w:sz w:val="56"/>
      <w:szCs w:val="48"/>
    </w:rPr>
  </w:style>
  <w:style w:type="character" w:customStyle="1" w:styleId="Heading2Char">
    <w:name w:val="Heading 2 Char"/>
    <w:basedOn w:val="DefaultParagraphFont"/>
    <w:link w:val="Heading2"/>
    <w:uiPriority w:val="9"/>
    <w:rsid w:val="002F46D0"/>
    <w:rPr>
      <w:rFonts w:cs="Times New Roman (Headings CS)"/>
      <w:color w:val="284A70" w:themeColor="accent1" w:themeShade="80"/>
      <w:spacing w:val="20"/>
      <w:sz w:val="28"/>
      <w:szCs w:val="28"/>
    </w:rPr>
  </w:style>
  <w:style w:type="character" w:customStyle="1" w:styleId="Heading3Char">
    <w:name w:val="Heading 3 Char"/>
    <w:basedOn w:val="DefaultParagraphFont"/>
    <w:link w:val="Heading3"/>
    <w:rsid w:val="002F46D0"/>
    <w:rPr>
      <w:rFonts w:asciiTheme="minorHAnsi" w:hAnsiTheme="minorHAnsi" w:cs="Times New Roman (Headings CS)"/>
      <w:color w:val="284A70" w:themeColor="accent1" w:themeShade="80"/>
      <w:spacing w:val="20"/>
      <w:sz w:val="24"/>
      <w:szCs w:val="24"/>
    </w:rPr>
  </w:style>
  <w:style w:type="paragraph" w:styleId="Footer">
    <w:name w:val="footer"/>
    <w:basedOn w:val="Normal"/>
    <w:link w:val="FooterChar"/>
    <w:uiPriority w:val="99"/>
    <w:unhideWhenUsed/>
    <w:rsid w:val="00247556"/>
    <w:pPr>
      <w:jc w:val="right"/>
    </w:pPr>
    <w:rPr>
      <w:rFonts w:asciiTheme="minorHAnsi" w:hAnsiTheme="minorHAnsi"/>
      <w:color w:val="6996C9" w:themeColor="accent1"/>
      <w:sz w:val="18"/>
    </w:rPr>
  </w:style>
  <w:style w:type="character" w:customStyle="1" w:styleId="FooterChar">
    <w:name w:val="Footer Char"/>
    <w:basedOn w:val="DefaultParagraphFont"/>
    <w:link w:val="Footer"/>
    <w:uiPriority w:val="99"/>
    <w:rsid w:val="00247556"/>
    <w:rPr>
      <w:rFonts w:asciiTheme="minorHAnsi" w:hAnsiTheme="minorHAnsi" w:cs="Times New Roman (Headings CS)"/>
      <w:color w:val="6996C9" w:themeColor="accent1"/>
      <w:sz w:val="18"/>
    </w:rPr>
  </w:style>
  <w:style w:type="paragraph" w:styleId="Header">
    <w:name w:val="header"/>
    <w:basedOn w:val="Normal"/>
    <w:link w:val="HeaderChar"/>
    <w:uiPriority w:val="99"/>
    <w:unhideWhenUsed/>
    <w:rsid w:val="00A65CE4"/>
    <w:rPr>
      <w:rFonts w:asciiTheme="minorHAnsi" w:hAnsiTheme="minorHAnsi"/>
      <w:caps/>
      <w:color w:val="6996C9" w:themeColor="accent1"/>
      <w:spacing w:val="26"/>
      <w:sz w:val="18"/>
    </w:rPr>
  </w:style>
  <w:style w:type="character" w:customStyle="1" w:styleId="HeaderChar">
    <w:name w:val="Header Char"/>
    <w:basedOn w:val="DefaultParagraphFont"/>
    <w:link w:val="Header"/>
    <w:uiPriority w:val="99"/>
    <w:rsid w:val="00A65CE4"/>
    <w:rPr>
      <w:rFonts w:asciiTheme="minorHAnsi" w:hAnsiTheme="minorHAnsi" w:cs="Times New Roman (Headings CS)"/>
      <w:caps/>
      <w:color w:val="6996C9" w:themeColor="accent1"/>
      <w:spacing w:val="26"/>
      <w:sz w:val="18"/>
    </w:rPr>
  </w:style>
  <w:style w:type="paragraph" w:styleId="IntenseQuote">
    <w:name w:val="Intense Quote"/>
    <w:basedOn w:val="Normal"/>
    <w:link w:val="IntenseQuoteChar"/>
    <w:uiPriority w:val="30"/>
    <w:qFormat/>
    <w:rsid w:val="000A764A"/>
    <w:pPr>
      <w:pBdr>
        <w:top w:val="double" w:sz="12" w:space="10" w:color="2F4359" w:themeColor="accent2" w:themeShade="BF"/>
        <w:bottom w:val="double" w:sz="12" w:space="10" w:color="2F4359" w:themeColor="accent2" w:themeShade="BF"/>
      </w:pBdr>
      <w:shd w:val="clear" w:color="auto" w:fill="FFFFFF" w:themeFill="background1"/>
      <w:spacing w:before="300" w:after="300"/>
      <w:ind w:left="720" w:right="720"/>
      <w:contextualSpacing/>
      <w:jc w:val="center"/>
    </w:pPr>
    <w:rPr>
      <w:color w:val="2F4359" w:themeColor="accent2" w:themeShade="BF"/>
    </w:rPr>
  </w:style>
  <w:style w:type="character" w:customStyle="1" w:styleId="IntenseQuoteChar">
    <w:name w:val="Intense Quote Char"/>
    <w:basedOn w:val="DefaultParagraphFont"/>
    <w:link w:val="IntenseQuote"/>
    <w:uiPriority w:val="30"/>
    <w:rsid w:val="000A764A"/>
    <w:rPr>
      <w:color w:val="2F4359" w:themeColor="accent2" w:themeShade="BF"/>
      <w:shd w:val="clear" w:color="auto" w:fill="FFFFFF" w:themeFill="background1"/>
    </w:rPr>
  </w:style>
  <w:style w:type="paragraph" w:styleId="Subtitle">
    <w:name w:val="Subtitle"/>
    <w:basedOn w:val="Normal"/>
    <w:next w:val="Normal"/>
    <w:link w:val="SubtitleChar"/>
    <w:uiPriority w:val="11"/>
    <w:qFormat/>
    <w:rsid w:val="00674E72"/>
    <w:pPr>
      <w:spacing w:after="360"/>
      <w:contextualSpacing/>
    </w:pPr>
    <w:rPr>
      <w:rFonts w:ascii="Century Gothic" w:hAnsi="Century Gothic"/>
      <w:caps/>
      <w:color w:val="A5C0DE" w:themeColor="accent4"/>
      <w:spacing w:val="50"/>
    </w:rPr>
  </w:style>
  <w:style w:type="character" w:customStyle="1" w:styleId="SubtitleChar">
    <w:name w:val="Subtitle Char"/>
    <w:basedOn w:val="DefaultParagraphFont"/>
    <w:link w:val="Subtitle"/>
    <w:uiPriority w:val="11"/>
    <w:rsid w:val="00674E72"/>
    <w:rPr>
      <w:rFonts w:cs="Times New Roman (Headings CS)"/>
      <w:caps/>
      <w:color w:val="A5C0DE" w:themeColor="accent4"/>
      <w:spacing w:val="50"/>
      <w:sz w:val="24"/>
      <w:szCs w:val="22"/>
    </w:rPr>
  </w:style>
  <w:style w:type="paragraph" w:styleId="Title">
    <w:name w:val="Title"/>
    <w:basedOn w:val="Normal"/>
    <w:link w:val="TitleChar"/>
    <w:uiPriority w:val="10"/>
    <w:qFormat/>
    <w:rsid w:val="00E8339C"/>
    <w:pPr>
      <w:contextualSpacing/>
    </w:pPr>
    <w:rPr>
      <w:rFonts w:ascii="Century Gothic" w:hAnsi="Century Gothic"/>
      <w:sz w:val="72"/>
      <w:szCs w:val="48"/>
    </w:rPr>
  </w:style>
  <w:style w:type="character" w:customStyle="1" w:styleId="TitleChar">
    <w:name w:val="Title Char"/>
    <w:basedOn w:val="DefaultParagraphFont"/>
    <w:link w:val="Title"/>
    <w:uiPriority w:val="10"/>
    <w:rsid w:val="00E8339C"/>
    <w:rPr>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rsid w:val="000A764A"/>
    <w:rPr>
      <w:caps/>
      <w:spacing w:val="14"/>
      <w:szCs w:val="22"/>
    </w:rPr>
  </w:style>
  <w:style w:type="character" w:customStyle="1" w:styleId="Heading5Char">
    <w:name w:val="Heading 5 Char"/>
    <w:basedOn w:val="DefaultParagraphFont"/>
    <w:link w:val="Heading5"/>
    <w:uiPriority w:val="9"/>
    <w:rsid w:val="000A764A"/>
    <w:rPr>
      <w:b/>
      <w:spacing w:val="10"/>
      <w:szCs w:val="26"/>
    </w:rPr>
  </w:style>
  <w:style w:type="character" w:customStyle="1" w:styleId="Heading6Char">
    <w:name w:val="Heading 6 Char"/>
    <w:basedOn w:val="DefaultParagraphFont"/>
    <w:link w:val="Heading6"/>
    <w:uiPriority w:val="9"/>
    <w:rsid w:val="003E38BF"/>
    <w:rPr>
      <w:rFonts w:asciiTheme="majorHAnsi" w:hAnsiTheme="majorHAnsi"/>
      <w:b/>
      <w:color w:val="2F4359" w:themeColor="accent2" w:themeShade="BF"/>
      <w:spacing w:val="10"/>
    </w:rPr>
  </w:style>
  <w:style w:type="character" w:customStyle="1" w:styleId="Heading7Char">
    <w:name w:val="Heading 7 Char"/>
    <w:basedOn w:val="DefaultParagraphFont"/>
    <w:link w:val="Heading7"/>
    <w:uiPriority w:val="9"/>
    <w:rsid w:val="003E38BF"/>
    <w:rPr>
      <w:rFonts w:asciiTheme="majorHAnsi" w:hAnsiTheme="majorHAnsi"/>
      <w:smallCaps/>
      <w:color w:val="4C4C4C" w:themeColor="text1"/>
      <w:spacing w:val="10"/>
    </w:rPr>
  </w:style>
  <w:style w:type="character" w:customStyle="1" w:styleId="Heading8Char">
    <w:name w:val="Heading 8 Char"/>
    <w:basedOn w:val="DefaultParagraphFont"/>
    <w:link w:val="Heading8"/>
    <w:uiPriority w:val="9"/>
    <w:rsid w:val="003E38BF"/>
    <w:rPr>
      <w:rFonts w:asciiTheme="majorHAnsi" w:hAnsiTheme="majorHAnsi"/>
      <w:b/>
      <w:i/>
      <w:color w:val="284A70"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3B6BA6" w:themeColor="accent3" w:themeShade="80"/>
      <w:sz w:val="22"/>
    </w:rPr>
  </w:style>
  <w:style w:type="character" w:styleId="Hyperlink">
    <w:name w:val="Hyperlink"/>
    <w:basedOn w:val="DefaultParagraphFont"/>
    <w:uiPriority w:val="99"/>
    <w:unhideWhenUsed/>
    <w:rPr>
      <w:color w:val="0A0AE6"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5"/>
      </w:numPr>
    </w:p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rsid w:val="00E12C24"/>
    <w:pPr>
      <w:tabs>
        <w:tab w:val="right" w:pos="8626"/>
      </w:tabs>
      <w:spacing w:before="180" w:after="40"/>
    </w:pPr>
    <w:rPr>
      <w:rFonts w:ascii="Century Gothic" w:hAnsi="Century Gothic"/>
      <w:caps/>
      <w:noProof/>
      <w:color w:val="393939" w:themeColor="background2" w:themeShade="40"/>
      <w:spacing w:val="20"/>
    </w:rPr>
  </w:style>
  <w:style w:type="paragraph" w:styleId="TOC2">
    <w:name w:val="toc 2"/>
    <w:basedOn w:val="Normal"/>
    <w:next w:val="Normal"/>
    <w:autoRedefine/>
    <w:uiPriority w:val="39"/>
    <w:unhideWhenUsed/>
    <w:rsid w:val="00D20684"/>
    <w:pPr>
      <w:tabs>
        <w:tab w:val="right" w:leader="dot" w:pos="8630"/>
      </w:tabs>
      <w:spacing w:after="40"/>
      <w:ind w:left="144"/>
    </w:pPr>
    <w:rPr>
      <w:rFonts w:asciiTheme="minorHAnsi" w:hAnsiTheme="minorHAnsi"/>
      <w:noProof/>
      <w:spacing w:val="10"/>
      <w:sz w:val="20"/>
    </w:rPr>
  </w:style>
  <w:style w:type="paragraph" w:styleId="TOC3">
    <w:name w:val="toc 3"/>
    <w:basedOn w:val="Normal"/>
    <w:next w:val="Normal"/>
    <w:autoRedefine/>
    <w:uiPriority w:val="39"/>
    <w:unhideWhenUsed/>
    <w:qFormat/>
    <w:rsid w:val="00B51149"/>
    <w:pPr>
      <w:tabs>
        <w:tab w:val="right" w:leader="dot" w:pos="8630"/>
      </w:tabs>
      <w:spacing w:after="40"/>
      <w:ind w:left="288"/>
    </w:pPr>
    <w:rPr>
      <w:rFonts w:asciiTheme="minorHAnsi" w:hAnsiTheme="minorHAnsi"/>
      <w:noProof/>
      <w:spacing w:val="10"/>
      <w:sz w:val="20"/>
    </w:rPr>
  </w:style>
  <w:style w:type="paragraph" w:styleId="TOC4">
    <w:name w:val="toc 4"/>
    <w:basedOn w:val="Normal"/>
    <w:next w:val="Normal"/>
    <w:autoRedefine/>
    <w:uiPriority w:val="39"/>
    <w:unhideWhenUsed/>
    <w:qFormat/>
    <w:pPr>
      <w:tabs>
        <w:tab w:val="right" w:leader="dot" w:pos="8630"/>
      </w:tabs>
      <w:spacing w:after="40"/>
      <w:ind w:left="432"/>
    </w:pPr>
    <w:rPr>
      <w:noProof/>
    </w:rPr>
  </w:style>
  <w:style w:type="paragraph" w:styleId="TOC5">
    <w:name w:val="toc 5"/>
    <w:basedOn w:val="Normal"/>
    <w:next w:val="Normal"/>
    <w:autoRedefine/>
    <w:uiPriority w:val="39"/>
    <w:unhideWhenUsed/>
    <w:qFormat/>
    <w:pPr>
      <w:tabs>
        <w:tab w:val="right" w:leader="dot" w:pos="8630"/>
      </w:tabs>
      <w:spacing w:after="40"/>
      <w:ind w:left="576"/>
    </w:pPr>
    <w:rPr>
      <w:noProof/>
    </w:rPr>
  </w:style>
  <w:style w:type="paragraph" w:styleId="TOC6">
    <w:name w:val="toc 6"/>
    <w:basedOn w:val="Normal"/>
    <w:next w:val="Normal"/>
    <w:autoRedefine/>
    <w:uiPriority w:val="39"/>
    <w:unhideWhenUsed/>
    <w:qFormat/>
    <w:pPr>
      <w:tabs>
        <w:tab w:val="right" w:leader="dot" w:pos="8630"/>
      </w:tabs>
      <w:spacing w:after="40"/>
      <w:ind w:left="720"/>
    </w:pPr>
    <w:rPr>
      <w:noProof/>
    </w:rPr>
  </w:style>
  <w:style w:type="paragraph" w:styleId="TOC7">
    <w:name w:val="toc 7"/>
    <w:basedOn w:val="Normal"/>
    <w:next w:val="Normal"/>
    <w:autoRedefine/>
    <w:uiPriority w:val="39"/>
    <w:unhideWhenUsed/>
    <w:qFormat/>
    <w:pPr>
      <w:tabs>
        <w:tab w:val="right" w:leader="dot" w:pos="8630"/>
      </w:tabs>
      <w:spacing w:after="40"/>
      <w:ind w:left="864"/>
    </w:pPr>
    <w:rPr>
      <w:noProof/>
    </w:rPr>
  </w:style>
  <w:style w:type="paragraph" w:styleId="TOC8">
    <w:name w:val="toc 8"/>
    <w:basedOn w:val="Normal"/>
    <w:next w:val="Normal"/>
    <w:autoRedefine/>
    <w:uiPriority w:val="39"/>
    <w:unhideWhenUsed/>
    <w:qFormat/>
    <w:pPr>
      <w:tabs>
        <w:tab w:val="right" w:leader="dot" w:pos="8630"/>
      </w:tabs>
      <w:spacing w:after="40"/>
      <w:ind w:left="1008"/>
    </w:pPr>
    <w:rPr>
      <w:noProof/>
    </w:rPr>
  </w:style>
  <w:style w:type="paragraph" w:styleId="TOC9">
    <w:name w:val="toc 9"/>
    <w:basedOn w:val="Normal"/>
    <w:next w:val="Normal"/>
    <w:autoRedefine/>
    <w:uiPriority w:val="39"/>
    <w:unhideWhenUsed/>
    <w:qFormat/>
    <w:pPr>
      <w:tabs>
        <w:tab w:val="right" w:leader="dot" w:pos="8630"/>
      </w:tabs>
      <w:spacing w:after="40"/>
      <w:ind w:left="1152"/>
    </w:pPr>
    <w:rPr>
      <w:noProof/>
    </w:rPr>
  </w:style>
  <w:style w:type="paragraph" w:customStyle="1" w:styleId="FooterEven">
    <w:name w:val="Footer Even"/>
    <w:basedOn w:val="Normal"/>
    <w:uiPriority w:val="49"/>
    <w:unhideWhenUsed/>
    <w:pPr>
      <w:pBdr>
        <w:top w:val="single" w:sz="4" w:space="1" w:color="6996C9" w:themeColor="accent1"/>
      </w:pBdr>
    </w:pPr>
    <w:rPr>
      <w:sz w:val="22"/>
    </w:rPr>
  </w:style>
  <w:style w:type="paragraph" w:customStyle="1" w:styleId="FooterOdd">
    <w:name w:val="Footer Odd"/>
    <w:basedOn w:val="Normal"/>
    <w:uiPriority w:val="49"/>
    <w:unhideWhenUsed/>
    <w:pPr>
      <w:pBdr>
        <w:top w:val="single" w:sz="4" w:space="1" w:color="6996C9" w:themeColor="accent1"/>
      </w:pBdr>
      <w:jc w:val="right"/>
    </w:pPr>
    <w:rPr>
      <w:sz w:val="22"/>
    </w:rPr>
  </w:style>
  <w:style w:type="paragraph" w:customStyle="1" w:styleId="HeaderEven">
    <w:name w:val="Header Even"/>
    <w:basedOn w:val="Normal"/>
    <w:uiPriority w:val="49"/>
    <w:unhideWhenUsed/>
    <w:pPr>
      <w:pBdr>
        <w:bottom w:val="single" w:sz="4" w:space="1" w:color="6996C9" w:themeColor="accent1"/>
      </w:pBdr>
    </w:pPr>
    <w:rPr>
      <w:rFonts w:eastAsia="Times New Roman"/>
      <w:b/>
      <w:sz w:val="22"/>
      <w:szCs w:val="24"/>
      <w:lang w:eastAsia="ko-KR"/>
    </w:rPr>
  </w:style>
  <w:style w:type="paragraph" w:customStyle="1" w:styleId="HeaderOdd">
    <w:name w:val="Header Odd"/>
    <w:basedOn w:val="Normal"/>
    <w:uiPriority w:val="49"/>
    <w:unhideWhenUsed/>
    <w:rsid w:val="005B2529"/>
    <w:pPr>
      <w:pBdr>
        <w:bottom w:val="single" w:sz="4" w:space="1" w:color="6996C9" w:themeColor="accent1"/>
      </w:pBdr>
    </w:pPr>
    <w:rPr>
      <w:rFonts w:eastAsia="Times New Roman"/>
      <w:b/>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E36E4E"/>
    <w:rPr>
      <w:rFonts w:asciiTheme="minorHAnsi" w:hAnsiTheme="minorHAnsi"/>
      <w:color w:val="FFFFFF" w:themeColor="background1"/>
      <w:spacing w:val="20"/>
      <w:sz w:val="28"/>
    </w:rPr>
  </w:style>
  <w:style w:type="character" w:customStyle="1" w:styleId="DateChar">
    <w:name w:val="Date Char"/>
    <w:basedOn w:val="DefaultParagraphFont"/>
    <w:link w:val="Date"/>
    <w:uiPriority w:val="2"/>
    <w:rsid w:val="00E36E4E"/>
    <w:rPr>
      <w:rFonts w:asciiTheme="minorHAnsi" w:hAnsiTheme="minorHAnsi" w:cs="Times New Roman (Headings CS)"/>
      <w:color w:val="FFFFFF" w:themeColor="background1"/>
      <w:spacing w:val="20"/>
      <w:sz w:val="28"/>
    </w:rPr>
  </w:style>
  <w:style w:type="paragraph" w:customStyle="1" w:styleId="Abstract">
    <w:name w:val="Abstract"/>
    <w:basedOn w:val="Normal"/>
    <w:uiPriority w:val="5"/>
    <w:qFormat/>
    <w:rsid w:val="009D5D51"/>
    <w:pPr>
      <w:spacing w:line="360" w:lineRule="auto"/>
    </w:pPr>
    <w:rPr>
      <w:color w:val="FFFFFF" w:themeColor="background1"/>
      <w:sz w:val="28"/>
    </w:rPr>
  </w:style>
  <w:style w:type="paragraph" w:customStyle="1" w:styleId="CoverPageTitle">
    <w:name w:val="Cover Page Title"/>
    <w:basedOn w:val="Normal"/>
    <w:uiPriority w:val="1"/>
    <w:qFormat/>
    <w:rsid w:val="005C49DD"/>
    <w:rPr>
      <w:rFonts w:ascii="Century Gothic" w:eastAsiaTheme="majorEastAsia" w:hAnsi="Century Gothic"/>
      <w:color w:val="FFFFFF" w:themeColor="background1"/>
      <w:sz w:val="96"/>
      <w:szCs w:val="110"/>
    </w:rPr>
  </w:style>
  <w:style w:type="paragraph" w:customStyle="1" w:styleId="CoverPageSubtitle">
    <w:name w:val="Cover Page Subtitle"/>
    <w:basedOn w:val="Normal"/>
    <w:uiPriority w:val="3"/>
    <w:qFormat/>
    <w:rsid w:val="00E36E4E"/>
    <w:rPr>
      <w:rFonts w:asciiTheme="minorHAnsi" w:hAnsiTheme="minorHAnsi"/>
      <w:caps/>
      <w:color w:val="FFFFFF" w:themeColor="background1"/>
      <w:spacing w:val="50"/>
      <w:sz w:val="32"/>
      <w:szCs w:val="28"/>
    </w:rPr>
  </w:style>
  <w:style w:type="paragraph" w:styleId="BlockText">
    <w:name w:val="Block Text"/>
    <w:basedOn w:val="Normal"/>
    <w:uiPriority w:val="99"/>
    <w:semiHidden/>
    <w:unhideWhenUsed/>
    <w:rsid w:val="008662AD"/>
    <w:pPr>
      <w:pBdr>
        <w:top w:val="single" w:sz="2" w:space="10" w:color="284A70" w:themeColor="accent1" w:themeShade="80"/>
        <w:left w:val="single" w:sz="2" w:space="10" w:color="284A70" w:themeColor="accent1" w:themeShade="80"/>
        <w:bottom w:val="single" w:sz="2" w:space="10" w:color="284A70" w:themeColor="accent1" w:themeShade="80"/>
        <w:right w:val="single" w:sz="2" w:space="10" w:color="284A70" w:themeColor="accent1" w:themeShade="80"/>
      </w:pBdr>
      <w:ind w:left="1152" w:right="1152"/>
    </w:pPr>
    <w:rPr>
      <w:i/>
      <w:iCs/>
      <w:color w:val="284A70" w:themeColor="accent1" w:themeShade="80"/>
    </w:rPr>
  </w:style>
  <w:style w:type="paragraph" w:styleId="BodyText">
    <w:name w:val="Body Text"/>
    <w:aliases w:val="bt"/>
    <w:basedOn w:val="Normal"/>
    <w:link w:val="BodyTextChar"/>
    <w:unhideWhenUsed/>
    <w:rsid w:val="005225B2"/>
    <w:pPr>
      <w:spacing w:after="120"/>
    </w:pPr>
  </w:style>
  <w:style w:type="character" w:customStyle="1" w:styleId="BodyTextChar">
    <w:name w:val="Body Text Char"/>
    <w:aliases w:val="bt Char"/>
    <w:basedOn w:val="DefaultParagraphFont"/>
    <w:link w:val="BodyText"/>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BDBDB" w:themeFill="text1" w:themeFillTint="33"/>
    </w:tcPr>
    <w:tblStylePr w:type="firstRow">
      <w:rPr>
        <w:b/>
        <w:bCs/>
      </w:rPr>
      <w:tblPr/>
      <w:tcPr>
        <w:shd w:val="clear" w:color="auto" w:fill="B7B7B7" w:themeFill="text1" w:themeFillTint="66"/>
      </w:tcPr>
    </w:tblStylePr>
    <w:tblStylePr w:type="lastRow">
      <w:rPr>
        <w:b/>
        <w:bCs/>
        <w:color w:val="4C4C4C" w:themeColor="text1"/>
      </w:rPr>
      <w:tblPr/>
      <w:tcPr>
        <w:shd w:val="clear" w:color="auto" w:fill="B7B7B7" w:themeFill="text1" w:themeFillTint="66"/>
      </w:tcPr>
    </w:tblStylePr>
    <w:tblStylePr w:type="firstCol">
      <w:rPr>
        <w:color w:val="FFFFFF" w:themeColor="background1"/>
      </w:rPr>
      <w:tblPr/>
      <w:tcPr>
        <w:shd w:val="clear" w:color="auto" w:fill="383838" w:themeFill="text1" w:themeFillShade="BF"/>
      </w:tcPr>
    </w:tblStylePr>
    <w:tblStylePr w:type="lastCol">
      <w:rPr>
        <w:color w:val="FFFFFF" w:themeColor="background1"/>
      </w:rPr>
      <w:tblPr/>
      <w:tcPr>
        <w:shd w:val="clear" w:color="auto" w:fill="383838" w:themeFill="text1" w:themeFillShade="BF"/>
      </w:tcPr>
    </w:tblStylePr>
    <w:tblStylePr w:type="band1Vert">
      <w:tblPr/>
      <w:tcPr>
        <w:shd w:val="clear" w:color="auto" w:fill="A5A5A5" w:themeFill="text1" w:themeFillTint="7F"/>
      </w:tcPr>
    </w:tblStylePr>
    <w:tblStylePr w:type="band1Horz">
      <w:tblPr/>
      <w:tcPr>
        <w:shd w:val="clear" w:color="auto" w:fill="A5A5A5"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0E9F4" w:themeFill="accent1" w:themeFillTint="33"/>
    </w:tcPr>
    <w:tblStylePr w:type="firstRow">
      <w:rPr>
        <w:b/>
        <w:bCs/>
      </w:rPr>
      <w:tblPr/>
      <w:tcPr>
        <w:shd w:val="clear" w:color="auto" w:fill="C2D4E9" w:themeFill="accent1" w:themeFillTint="66"/>
      </w:tcPr>
    </w:tblStylePr>
    <w:tblStylePr w:type="lastRow">
      <w:rPr>
        <w:b/>
        <w:bCs/>
        <w:color w:val="4C4C4C" w:themeColor="text1"/>
      </w:rPr>
      <w:tblPr/>
      <w:tcPr>
        <w:shd w:val="clear" w:color="auto" w:fill="C2D4E9" w:themeFill="accent1" w:themeFillTint="66"/>
      </w:tcPr>
    </w:tblStylePr>
    <w:tblStylePr w:type="firstCol">
      <w:rPr>
        <w:color w:val="FFFFFF" w:themeColor="background1"/>
      </w:rPr>
      <w:tblPr/>
      <w:tcPr>
        <w:shd w:val="clear" w:color="auto" w:fill="3C6EA8" w:themeFill="accent1" w:themeFillShade="BF"/>
      </w:tcPr>
    </w:tblStylePr>
    <w:tblStylePr w:type="lastCol">
      <w:rPr>
        <w:color w:val="FFFFFF" w:themeColor="background1"/>
      </w:rPr>
      <w:tblPr/>
      <w:tcPr>
        <w:shd w:val="clear" w:color="auto" w:fill="3C6EA8" w:themeFill="accent1" w:themeFillShade="BF"/>
      </w:tcPr>
    </w:tblStylePr>
    <w:tblStylePr w:type="band1Vert">
      <w:tblPr/>
      <w:tcPr>
        <w:shd w:val="clear" w:color="auto" w:fill="B4CAE4" w:themeFill="accent1" w:themeFillTint="7F"/>
      </w:tcPr>
    </w:tblStylePr>
    <w:tblStylePr w:type="band1Horz">
      <w:tblPr/>
      <w:tcPr>
        <w:shd w:val="clear" w:color="auto" w:fill="B4CAE4"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3DDE8" w:themeFill="accent2" w:themeFillTint="33"/>
    </w:tcPr>
    <w:tblStylePr w:type="firstRow">
      <w:rPr>
        <w:b/>
        <w:bCs/>
      </w:rPr>
      <w:tblPr/>
      <w:tcPr>
        <w:shd w:val="clear" w:color="auto" w:fill="A9BCD2" w:themeFill="accent2" w:themeFillTint="66"/>
      </w:tcPr>
    </w:tblStylePr>
    <w:tblStylePr w:type="lastRow">
      <w:rPr>
        <w:b/>
        <w:bCs/>
        <w:color w:val="4C4C4C" w:themeColor="text1"/>
      </w:rPr>
      <w:tblPr/>
      <w:tcPr>
        <w:shd w:val="clear" w:color="auto" w:fill="A9BCD2" w:themeFill="accent2" w:themeFillTint="66"/>
      </w:tcPr>
    </w:tblStylePr>
    <w:tblStylePr w:type="firstCol">
      <w:rPr>
        <w:color w:val="FFFFFF" w:themeColor="background1"/>
      </w:rPr>
      <w:tblPr/>
      <w:tcPr>
        <w:shd w:val="clear" w:color="auto" w:fill="2F4359" w:themeFill="accent2" w:themeFillShade="BF"/>
      </w:tcPr>
    </w:tblStylePr>
    <w:tblStylePr w:type="lastCol">
      <w:rPr>
        <w:color w:val="FFFFFF" w:themeColor="background1"/>
      </w:rPr>
      <w:tblPr/>
      <w:tcPr>
        <w:shd w:val="clear" w:color="auto" w:fill="2F4359" w:themeFill="accent2" w:themeFillShade="BF"/>
      </w:tcPr>
    </w:tblStylePr>
    <w:tblStylePr w:type="band1Vert">
      <w:tblPr/>
      <w:tcPr>
        <w:shd w:val="clear" w:color="auto" w:fill="94ACC7" w:themeFill="accent2" w:themeFillTint="7F"/>
      </w:tcPr>
    </w:tblStylePr>
    <w:tblStylePr w:type="band1Horz">
      <w:tblPr/>
      <w:tcPr>
        <w:shd w:val="clear" w:color="auto" w:fill="94ACC7"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F5F8FB" w:themeFill="accent3" w:themeFillTint="33"/>
    </w:tcPr>
    <w:tblStylePr w:type="firstRow">
      <w:rPr>
        <w:b/>
        <w:bCs/>
      </w:rPr>
      <w:tblPr/>
      <w:tcPr>
        <w:shd w:val="clear" w:color="auto" w:fill="ECF2F8" w:themeFill="accent3" w:themeFillTint="66"/>
      </w:tcPr>
    </w:tblStylePr>
    <w:tblStylePr w:type="lastRow">
      <w:rPr>
        <w:b/>
        <w:bCs/>
        <w:color w:val="4C4C4C" w:themeColor="text1"/>
      </w:rPr>
      <w:tblPr/>
      <w:tcPr>
        <w:shd w:val="clear" w:color="auto" w:fill="ECF2F8" w:themeFill="accent3" w:themeFillTint="66"/>
      </w:tcPr>
    </w:tblStylePr>
    <w:tblStylePr w:type="firstCol">
      <w:rPr>
        <w:color w:val="FFFFFF" w:themeColor="background1"/>
      </w:rPr>
      <w:tblPr/>
      <w:tcPr>
        <w:shd w:val="clear" w:color="auto" w:fill="7EA3D1" w:themeFill="accent3" w:themeFillShade="BF"/>
      </w:tcPr>
    </w:tblStylePr>
    <w:tblStylePr w:type="lastCol">
      <w:rPr>
        <w:color w:val="FFFFFF" w:themeColor="background1"/>
      </w:rPr>
      <w:tblPr/>
      <w:tcPr>
        <w:shd w:val="clear" w:color="auto" w:fill="7EA3D1" w:themeFill="accent3" w:themeFillShade="BF"/>
      </w:tcPr>
    </w:tblStylePr>
    <w:tblStylePr w:type="band1Vert">
      <w:tblPr/>
      <w:tcPr>
        <w:shd w:val="clear" w:color="auto" w:fill="E8EEF7" w:themeFill="accent3" w:themeFillTint="7F"/>
      </w:tcPr>
    </w:tblStylePr>
    <w:tblStylePr w:type="band1Horz">
      <w:tblPr/>
      <w:tcPr>
        <w:shd w:val="clear" w:color="auto" w:fill="E8EEF7"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CF2F8" w:themeFill="accent4" w:themeFillTint="33"/>
    </w:tcPr>
    <w:tblStylePr w:type="firstRow">
      <w:rPr>
        <w:b/>
        <w:bCs/>
      </w:rPr>
      <w:tblPr/>
      <w:tcPr>
        <w:shd w:val="clear" w:color="auto" w:fill="DAE5F1" w:themeFill="accent4" w:themeFillTint="66"/>
      </w:tcPr>
    </w:tblStylePr>
    <w:tblStylePr w:type="lastRow">
      <w:rPr>
        <w:b/>
        <w:bCs/>
        <w:color w:val="4C4C4C" w:themeColor="text1"/>
      </w:rPr>
      <w:tblPr/>
      <w:tcPr>
        <w:shd w:val="clear" w:color="auto" w:fill="DAE5F1" w:themeFill="accent4" w:themeFillTint="66"/>
      </w:tcPr>
    </w:tblStylePr>
    <w:tblStylePr w:type="firstCol">
      <w:rPr>
        <w:color w:val="FFFFFF" w:themeColor="background1"/>
      </w:rPr>
      <w:tblPr/>
      <w:tcPr>
        <w:shd w:val="clear" w:color="auto" w:fill="5D8DC4" w:themeFill="accent4" w:themeFillShade="BF"/>
      </w:tcPr>
    </w:tblStylePr>
    <w:tblStylePr w:type="lastCol">
      <w:rPr>
        <w:color w:val="FFFFFF" w:themeColor="background1"/>
      </w:rPr>
      <w:tblPr/>
      <w:tcPr>
        <w:shd w:val="clear" w:color="auto" w:fill="5D8DC4" w:themeFill="accent4" w:themeFillShade="BF"/>
      </w:tcPr>
    </w:tblStylePr>
    <w:tblStylePr w:type="band1Vert">
      <w:tblPr/>
      <w:tcPr>
        <w:shd w:val="clear" w:color="auto" w:fill="D2DFEE" w:themeFill="accent4" w:themeFillTint="7F"/>
      </w:tcPr>
    </w:tblStylePr>
    <w:tblStylePr w:type="band1Horz">
      <w:tblPr/>
      <w:tcPr>
        <w:shd w:val="clear" w:color="auto" w:fill="D2DFEE"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7EEF6" w:themeFill="accent5" w:themeFillTint="33"/>
    </w:tcPr>
    <w:tblStylePr w:type="firstRow">
      <w:rPr>
        <w:b/>
        <w:bCs/>
      </w:rPr>
      <w:tblPr/>
      <w:tcPr>
        <w:shd w:val="clear" w:color="auto" w:fill="CFDDED" w:themeFill="accent5" w:themeFillTint="66"/>
      </w:tcPr>
    </w:tblStylePr>
    <w:tblStylePr w:type="lastRow">
      <w:rPr>
        <w:b/>
        <w:bCs/>
        <w:color w:val="4C4C4C" w:themeColor="text1"/>
      </w:rPr>
      <w:tblPr/>
      <w:tcPr>
        <w:shd w:val="clear" w:color="auto" w:fill="CFDDED" w:themeFill="accent5" w:themeFillTint="66"/>
      </w:tcPr>
    </w:tblStylePr>
    <w:tblStylePr w:type="firstCol">
      <w:rPr>
        <w:color w:val="FFFFFF" w:themeColor="background1"/>
      </w:rPr>
      <w:tblPr/>
      <w:tcPr>
        <w:shd w:val="clear" w:color="auto" w:fill="487DBB" w:themeFill="accent5" w:themeFillShade="BF"/>
      </w:tcPr>
    </w:tblStylePr>
    <w:tblStylePr w:type="lastCol">
      <w:rPr>
        <w:color w:val="FFFFFF" w:themeColor="background1"/>
      </w:rPr>
      <w:tblPr/>
      <w:tcPr>
        <w:shd w:val="clear" w:color="auto" w:fill="487DBB" w:themeFill="accent5" w:themeFillShade="BF"/>
      </w:tcPr>
    </w:tblStylePr>
    <w:tblStylePr w:type="band1Vert">
      <w:tblPr/>
      <w:tcPr>
        <w:shd w:val="clear" w:color="auto" w:fill="C3D5E9" w:themeFill="accent5" w:themeFillTint="7F"/>
      </w:tcPr>
    </w:tblStylePr>
    <w:tblStylePr w:type="band1Horz">
      <w:tblPr/>
      <w:tcPr>
        <w:shd w:val="clear" w:color="auto" w:fill="C3D5E9"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CE3EC" w:themeFill="accent6" w:themeFillTint="33"/>
    </w:tcPr>
    <w:tblStylePr w:type="firstRow">
      <w:rPr>
        <w:b/>
        <w:bCs/>
      </w:rPr>
      <w:tblPr/>
      <w:tcPr>
        <w:shd w:val="clear" w:color="auto" w:fill="B9C8DA" w:themeFill="accent6" w:themeFillTint="66"/>
      </w:tcPr>
    </w:tblStylePr>
    <w:tblStylePr w:type="lastRow">
      <w:rPr>
        <w:b/>
        <w:bCs/>
        <w:color w:val="4C4C4C" w:themeColor="text1"/>
      </w:rPr>
      <w:tblPr/>
      <w:tcPr>
        <w:shd w:val="clear" w:color="auto" w:fill="B9C8DA" w:themeFill="accent6" w:themeFillTint="66"/>
      </w:tcPr>
    </w:tblStylePr>
    <w:tblStylePr w:type="firstCol">
      <w:rPr>
        <w:color w:val="FFFFFF" w:themeColor="background1"/>
      </w:rPr>
      <w:tblPr/>
      <w:tcPr>
        <w:shd w:val="clear" w:color="auto" w:fill="3F5977" w:themeFill="accent6" w:themeFillShade="BF"/>
      </w:tcPr>
    </w:tblStylePr>
    <w:tblStylePr w:type="lastCol">
      <w:rPr>
        <w:color w:val="FFFFFF" w:themeColor="background1"/>
      </w:rPr>
      <w:tblPr/>
      <w:tcPr>
        <w:shd w:val="clear" w:color="auto" w:fill="3F5977" w:themeFill="accent6" w:themeFillShade="BF"/>
      </w:tcPr>
    </w:tblStylePr>
    <w:tblStylePr w:type="band1Vert">
      <w:tblPr/>
      <w:tcPr>
        <w:shd w:val="clear" w:color="auto" w:fill="A8BBD1" w:themeFill="accent6" w:themeFillTint="7F"/>
      </w:tcPr>
    </w:tblStylePr>
    <w:tblStylePr w:type="band1Horz">
      <w:tblPr/>
      <w:tcPr>
        <w:shd w:val="clear" w:color="auto" w:fill="A8BBD1"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4C4C4C" w:themeColor="text1"/>
    </w:rPr>
    <w:tblPr>
      <w:tblStyleRowBandSize w:val="1"/>
      <w:tblStyleColBandSize w:val="1"/>
    </w:tblPr>
    <w:tcPr>
      <w:shd w:val="clear" w:color="auto" w:fill="EDEDED" w:themeFill="text1"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2" w:themeFill="text1" w:themeFillTint="3F"/>
      </w:tcPr>
    </w:tblStylePr>
    <w:tblStylePr w:type="band1Horz">
      <w:tblPr/>
      <w:tcPr>
        <w:shd w:val="clear" w:color="auto" w:fill="DBDBDB"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4C4C4C" w:themeColor="text1"/>
    </w:rPr>
    <w:tblPr>
      <w:tblStyleRowBandSize w:val="1"/>
      <w:tblStyleColBandSize w:val="1"/>
    </w:tblPr>
    <w:tcPr>
      <w:shd w:val="clear" w:color="auto" w:fill="F0F4F9" w:themeFill="accent1"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F1" w:themeFill="accent1" w:themeFillTint="3F"/>
      </w:tcPr>
    </w:tblStylePr>
    <w:tblStylePr w:type="band1Horz">
      <w:tblPr/>
      <w:tcPr>
        <w:shd w:val="clear" w:color="auto" w:fill="E0E9F4"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4C4C4C" w:themeColor="text1"/>
    </w:rPr>
    <w:tblPr>
      <w:tblStyleRowBandSize w:val="1"/>
      <w:tblStyleColBandSize w:val="1"/>
    </w:tblPr>
    <w:tcPr>
      <w:shd w:val="clear" w:color="auto" w:fill="E9EEF4" w:themeFill="accent2"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5E3" w:themeFill="accent2" w:themeFillTint="3F"/>
      </w:tcPr>
    </w:tblStylePr>
    <w:tblStylePr w:type="band1Horz">
      <w:tblPr/>
      <w:tcPr>
        <w:shd w:val="clear" w:color="auto" w:fill="D3DDE8"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4C4C4C" w:themeColor="text1"/>
    </w:rPr>
    <w:tblPr>
      <w:tblStyleRowBandSize w:val="1"/>
      <w:tblStyleColBandSize w:val="1"/>
    </w:tblPr>
    <w:tcPr>
      <w:shd w:val="clear" w:color="auto" w:fill="FAFBFD" w:themeFill="accent3" w:themeFillTint="19"/>
    </w:tcPr>
    <w:tblStylePr w:type="firstRow">
      <w:rPr>
        <w:b/>
        <w:bCs/>
        <w:color w:val="FFFFFF" w:themeColor="background1"/>
      </w:rPr>
      <w:tblPr/>
      <w:tcPr>
        <w:tcBorders>
          <w:bottom w:val="single" w:sz="12" w:space="0" w:color="FFFFFF" w:themeColor="background1"/>
        </w:tcBorders>
        <w:shd w:val="clear" w:color="auto" w:fill="6C97C9" w:themeFill="accent4" w:themeFillShade="CC"/>
      </w:tcPr>
    </w:tblStylePr>
    <w:tblStylePr w:type="lastRow">
      <w:rPr>
        <w:b/>
        <w:bCs/>
        <w:color w:val="6C97C9" w:themeColor="accent4"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FB" w:themeFill="accent3" w:themeFillTint="3F"/>
      </w:tcPr>
    </w:tblStylePr>
    <w:tblStylePr w:type="band1Horz">
      <w:tblPr/>
      <w:tcPr>
        <w:shd w:val="clear" w:color="auto" w:fill="F5F8FB"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4C4C4C" w:themeColor="text1"/>
    </w:rPr>
    <w:tblPr>
      <w:tblStyleRowBandSize w:val="1"/>
      <w:tblStyleColBandSize w:val="1"/>
    </w:tblPr>
    <w:tcPr>
      <w:shd w:val="clear" w:color="auto" w:fill="F5F8FB" w:themeFill="accent4" w:themeFillTint="19"/>
    </w:tcPr>
    <w:tblStylePr w:type="firstRow">
      <w:rPr>
        <w:b/>
        <w:bCs/>
        <w:color w:val="FFFFFF" w:themeColor="background1"/>
      </w:rPr>
      <w:tblPr/>
      <w:tcPr>
        <w:tcBorders>
          <w:bottom w:val="single" w:sz="12" w:space="0" w:color="FFFFFF" w:themeColor="background1"/>
        </w:tcBorders>
        <w:shd w:val="clear" w:color="auto" w:fill="8FAFD7" w:themeFill="accent3" w:themeFillShade="CC"/>
      </w:tcPr>
    </w:tblStylePr>
    <w:tblStylePr w:type="lastRow">
      <w:rPr>
        <w:b/>
        <w:bCs/>
        <w:color w:val="8FAFD7" w:themeColor="accent3"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FF6" w:themeFill="accent4" w:themeFillTint="3F"/>
      </w:tcPr>
    </w:tblStylePr>
    <w:tblStylePr w:type="band1Horz">
      <w:tblPr/>
      <w:tcPr>
        <w:shd w:val="clear" w:color="auto" w:fill="ECF2F8"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4C4C4C" w:themeColor="text1"/>
    </w:rPr>
    <w:tblPr>
      <w:tblStyleRowBandSize w:val="1"/>
      <w:tblStyleColBandSize w:val="1"/>
    </w:tblPr>
    <w:tcPr>
      <w:shd w:val="clear" w:color="auto" w:fill="F3F6FA" w:themeFill="accent5" w:themeFillTint="19"/>
    </w:tcPr>
    <w:tblStylePr w:type="firstRow">
      <w:rPr>
        <w:b/>
        <w:bCs/>
        <w:color w:val="FFFFFF" w:themeColor="background1"/>
      </w:rPr>
      <w:tblPr/>
      <w:tcPr>
        <w:tcBorders>
          <w:bottom w:val="single" w:sz="12" w:space="0" w:color="FFFFFF" w:themeColor="background1"/>
        </w:tcBorders>
        <w:shd w:val="clear" w:color="auto" w:fill="44607F" w:themeFill="accent6" w:themeFillShade="CC"/>
      </w:tcPr>
    </w:tblStylePr>
    <w:tblStylePr w:type="lastRow">
      <w:rPr>
        <w:b/>
        <w:bCs/>
        <w:color w:val="44607F" w:themeColor="accent6"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AF4" w:themeFill="accent5" w:themeFillTint="3F"/>
      </w:tcPr>
    </w:tblStylePr>
    <w:tblStylePr w:type="band1Horz">
      <w:tblPr/>
      <w:tcPr>
        <w:shd w:val="clear" w:color="auto" w:fill="E7EEF6"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4C4C4C" w:themeColor="text1"/>
    </w:rPr>
    <w:tblPr>
      <w:tblStyleRowBandSize w:val="1"/>
      <w:tblStyleColBandSize w:val="1"/>
    </w:tblPr>
    <w:tcPr>
      <w:shd w:val="clear" w:color="auto" w:fill="EEF1F6" w:themeFill="accent6" w:themeFillTint="19"/>
    </w:tcPr>
    <w:tblStylePr w:type="firstRow">
      <w:rPr>
        <w:b/>
        <w:bCs/>
        <w:color w:val="FFFFFF" w:themeColor="background1"/>
      </w:rPr>
      <w:tblPr/>
      <w:tcPr>
        <w:tcBorders>
          <w:bottom w:val="single" w:sz="12" w:space="0" w:color="FFFFFF" w:themeColor="background1"/>
        </w:tcBorders>
        <w:shd w:val="clear" w:color="auto" w:fill="5587C0" w:themeFill="accent5" w:themeFillShade="CC"/>
      </w:tcPr>
    </w:tblStylePr>
    <w:tblStylePr w:type="lastRow">
      <w:rPr>
        <w:b/>
        <w:bCs/>
        <w:color w:val="5587C0" w:themeColor="accent5"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DE8" w:themeFill="accent6" w:themeFillTint="3F"/>
      </w:tcPr>
    </w:tblStylePr>
    <w:tblStylePr w:type="band1Horz">
      <w:tblPr/>
      <w:tcPr>
        <w:shd w:val="clear" w:color="auto" w:fill="DCE3EC"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4C4C4C" w:themeColor="text1"/>
        <w:bottom w:val="single" w:sz="4" w:space="0" w:color="4C4C4C" w:themeColor="text1"/>
        <w:right w:val="single" w:sz="4" w:space="0" w:color="4C4C4C" w:themeColor="text1"/>
        <w:insideH w:val="single" w:sz="4" w:space="0" w:color="FFFFFF" w:themeColor="background1"/>
        <w:insideV w:val="single" w:sz="4" w:space="0" w:color="FFFFFF" w:themeColor="background1"/>
      </w:tblBorders>
    </w:tblPr>
    <w:tcPr>
      <w:shd w:val="clear" w:color="auto" w:fill="EDEDED" w:themeFill="text1"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2D2D" w:themeFill="text1" w:themeFillShade="99"/>
      </w:tcPr>
    </w:tblStylePr>
    <w:tblStylePr w:type="firstCol">
      <w:rPr>
        <w:color w:val="FFFFFF" w:themeColor="background1"/>
      </w:rPr>
      <w:tblPr/>
      <w:tcPr>
        <w:tcBorders>
          <w:top w:val="nil"/>
          <w:left w:val="nil"/>
          <w:bottom w:val="nil"/>
          <w:right w:val="nil"/>
          <w:insideH w:val="single" w:sz="4" w:space="0" w:color="2D2D2D" w:themeColor="text1" w:themeShade="99"/>
          <w:insideV w:val="nil"/>
        </w:tcBorders>
        <w:shd w:val="clear" w:color="auto" w:fill="2D2D2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83838" w:themeFill="text1" w:themeFillShade="BF"/>
      </w:tcPr>
    </w:tblStylePr>
    <w:tblStylePr w:type="band1Vert">
      <w:tblPr/>
      <w:tcPr>
        <w:shd w:val="clear" w:color="auto" w:fill="B7B7B7" w:themeFill="text1" w:themeFillTint="66"/>
      </w:tcPr>
    </w:tblStylePr>
    <w:tblStylePr w:type="band1Horz">
      <w:tblPr/>
      <w:tcPr>
        <w:shd w:val="clear" w:color="auto" w:fill="A5A5A5" w:themeFill="text1" w:themeFillTint="7F"/>
      </w:tcPr>
    </w:tblStylePr>
    <w:tblStylePr w:type="neCell">
      <w:rPr>
        <w:color w:val="4C4C4C" w:themeColor="text1"/>
      </w:rPr>
    </w:tblStylePr>
    <w:tblStylePr w:type="nwCell">
      <w:rPr>
        <w:color w:val="4C4C4C"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6996C9" w:themeColor="accent1"/>
        <w:bottom w:val="single" w:sz="4" w:space="0" w:color="6996C9" w:themeColor="accent1"/>
        <w:right w:val="single" w:sz="4" w:space="0" w:color="6996C9" w:themeColor="accent1"/>
        <w:insideH w:val="single" w:sz="4" w:space="0" w:color="FFFFFF" w:themeColor="background1"/>
        <w:insideV w:val="single" w:sz="4" w:space="0" w:color="FFFFFF" w:themeColor="background1"/>
      </w:tblBorders>
    </w:tblPr>
    <w:tcPr>
      <w:shd w:val="clear" w:color="auto" w:fill="F0F4F9" w:themeFill="accent1"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886" w:themeFill="accent1" w:themeFillShade="99"/>
      </w:tcPr>
    </w:tblStylePr>
    <w:tblStylePr w:type="firstCol">
      <w:rPr>
        <w:color w:val="FFFFFF" w:themeColor="background1"/>
      </w:rPr>
      <w:tblPr/>
      <w:tcPr>
        <w:tcBorders>
          <w:top w:val="nil"/>
          <w:left w:val="nil"/>
          <w:bottom w:val="nil"/>
          <w:right w:val="nil"/>
          <w:insideH w:val="single" w:sz="4" w:space="0" w:color="305886" w:themeColor="accent1" w:themeShade="99"/>
          <w:insideV w:val="nil"/>
        </w:tcBorders>
        <w:shd w:val="clear" w:color="auto" w:fill="30588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886" w:themeFill="accent1" w:themeFillShade="99"/>
      </w:tcPr>
    </w:tblStylePr>
    <w:tblStylePr w:type="band1Vert">
      <w:tblPr/>
      <w:tcPr>
        <w:shd w:val="clear" w:color="auto" w:fill="C2D4E9" w:themeFill="accent1" w:themeFillTint="66"/>
      </w:tcPr>
    </w:tblStylePr>
    <w:tblStylePr w:type="band1Horz">
      <w:tblPr/>
      <w:tcPr>
        <w:shd w:val="clear" w:color="auto" w:fill="B4CAE4" w:themeFill="accent1" w:themeFillTint="7F"/>
      </w:tcPr>
    </w:tblStylePr>
    <w:tblStylePr w:type="neCell">
      <w:rPr>
        <w:color w:val="4C4C4C" w:themeColor="text1"/>
      </w:rPr>
    </w:tblStylePr>
    <w:tblStylePr w:type="nwCell">
      <w:rPr>
        <w:color w:val="4C4C4C"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3F5A78" w:themeColor="accent2"/>
        <w:bottom w:val="single" w:sz="4" w:space="0" w:color="3F5A78" w:themeColor="accent2"/>
        <w:right w:val="single" w:sz="4" w:space="0" w:color="3F5A78" w:themeColor="accent2"/>
        <w:insideH w:val="single" w:sz="4" w:space="0" w:color="FFFFFF" w:themeColor="background1"/>
        <w:insideV w:val="single" w:sz="4" w:space="0" w:color="FFFFFF" w:themeColor="background1"/>
      </w:tblBorders>
    </w:tblPr>
    <w:tcPr>
      <w:shd w:val="clear" w:color="auto" w:fill="E9EEF4" w:themeFill="accent2"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547" w:themeFill="accent2" w:themeFillShade="99"/>
      </w:tcPr>
    </w:tblStylePr>
    <w:tblStylePr w:type="firstCol">
      <w:rPr>
        <w:color w:val="FFFFFF" w:themeColor="background1"/>
      </w:rPr>
      <w:tblPr/>
      <w:tcPr>
        <w:tcBorders>
          <w:top w:val="nil"/>
          <w:left w:val="nil"/>
          <w:bottom w:val="nil"/>
          <w:right w:val="nil"/>
          <w:insideH w:val="single" w:sz="4" w:space="0" w:color="253547" w:themeColor="accent2" w:themeShade="99"/>
          <w:insideV w:val="nil"/>
        </w:tcBorders>
        <w:shd w:val="clear" w:color="auto" w:fill="25354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547" w:themeFill="accent2" w:themeFillShade="99"/>
      </w:tcPr>
    </w:tblStylePr>
    <w:tblStylePr w:type="band1Vert">
      <w:tblPr/>
      <w:tcPr>
        <w:shd w:val="clear" w:color="auto" w:fill="A9BCD2" w:themeFill="accent2" w:themeFillTint="66"/>
      </w:tcPr>
    </w:tblStylePr>
    <w:tblStylePr w:type="band1Horz">
      <w:tblPr/>
      <w:tcPr>
        <w:shd w:val="clear" w:color="auto" w:fill="94ACC7" w:themeFill="accent2" w:themeFillTint="7F"/>
      </w:tcPr>
    </w:tblStylePr>
    <w:tblStylePr w:type="neCell">
      <w:rPr>
        <w:color w:val="4C4C4C" w:themeColor="text1"/>
      </w:rPr>
    </w:tblStylePr>
    <w:tblStylePr w:type="nwCell">
      <w:rPr>
        <w:color w:val="4C4C4C"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4C4C4C" w:themeColor="text1"/>
    </w:rPr>
    <w:tblPr>
      <w:tblStyleRowBandSize w:val="1"/>
      <w:tblStyleColBandSize w:val="1"/>
      <w:tblBorders>
        <w:top w:val="single" w:sz="24" w:space="0" w:color="A5C0DE" w:themeColor="accent4"/>
        <w:left w:val="single" w:sz="4" w:space="0" w:color="D2DFEF" w:themeColor="accent3"/>
        <w:bottom w:val="single" w:sz="4" w:space="0" w:color="D2DFEF" w:themeColor="accent3"/>
        <w:right w:val="single" w:sz="4" w:space="0" w:color="D2DFEF" w:themeColor="accent3"/>
        <w:insideH w:val="single" w:sz="4" w:space="0" w:color="FFFFFF" w:themeColor="background1"/>
        <w:insideV w:val="single" w:sz="4" w:space="0" w:color="FFFFFF" w:themeColor="background1"/>
      </w:tblBorders>
    </w:tblPr>
    <w:tcPr>
      <w:shd w:val="clear" w:color="auto" w:fill="FAFBFD" w:themeFill="accent3" w:themeFillTint="19"/>
    </w:tcPr>
    <w:tblStylePr w:type="firstRow">
      <w:rPr>
        <w:b/>
        <w:bCs/>
      </w:rPr>
      <w:tblPr/>
      <w:tcPr>
        <w:tcBorders>
          <w:top w:val="nil"/>
          <w:left w:val="nil"/>
          <w:bottom w:val="single" w:sz="24" w:space="0" w:color="A5C0D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0C0" w:themeFill="accent3" w:themeFillShade="99"/>
      </w:tcPr>
    </w:tblStylePr>
    <w:tblStylePr w:type="firstCol">
      <w:rPr>
        <w:color w:val="FFFFFF" w:themeColor="background1"/>
      </w:rPr>
      <w:tblPr/>
      <w:tcPr>
        <w:tcBorders>
          <w:top w:val="nil"/>
          <w:left w:val="nil"/>
          <w:bottom w:val="nil"/>
          <w:right w:val="nil"/>
          <w:insideH w:val="single" w:sz="4" w:space="0" w:color="4D80C0" w:themeColor="accent3" w:themeShade="99"/>
          <w:insideV w:val="nil"/>
        </w:tcBorders>
        <w:shd w:val="clear" w:color="auto" w:fill="4D80C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D80C0" w:themeFill="accent3" w:themeFillShade="99"/>
      </w:tcPr>
    </w:tblStylePr>
    <w:tblStylePr w:type="band1Vert">
      <w:tblPr/>
      <w:tcPr>
        <w:shd w:val="clear" w:color="auto" w:fill="ECF2F8" w:themeFill="accent3" w:themeFillTint="66"/>
      </w:tcPr>
    </w:tblStylePr>
    <w:tblStylePr w:type="band1Horz">
      <w:tblPr/>
      <w:tcPr>
        <w:shd w:val="clear" w:color="auto" w:fill="E8EEF7"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4C4C4C" w:themeColor="text1"/>
    </w:rPr>
    <w:tblPr>
      <w:tblStyleRowBandSize w:val="1"/>
      <w:tblStyleColBandSize w:val="1"/>
      <w:tblBorders>
        <w:top w:val="single" w:sz="24" w:space="0" w:color="D2DFEF" w:themeColor="accent3"/>
        <w:left w:val="single" w:sz="4" w:space="0" w:color="A5C0DE" w:themeColor="accent4"/>
        <w:bottom w:val="single" w:sz="4" w:space="0" w:color="A5C0DE" w:themeColor="accent4"/>
        <w:right w:val="single" w:sz="4" w:space="0" w:color="A5C0DE" w:themeColor="accent4"/>
        <w:insideH w:val="single" w:sz="4" w:space="0" w:color="FFFFFF" w:themeColor="background1"/>
        <w:insideV w:val="single" w:sz="4" w:space="0" w:color="FFFFFF" w:themeColor="background1"/>
      </w:tblBorders>
    </w:tblPr>
    <w:tcPr>
      <w:shd w:val="clear" w:color="auto" w:fill="F5F8FB" w:themeFill="accent4" w:themeFillTint="19"/>
    </w:tcPr>
    <w:tblStylePr w:type="firstRow">
      <w:rPr>
        <w:b/>
        <w:bCs/>
      </w:rPr>
      <w:tblPr/>
      <w:tcPr>
        <w:tcBorders>
          <w:top w:val="nil"/>
          <w:left w:val="nil"/>
          <w:bottom w:val="single" w:sz="24" w:space="0" w:color="D2DF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0A9" w:themeFill="accent4" w:themeFillShade="99"/>
      </w:tcPr>
    </w:tblStylePr>
    <w:tblStylePr w:type="firstCol">
      <w:rPr>
        <w:color w:val="FFFFFF" w:themeColor="background1"/>
      </w:rPr>
      <w:tblPr/>
      <w:tcPr>
        <w:tcBorders>
          <w:top w:val="nil"/>
          <w:left w:val="nil"/>
          <w:bottom w:val="nil"/>
          <w:right w:val="nil"/>
          <w:insideH w:val="single" w:sz="4" w:space="0" w:color="3E70A9" w:themeColor="accent4" w:themeShade="99"/>
          <w:insideV w:val="nil"/>
        </w:tcBorders>
        <w:shd w:val="clear" w:color="auto" w:fill="3E70A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E70A9" w:themeFill="accent4" w:themeFillShade="99"/>
      </w:tcPr>
    </w:tblStylePr>
    <w:tblStylePr w:type="band1Vert">
      <w:tblPr/>
      <w:tcPr>
        <w:shd w:val="clear" w:color="auto" w:fill="DAE5F1" w:themeFill="accent4" w:themeFillTint="66"/>
      </w:tcPr>
    </w:tblStylePr>
    <w:tblStylePr w:type="band1Horz">
      <w:tblPr/>
      <w:tcPr>
        <w:shd w:val="clear" w:color="auto" w:fill="D2DFEE" w:themeFill="accent4" w:themeFillTint="7F"/>
      </w:tcPr>
    </w:tblStylePr>
    <w:tblStylePr w:type="neCell">
      <w:rPr>
        <w:color w:val="4C4C4C" w:themeColor="text1"/>
      </w:rPr>
    </w:tblStylePr>
    <w:tblStylePr w:type="nwCell">
      <w:rPr>
        <w:color w:val="4C4C4C"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4C4C4C" w:themeColor="text1"/>
    </w:rPr>
    <w:tblPr>
      <w:tblStyleRowBandSize w:val="1"/>
      <w:tblStyleColBandSize w:val="1"/>
      <w:tblBorders>
        <w:top w:val="single" w:sz="24" w:space="0" w:color="5578A0" w:themeColor="accent6"/>
        <w:left w:val="single" w:sz="4" w:space="0" w:color="88ABD3" w:themeColor="accent5"/>
        <w:bottom w:val="single" w:sz="4" w:space="0" w:color="88ABD3" w:themeColor="accent5"/>
        <w:right w:val="single" w:sz="4" w:space="0" w:color="88ABD3" w:themeColor="accent5"/>
        <w:insideH w:val="single" w:sz="4" w:space="0" w:color="FFFFFF" w:themeColor="background1"/>
        <w:insideV w:val="single" w:sz="4" w:space="0" w:color="FFFFFF" w:themeColor="background1"/>
      </w:tblBorders>
    </w:tblPr>
    <w:tcPr>
      <w:shd w:val="clear" w:color="auto" w:fill="F3F6FA" w:themeFill="accent5" w:themeFillTint="19"/>
    </w:tcPr>
    <w:tblStylePr w:type="firstRow">
      <w:rPr>
        <w:b/>
        <w:bCs/>
      </w:rPr>
      <w:tblPr/>
      <w:tcPr>
        <w:tcBorders>
          <w:top w:val="nil"/>
          <w:left w:val="nil"/>
          <w:bottom w:val="single" w:sz="24" w:space="0" w:color="5578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497" w:themeFill="accent5" w:themeFillShade="99"/>
      </w:tcPr>
    </w:tblStylePr>
    <w:tblStylePr w:type="firstCol">
      <w:rPr>
        <w:color w:val="FFFFFF" w:themeColor="background1"/>
      </w:rPr>
      <w:tblPr/>
      <w:tcPr>
        <w:tcBorders>
          <w:top w:val="nil"/>
          <w:left w:val="nil"/>
          <w:bottom w:val="nil"/>
          <w:right w:val="nil"/>
          <w:insideH w:val="single" w:sz="4" w:space="0" w:color="386497" w:themeColor="accent5" w:themeShade="99"/>
          <w:insideV w:val="nil"/>
        </w:tcBorders>
        <w:shd w:val="clear" w:color="auto" w:fill="38649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6497" w:themeFill="accent5" w:themeFillShade="99"/>
      </w:tcPr>
    </w:tblStylePr>
    <w:tblStylePr w:type="band1Vert">
      <w:tblPr/>
      <w:tcPr>
        <w:shd w:val="clear" w:color="auto" w:fill="CFDDED" w:themeFill="accent5" w:themeFillTint="66"/>
      </w:tcPr>
    </w:tblStylePr>
    <w:tblStylePr w:type="band1Horz">
      <w:tblPr/>
      <w:tcPr>
        <w:shd w:val="clear" w:color="auto" w:fill="C3D5E9" w:themeFill="accent5" w:themeFillTint="7F"/>
      </w:tcPr>
    </w:tblStylePr>
    <w:tblStylePr w:type="neCell">
      <w:rPr>
        <w:color w:val="4C4C4C" w:themeColor="text1"/>
      </w:rPr>
    </w:tblStylePr>
    <w:tblStylePr w:type="nwCell">
      <w:rPr>
        <w:color w:val="4C4C4C"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4C4C4C" w:themeColor="text1"/>
    </w:rPr>
    <w:tblPr>
      <w:tblStyleRowBandSize w:val="1"/>
      <w:tblStyleColBandSize w:val="1"/>
      <w:tblBorders>
        <w:top w:val="single" w:sz="24" w:space="0" w:color="88ABD3" w:themeColor="accent5"/>
        <w:left w:val="single" w:sz="4" w:space="0" w:color="5578A0" w:themeColor="accent6"/>
        <w:bottom w:val="single" w:sz="4" w:space="0" w:color="5578A0" w:themeColor="accent6"/>
        <w:right w:val="single" w:sz="4" w:space="0" w:color="5578A0" w:themeColor="accent6"/>
        <w:insideH w:val="single" w:sz="4" w:space="0" w:color="FFFFFF" w:themeColor="background1"/>
        <w:insideV w:val="single" w:sz="4" w:space="0" w:color="FFFFFF" w:themeColor="background1"/>
      </w:tblBorders>
    </w:tblPr>
    <w:tcPr>
      <w:shd w:val="clear" w:color="auto" w:fill="EEF1F6" w:themeFill="accent6" w:themeFillTint="19"/>
    </w:tcPr>
    <w:tblStylePr w:type="firstRow">
      <w:rPr>
        <w:b/>
        <w:bCs/>
      </w:rPr>
      <w:tblPr/>
      <w:tcPr>
        <w:tcBorders>
          <w:top w:val="nil"/>
          <w:left w:val="nil"/>
          <w:bottom w:val="single" w:sz="24" w:space="0" w:color="88A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85F" w:themeFill="accent6" w:themeFillShade="99"/>
      </w:tcPr>
    </w:tblStylePr>
    <w:tblStylePr w:type="firstCol">
      <w:rPr>
        <w:color w:val="FFFFFF" w:themeColor="background1"/>
      </w:rPr>
      <w:tblPr/>
      <w:tcPr>
        <w:tcBorders>
          <w:top w:val="nil"/>
          <w:left w:val="nil"/>
          <w:bottom w:val="nil"/>
          <w:right w:val="nil"/>
          <w:insideH w:val="single" w:sz="4" w:space="0" w:color="33485F" w:themeColor="accent6" w:themeShade="99"/>
          <w:insideV w:val="nil"/>
        </w:tcBorders>
        <w:shd w:val="clear" w:color="auto" w:fill="3348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485F" w:themeFill="accent6" w:themeFillShade="99"/>
      </w:tcPr>
    </w:tblStylePr>
    <w:tblStylePr w:type="band1Vert">
      <w:tblPr/>
      <w:tcPr>
        <w:shd w:val="clear" w:color="auto" w:fill="B9C8DA" w:themeFill="accent6" w:themeFillTint="66"/>
      </w:tcPr>
    </w:tblStylePr>
    <w:tblStylePr w:type="band1Horz">
      <w:tblPr/>
      <w:tcPr>
        <w:shd w:val="clear" w:color="auto" w:fill="A8BBD1" w:themeFill="accent6" w:themeFillTint="7F"/>
      </w:tcPr>
    </w:tblStylePr>
    <w:tblStylePr w:type="neCell">
      <w:rPr>
        <w:color w:val="4C4C4C" w:themeColor="text1"/>
      </w:rPr>
    </w:tblStylePr>
    <w:tblStylePr w:type="nwCell">
      <w:rPr>
        <w:color w:val="4C4C4C"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rPr>
      <w:sz w:val="22"/>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4C4C4C" w:themeFill="text1"/>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5252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8383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83838" w:themeFill="text1" w:themeFillShade="BF"/>
      </w:tcPr>
    </w:tblStylePr>
    <w:tblStylePr w:type="band1Vert">
      <w:tblPr/>
      <w:tcPr>
        <w:tcBorders>
          <w:top w:val="nil"/>
          <w:left w:val="nil"/>
          <w:bottom w:val="nil"/>
          <w:right w:val="nil"/>
          <w:insideH w:val="nil"/>
          <w:insideV w:val="nil"/>
        </w:tcBorders>
        <w:shd w:val="clear" w:color="auto" w:fill="383838" w:themeFill="text1" w:themeFillShade="BF"/>
      </w:tcPr>
    </w:tblStylePr>
    <w:tblStylePr w:type="band1Horz">
      <w:tblPr/>
      <w:tcPr>
        <w:tcBorders>
          <w:top w:val="nil"/>
          <w:left w:val="nil"/>
          <w:bottom w:val="nil"/>
          <w:right w:val="nil"/>
          <w:insideH w:val="nil"/>
          <w:insideV w:val="nil"/>
        </w:tcBorders>
        <w:shd w:val="clear" w:color="auto" w:fill="383838"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6996C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84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6E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6EA8" w:themeFill="accent1" w:themeFillShade="BF"/>
      </w:tcPr>
    </w:tblStylePr>
    <w:tblStylePr w:type="band1Vert">
      <w:tblPr/>
      <w:tcPr>
        <w:tcBorders>
          <w:top w:val="nil"/>
          <w:left w:val="nil"/>
          <w:bottom w:val="nil"/>
          <w:right w:val="nil"/>
          <w:insideH w:val="nil"/>
          <w:insideV w:val="nil"/>
        </w:tcBorders>
        <w:shd w:val="clear" w:color="auto" w:fill="3C6EA8" w:themeFill="accent1" w:themeFillShade="BF"/>
      </w:tcPr>
    </w:tblStylePr>
    <w:tblStylePr w:type="band1Horz">
      <w:tblPr/>
      <w:tcPr>
        <w:tcBorders>
          <w:top w:val="nil"/>
          <w:left w:val="nil"/>
          <w:bottom w:val="nil"/>
          <w:right w:val="nil"/>
          <w:insideH w:val="nil"/>
          <w:insideV w:val="nil"/>
        </w:tcBorders>
        <w:shd w:val="clear" w:color="auto" w:fill="3C6EA8"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3F5A7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1F2C3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435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4359" w:themeFill="accent2" w:themeFillShade="BF"/>
      </w:tcPr>
    </w:tblStylePr>
    <w:tblStylePr w:type="band1Vert">
      <w:tblPr/>
      <w:tcPr>
        <w:tcBorders>
          <w:top w:val="nil"/>
          <w:left w:val="nil"/>
          <w:bottom w:val="nil"/>
          <w:right w:val="nil"/>
          <w:insideH w:val="nil"/>
          <w:insideV w:val="nil"/>
        </w:tcBorders>
        <w:shd w:val="clear" w:color="auto" w:fill="2F4359" w:themeFill="accent2" w:themeFillShade="BF"/>
      </w:tcPr>
    </w:tblStylePr>
    <w:tblStylePr w:type="band1Horz">
      <w:tblPr/>
      <w:tcPr>
        <w:tcBorders>
          <w:top w:val="nil"/>
          <w:left w:val="nil"/>
          <w:bottom w:val="nil"/>
          <w:right w:val="nil"/>
          <w:insideH w:val="nil"/>
          <w:insideV w:val="nil"/>
        </w:tcBorders>
        <w:shd w:val="clear" w:color="auto" w:fill="2F4359"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D2DF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3A6AA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A3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A3D1" w:themeFill="accent3" w:themeFillShade="BF"/>
      </w:tcPr>
    </w:tblStylePr>
    <w:tblStylePr w:type="band1Vert">
      <w:tblPr/>
      <w:tcPr>
        <w:tcBorders>
          <w:top w:val="nil"/>
          <w:left w:val="nil"/>
          <w:bottom w:val="nil"/>
          <w:right w:val="nil"/>
          <w:insideH w:val="nil"/>
          <w:insideV w:val="nil"/>
        </w:tcBorders>
        <w:shd w:val="clear" w:color="auto" w:fill="7EA3D1" w:themeFill="accent3" w:themeFillShade="BF"/>
      </w:tcPr>
    </w:tblStylePr>
    <w:tblStylePr w:type="band1Horz">
      <w:tblPr/>
      <w:tcPr>
        <w:tcBorders>
          <w:top w:val="nil"/>
          <w:left w:val="nil"/>
          <w:bottom w:val="nil"/>
          <w:right w:val="nil"/>
          <w:insideH w:val="nil"/>
          <w:insideV w:val="nil"/>
        </w:tcBorders>
        <w:shd w:val="clear" w:color="auto" w:fill="7EA3D1"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A5C0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335D8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D8D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D8DC4" w:themeFill="accent4" w:themeFillShade="BF"/>
      </w:tcPr>
    </w:tblStylePr>
    <w:tblStylePr w:type="band1Vert">
      <w:tblPr/>
      <w:tcPr>
        <w:tcBorders>
          <w:top w:val="nil"/>
          <w:left w:val="nil"/>
          <w:bottom w:val="nil"/>
          <w:right w:val="nil"/>
          <w:insideH w:val="nil"/>
          <w:insideV w:val="nil"/>
        </w:tcBorders>
        <w:shd w:val="clear" w:color="auto" w:fill="5D8DC4" w:themeFill="accent4" w:themeFillShade="BF"/>
      </w:tcPr>
    </w:tblStylePr>
    <w:tblStylePr w:type="band1Horz">
      <w:tblPr/>
      <w:tcPr>
        <w:tcBorders>
          <w:top w:val="nil"/>
          <w:left w:val="nil"/>
          <w:bottom w:val="nil"/>
          <w:right w:val="nil"/>
          <w:insideH w:val="nil"/>
          <w:insideV w:val="nil"/>
        </w:tcBorders>
        <w:shd w:val="clear" w:color="auto" w:fill="5D8DC4"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88AB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E53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7DB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7DBB" w:themeFill="accent5" w:themeFillShade="BF"/>
      </w:tcPr>
    </w:tblStylePr>
    <w:tblStylePr w:type="band1Vert">
      <w:tblPr/>
      <w:tcPr>
        <w:tcBorders>
          <w:top w:val="nil"/>
          <w:left w:val="nil"/>
          <w:bottom w:val="nil"/>
          <w:right w:val="nil"/>
          <w:insideH w:val="nil"/>
          <w:insideV w:val="nil"/>
        </w:tcBorders>
        <w:shd w:val="clear" w:color="auto" w:fill="487DBB" w:themeFill="accent5" w:themeFillShade="BF"/>
      </w:tcPr>
    </w:tblStylePr>
    <w:tblStylePr w:type="band1Horz">
      <w:tblPr/>
      <w:tcPr>
        <w:tcBorders>
          <w:top w:val="nil"/>
          <w:left w:val="nil"/>
          <w:bottom w:val="nil"/>
          <w:right w:val="nil"/>
          <w:insideH w:val="nil"/>
          <w:insideV w:val="nil"/>
        </w:tcBorders>
        <w:shd w:val="clear" w:color="auto" w:fill="487DBB"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5578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A3B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5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5977" w:themeFill="accent6" w:themeFillShade="BF"/>
      </w:tcPr>
    </w:tblStylePr>
    <w:tblStylePr w:type="band1Vert">
      <w:tblPr/>
      <w:tcPr>
        <w:tcBorders>
          <w:top w:val="nil"/>
          <w:left w:val="nil"/>
          <w:bottom w:val="nil"/>
          <w:right w:val="nil"/>
          <w:insideH w:val="nil"/>
          <w:insideV w:val="nil"/>
        </w:tcBorders>
        <w:shd w:val="clear" w:color="auto" w:fill="3F5977" w:themeFill="accent6" w:themeFillShade="BF"/>
      </w:tcPr>
    </w:tblStylePr>
    <w:tblStylePr w:type="band1Horz">
      <w:tblPr/>
      <w:tcPr>
        <w:tcBorders>
          <w:top w:val="nil"/>
          <w:left w:val="nil"/>
          <w:bottom w:val="nil"/>
          <w:right w:val="nil"/>
          <w:insideH w:val="nil"/>
          <w:insideV w:val="nil"/>
        </w:tcBorders>
        <w:shd w:val="clear" w:color="auto" w:fill="3F5977" w:themeFill="accent6" w:themeFillShade="BF"/>
      </w:tcPr>
    </w:tblStylePr>
  </w:style>
  <w:style w:type="paragraph" w:styleId="DocumentMap">
    <w:name w:val="Document Map"/>
    <w:basedOn w:val="Normal"/>
    <w:link w:val="DocumentMapChar"/>
    <w:uiPriority w:val="99"/>
    <w:semiHidden/>
    <w:unhideWhenUsed/>
    <w:rsid w:val="005225B2"/>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rPr>
      <w:sz w:val="22"/>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ind w:left="2880"/>
    </w:pPr>
    <w:rPr>
      <w:rFonts w:asciiTheme="majorHAnsi" w:eastAsiaTheme="majorEastAsia" w:hAnsiTheme="majorHAnsi"/>
      <w:szCs w:val="24"/>
    </w:rPr>
  </w:style>
  <w:style w:type="paragraph" w:styleId="EnvelopeReturn">
    <w:name w:val="envelope return"/>
    <w:basedOn w:val="Normal"/>
    <w:uiPriority w:val="99"/>
    <w:semiHidden/>
    <w:unhideWhenUsed/>
    <w:rsid w:val="005225B2"/>
    <w:rPr>
      <w:rFonts w:asciiTheme="majorHAnsi" w:eastAsiaTheme="majorEastAsia" w:hAnsiTheme="majorHAnsi"/>
      <w:sz w:val="22"/>
    </w:rPr>
  </w:style>
  <w:style w:type="character" w:styleId="FollowedHyperlink">
    <w:name w:val="FollowedHyperlink"/>
    <w:basedOn w:val="DefaultParagraphFont"/>
    <w:uiPriority w:val="99"/>
    <w:semiHidden/>
    <w:unhideWhenUsed/>
    <w:rsid w:val="005225B2"/>
    <w:rPr>
      <w:color w:val="0A0AE6" w:themeColor="followedHyperlink"/>
      <w:u w:val="single"/>
    </w:rPr>
  </w:style>
  <w:style w:type="character" w:styleId="FootnoteReference">
    <w:name w:val="footnote reference"/>
    <w:aliases w:val="o,char,fr,o1,o2,o3,o4,o5,o6,o11,o21,o7 + Palati...,o7,Char Char Char Char"/>
    <w:basedOn w:val="DefaultParagraphFont"/>
    <w:uiPriority w:val="99"/>
    <w:unhideWhenUsed/>
    <w:rsid w:val="005225B2"/>
    <w:rPr>
      <w:vertAlign w:val="superscript"/>
    </w:rPr>
  </w:style>
  <w:style w:type="paragraph" w:styleId="FootnoteText">
    <w:name w:val="footnote text"/>
    <w:basedOn w:val="Normal"/>
    <w:link w:val="FootnoteTextChar"/>
    <w:uiPriority w:val="99"/>
    <w:unhideWhenUsed/>
    <w:qFormat/>
    <w:rsid w:val="00461A9E"/>
    <w:rPr>
      <w:sz w:val="20"/>
    </w:rPr>
  </w:style>
  <w:style w:type="character" w:customStyle="1" w:styleId="FootnoteTextChar">
    <w:name w:val="Footnote Text Char"/>
    <w:basedOn w:val="DefaultParagraphFont"/>
    <w:link w:val="FootnoteText"/>
    <w:uiPriority w:val="99"/>
    <w:rsid w:val="00461A9E"/>
    <w:rPr>
      <w:rFonts w:ascii="Garamond" w:hAnsi="Garamond" w:cs="Times New Roman (Headings CS)"/>
      <w:color w:val="auto"/>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B7B7B7" w:themeColor="text1" w:themeTint="66"/>
        <w:left w:val="single" w:sz="4" w:space="0" w:color="B7B7B7" w:themeColor="text1" w:themeTint="66"/>
        <w:bottom w:val="single" w:sz="4" w:space="0" w:color="B7B7B7" w:themeColor="text1" w:themeTint="66"/>
        <w:right w:val="single" w:sz="4" w:space="0" w:color="B7B7B7" w:themeColor="text1" w:themeTint="66"/>
        <w:insideH w:val="single" w:sz="4" w:space="0" w:color="B7B7B7" w:themeColor="text1" w:themeTint="66"/>
        <w:insideV w:val="single" w:sz="4" w:space="0" w:color="B7B7B7" w:themeColor="text1" w:themeTint="66"/>
      </w:tblBorders>
    </w:tblPr>
    <w:tblStylePr w:type="firstRow">
      <w:rPr>
        <w:b/>
        <w:bCs/>
      </w:rPr>
      <w:tblPr/>
      <w:tcPr>
        <w:tcBorders>
          <w:bottom w:val="single" w:sz="12" w:space="0" w:color="939393" w:themeColor="text1" w:themeTint="99"/>
        </w:tcBorders>
      </w:tcPr>
    </w:tblStylePr>
    <w:tblStylePr w:type="lastRow">
      <w:rPr>
        <w:b/>
        <w:bCs/>
      </w:rPr>
      <w:tblPr/>
      <w:tcPr>
        <w:tcBorders>
          <w:top w:val="double" w:sz="2" w:space="0" w:color="93939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C2D4E9" w:themeColor="accent1" w:themeTint="66"/>
        <w:left w:val="single" w:sz="4" w:space="0" w:color="C2D4E9" w:themeColor="accent1" w:themeTint="66"/>
        <w:bottom w:val="single" w:sz="4" w:space="0" w:color="C2D4E9" w:themeColor="accent1" w:themeTint="66"/>
        <w:right w:val="single" w:sz="4" w:space="0" w:color="C2D4E9" w:themeColor="accent1" w:themeTint="66"/>
        <w:insideH w:val="single" w:sz="4" w:space="0" w:color="C2D4E9" w:themeColor="accent1" w:themeTint="66"/>
        <w:insideV w:val="single" w:sz="4" w:space="0" w:color="C2D4E9" w:themeColor="accent1" w:themeTint="66"/>
      </w:tblBorders>
    </w:tblPr>
    <w:tblStylePr w:type="firstRow">
      <w:rPr>
        <w:b/>
        <w:bCs/>
      </w:rPr>
      <w:tblPr/>
      <w:tcPr>
        <w:tcBorders>
          <w:bottom w:val="single" w:sz="12" w:space="0" w:color="A4BFDE" w:themeColor="accent1" w:themeTint="99"/>
        </w:tcBorders>
      </w:tcPr>
    </w:tblStylePr>
    <w:tblStylePr w:type="lastRow">
      <w:rPr>
        <w:b/>
        <w:bCs/>
      </w:rPr>
      <w:tblPr/>
      <w:tcPr>
        <w:tcBorders>
          <w:top w:val="double" w:sz="2" w:space="0" w:color="A4BF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A9BCD2" w:themeColor="accent2" w:themeTint="66"/>
        <w:left w:val="single" w:sz="4" w:space="0" w:color="A9BCD2" w:themeColor="accent2" w:themeTint="66"/>
        <w:bottom w:val="single" w:sz="4" w:space="0" w:color="A9BCD2" w:themeColor="accent2" w:themeTint="66"/>
        <w:right w:val="single" w:sz="4" w:space="0" w:color="A9BCD2" w:themeColor="accent2" w:themeTint="66"/>
        <w:insideH w:val="single" w:sz="4" w:space="0" w:color="A9BCD2" w:themeColor="accent2" w:themeTint="66"/>
        <w:insideV w:val="single" w:sz="4" w:space="0" w:color="A9BCD2" w:themeColor="accent2" w:themeTint="66"/>
      </w:tblBorders>
    </w:tblPr>
    <w:tblStylePr w:type="firstRow">
      <w:rPr>
        <w:b/>
        <w:bCs/>
      </w:rPr>
      <w:tblPr/>
      <w:tcPr>
        <w:tcBorders>
          <w:bottom w:val="single" w:sz="12" w:space="0" w:color="7E9BBB" w:themeColor="accent2" w:themeTint="99"/>
        </w:tcBorders>
      </w:tcPr>
    </w:tblStylePr>
    <w:tblStylePr w:type="lastRow">
      <w:rPr>
        <w:b/>
        <w:bCs/>
      </w:rPr>
      <w:tblPr/>
      <w:tcPr>
        <w:tcBorders>
          <w:top w:val="double" w:sz="2" w:space="0" w:color="7E9BB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ECF2F8" w:themeColor="accent3" w:themeTint="66"/>
        <w:left w:val="single" w:sz="4" w:space="0" w:color="ECF2F8" w:themeColor="accent3" w:themeTint="66"/>
        <w:bottom w:val="single" w:sz="4" w:space="0" w:color="ECF2F8" w:themeColor="accent3" w:themeTint="66"/>
        <w:right w:val="single" w:sz="4" w:space="0" w:color="ECF2F8" w:themeColor="accent3" w:themeTint="66"/>
        <w:insideH w:val="single" w:sz="4" w:space="0" w:color="ECF2F8" w:themeColor="accent3" w:themeTint="66"/>
        <w:insideV w:val="single" w:sz="4" w:space="0" w:color="ECF2F8" w:themeColor="accent3" w:themeTint="66"/>
      </w:tblBorders>
    </w:tblPr>
    <w:tblStylePr w:type="firstRow">
      <w:rPr>
        <w:b/>
        <w:bCs/>
      </w:rPr>
      <w:tblPr/>
      <w:tcPr>
        <w:tcBorders>
          <w:bottom w:val="single" w:sz="12" w:space="0" w:color="E3EBF5" w:themeColor="accent3" w:themeTint="99"/>
        </w:tcBorders>
      </w:tcPr>
    </w:tblStylePr>
    <w:tblStylePr w:type="lastRow">
      <w:rPr>
        <w:b/>
        <w:bCs/>
      </w:rPr>
      <w:tblPr/>
      <w:tcPr>
        <w:tcBorders>
          <w:top w:val="double" w:sz="2" w:space="0" w:color="E3EBF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DAE5F1" w:themeColor="accent4" w:themeTint="66"/>
        <w:left w:val="single" w:sz="4" w:space="0" w:color="DAE5F1" w:themeColor="accent4" w:themeTint="66"/>
        <w:bottom w:val="single" w:sz="4" w:space="0" w:color="DAE5F1" w:themeColor="accent4" w:themeTint="66"/>
        <w:right w:val="single" w:sz="4" w:space="0" w:color="DAE5F1" w:themeColor="accent4" w:themeTint="66"/>
        <w:insideH w:val="single" w:sz="4" w:space="0" w:color="DAE5F1" w:themeColor="accent4" w:themeTint="66"/>
        <w:insideV w:val="single" w:sz="4" w:space="0" w:color="DAE5F1" w:themeColor="accent4" w:themeTint="66"/>
      </w:tblBorders>
    </w:tblPr>
    <w:tblStylePr w:type="firstRow">
      <w:rPr>
        <w:b/>
        <w:bCs/>
      </w:rPr>
      <w:tblPr/>
      <w:tcPr>
        <w:tcBorders>
          <w:bottom w:val="single" w:sz="12" w:space="0" w:color="C8D8EB" w:themeColor="accent4" w:themeTint="99"/>
        </w:tcBorders>
      </w:tcPr>
    </w:tblStylePr>
    <w:tblStylePr w:type="lastRow">
      <w:rPr>
        <w:b/>
        <w:bCs/>
      </w:rPr>
      <w:tblPr/>
      <w:tcPr>
        <w:tcBorders>
          <w:top w:val="double" w:sz="2" w:space="0" w:color="C8D8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FDDED" w:themeColor="accent5" w:themeTint="66"/>
        <w:left w:val="single" w:sz="4" w:space="0" w:color="CFDDED" w:themeColor="accent5" w:themeTint="66"/>
        <w:bottom w:val="single" w:sz="4" w:space="0" w:color="CFDDED" w:themeColor="accent5" w:themeTint="66"/>
        <w:right w:val="single" w:sz="4" w:space="0" w:color="CFDDED" w:themeColor="accent5" w:themeTint="66"/>
        <w:insideH w:val="single" w:sz="4" w:space="0" w:color="CFDDED" w:themeColor="accent5" w:themeTint="66"/>
        <w:insideV w:val="single" w:sz="4" w:space="0" w:color="CFDDED" w:themeColor="accent5" w:themeTint="66"/>
      </w:tblBorders>
    </w:tblPr>
    <w:tblStylePr w:type="firstRow">
      <w:rPr>
        <w:b/>
        <w:bCs/>
      </w:rPr>
      <w:tblPr/>
      <w:tcPr>
        <w:tcBorders>
          <w:bottom w:val="single" w:sz="12" w:space="0" w:color="B7CCE4" w:themeColor="accent5" w:themeTint="99"/>
        </w:tcBorders>
      </w:tcPr>
    </w:tblStylePr>
    <w:tblStylePr w:type="lastRow">
      <w:rPr>
        <w:b/>
        <w:bCs/>
      </w:rPr>
      <w:tblPr/>
      <w:tcPr>
        <w:tcBorders>
          <w:top w:val="double" w:sz="2" w:space="0" w:color="B7CCE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B9C8DA" w:themeColor="accent6" w:themeTint="66"/>
        <w:left w:val="single" w:sz="4" w:space="0" w:color="B9C8DA" w:themeColor="accent6" w:themeTint="66"/>
        <w:bottom w:val="single" w:sz="4" w:space="0" w:color="B9C8DA" w:themeColor="accent6" w:themeTint="66"/>
        <w:right w:val="single" w:sz="4" w:space="0" w:color="B9C8DA" w:themeColor="accent6" w:themeTint="66"/>
        <w:insideH w:val="single" w:sz="4" w:space="0" w:color="B9C8DA" w:themeColor="accent6" w:themeTint="66"/>
        <w:insideV w:val="single" w:sz="4" w:space="0" w:color="B9C8DA" w:themeColor="accent6" w:themeTint="66"/>
      </w:tblBorders>
    </w:tblPr>
    <w:tblStylePr w:type="firstRow">
      <w:rPr>
        <w:b/>
        <w:bCs/>
      </w:rPr>
      <w:tblPr/>
      <w:tcPr>
        <w:tcBorders>
          <w:bottom w:val="single" w:sz="12" w:space="0" w:color="97ADC7" w:themeColor="accent6" w:themeTint="99"/>
        </w:tcBorders>
      </w:tcPr>
    </w:tblStylePr>
    <w:tblStylePr w:type="lastRow">
      <w:rPr>
        <w:b/>
        <w:bCs/>
      </w:rPr>
      <w:tblPr/>
      <w:tcPr>
        <w:tcBorders>
          <w:top w:val="double" w:sz="2" w:space="0" w:color="97ADC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939393" w:themeColor="text1" w:themeTint="99"/>
        <w:bottom w:val="single" w:sz="2" w:space="0" w:color="939393" w:themeColor="text1" w:themeTint="99"/>
        <w:insideH w:val="single" w:sz="2" w:space="0" w:color="939393" w:themeColor="text1" w:themeTint="99"/>
        <w:insideV w:val="single" w:sz="2" w:space="0" w:color="939393" w:themeColor="text1" w:themeTint="99"/>
      </w:tblBorders>
    </w:tblPr>
    <w:tblStylePr w:type="firstRow">
      <w:rPr>
        <w:b/>
        <w:bCs/>
      </w:rPr>
      <w:tblPr/>
      <w:tcPr>
        <w:tcBorders>
          <w:top w:val="nil"/>
          <w:bottom w:val="single" w:sz="12" w:space="0" w:color="939393" w:themeColor="text1" w:themeTint="99"/>
          <w:insideH w:val="nil"/>
          <w:insideV w:val="nil"/>
        </w:tcBorders>
        <w:shd w:val="clear" w:color="auto" w:fill="FFFFFF" w:themeFill="background1"/>
      </w:tcPr>
    </w:tblStylePr>
    <w:tblStylePr w:type="lastRow">
      <w:rPr>
        <w:b/>
        <w:bCs/>
      </w:rPr>
      <w:tblPr/>
      <w:tcPr>
        <w:tcBorders>
          <w:top w:val="double" w:sz="2" w:space="0" w:color="93939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A4BFDE" w:themeColor="accent1" w:themeTint="99"/>
        <w:bottom w:val="single" w:sz="2" w:space="0" w:color="A4BFDE" w:themeColor="accent1" w:themeTint="99"/>
        <w:insideH w:val="single" w:sz="2" w:space="0" w:color="A4BFDE" w:themeColor="accent1" w:themeTint="99"/>
        <w:insideV w:val="single" w:sz="2" w:space="0" w:color="A4BFDE" w:themeColor="accent1" w:themeTint="99"/>
      </w:tblBorders>
    </w:tblPr>
    <w:tblStylePr w:type="firstRow">
      <w:rPr>
        <w:b/>
        <w:bCs/>
      </w:rPr>
      <w:tblPr/>
      <w:tcPr>
        <w:tcBorders>
          <w:top w:val="nil"/>
          <w:bottom w:val="single" w:sz="12" w:space="0" w:color="A4BFDE" w:themeColor="accent1" w:themeTint="99"/>
          <w:insideH w:val="nil"/>
          <w:insideV w:val="nil"/>
        </w:tcBorders>
        <w:shd w:val="clear" w:color="auto" w:fill="FFFFFF" w:themeFill="background1"/>
      </w:tcPr>
    </w:tblStylePr>
    <w:tblStylePr w:type="lastRow">
      <w:rPr>
        <w:b/>
        <w:bCs/>
      </w:rPr>
      <w:tblPr/>
      <w:tcPr>
        <w:tcBorders>
          <w:top w:val="double" w:sz="2" w:space="0" w:color="A4BF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7E9BBB" w:themeColor="accent2" w:themeTint="99"/>
        <w:bottom w:val="single" w:sz="2" w:space="0" w:color="7E9BBB" w:themeColor="accent2" w:themeTint="99"/>
        <w:insideH w:val="single" w:sz="2" w:space="0" w:color="7E9BBB" w:themeColor="accent2" w:themeTint="99"/>
        <w:insideV w:val="single" w:sz="2" w:space="0" w:color="7E9BBB" w:themeColor="accent2" w:themeTint="99"/>
      </w:tblBorders>
    </w:tblPr>
    <w:tblStylePr w:type="firstRow">
      <w:rPr>
        <w:b/>
        <w:bCs/>
      </w:rPr>
      <w:tblPr/>
      <w:tcPr>
        <w:tcBorders>
          <w:top w:val="nil"/>
          <w:bottom w:val="single" w:sz="12" w:space="0" w:color="7E9BBB" w:themeColor="accent2" w:themeTint="99"/>
          <w:insideH w:val="nil"/>
          <w:insideV w:val="nil"/>
        </w:tcBorders>
        <w:shd w:val="clear" w:color="auto" w:fill="FFFFFF" w:themeFill="background1"/>
      </w:tcPr>
    </w:tblStylePr>
    <w:tblStylePr w:type="lastRow">
      <w:rPr>
        <w:b/>
        <w:bCs/>
      </w:rPr>
      <w:tblPr/>
      <w:tcPr>
        <w:tcBorders>
          <w:top w:val="double" w:sz="2" w:space="0" w:color="7E9B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E3EBF5" w:themeColor="accent3" w:themeTint="99"/>
        <w:bottom w:val="single" w:sz="2" w:space="0" w:color="E3EBF5" w:themeColor="accent3" w:themeTint="99"/>
        <w:insideH w:val="single" w:sz="2" w:space="0" w:color="E3EBF5" w:themeColor="accent3" w:themeTint="99"/>
        <w:insideV w:val="single" w:sz="2" w:space="0" w:color="E3EBF5" w:themeColor="accent3" w:themeTint="99"/>
      </w:tblBorders>
    </w:tblPr>
    <w:tblStylePr w:type="firstRow">
      <w:rPr>
        <w:b/>
        <w:bCs/>
      </w:rPr>
      <w:tblPr/>
      <w:tcPr>
        <w:tcBorders>
          <w:top w:val="nil"/>
          <w:bottom w:val="single" w:sz="12" w:space="0" w:color="E3EBF5" w:themeColor="accent3" w:themeTint="99"/>
          <w:insideH w:val="nil"/>
          <w:insideV w:val="nil"/>
        </w:tcBorders>
        <w:shd w:val="clear" w:color="auto" w:fill="FFFFFF" w:themeFill="background1"/>
      </w:tcPr>
    </w:tblStylePr>
    <w:tblStylePr w:type="lastRow">
      <w:rPr>
        <w:b/>
        <w:bCs/>
      </w:rPr>
      <w:tblPr/>
      <w:tcPr>
        <w:tcBorders>
          <w:top w:val="double" w:sz="2" w:space="0" w:color="E3EBF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C8D8EB" w:themeColor="accent4" w:themeTint="99"/>
        <w:bottom w:val="single" w:sz="2" w:space="0" w:color="C8D8EB" w:themeColor="accent4" w:themeTint="99"/>
        <w:insideH w:val="single" w:sz="2" w:space="0" w:color="C8D8EB" w:themeColor="accent4" w:themeTint="99"/>
        <w:insideV w:val="single" w:sz="2" w:space="0" w:color="C8D8EB" w:themeColor="accent4" w:themeTint="99"/>
      </w:tblBorders>
    </w:tblPr>
    <w:tblStylePr w:type="firstRow">
      <w:rPr>
        <w:b/>
        <w:bCs/>
      </w:rPr>
      <w:tblPr/>
      <w:tcPr>
        <w:tcBorders>
          <w:top w:val="nil"/>
          <w:bottom w:val="single" w:sz="12" w:space="0" w:color="C8D8EB" w:themeColor="accent4" w:themeTint="99"/>
          <w:insideH w:val="nil"/>
          <w:insideV w:val="nil"/>
        </w:tcBorders>
        <w:shd w:val="clear" w:color="auto" w:fill="FFFFFF" w:themeFill="background1"/>
      </w:tcPr>
    </w:tblStylePr>
    <w:tblStylePr w:type="lastRow">
      <w:rPr>
        <w:b/>
        <w:bCs/>
      </w:rPr>
      <w:tblPr/>
      <w:tcPr>
        <w:tcBorders>
          <w:top w:val="double" w:sz="2" w:space="0" w:color="C8D8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B7CCE4" w:themeColor="accent5" w:themeTint="99"/>
        <w:bottom w:val="single" w:sz="2" w:space="0" w:color="B7CCE4" w:themeColor="accent5" w:themeTint="99"/>
        <w:insideH w:val="single" w:sz="2" w:space="0" w:color="B7CCE4" w:themeColor="accent5" w:themeTint="99"/>
        <w:insideV w:val="single" w:sz="2" w:space="0" w:color="B7CCE4" w:themeColor="accent5" w:themeTint="99"/>
      </w:tblBorders>
    </w:tblPr>
    <w:tblStylePr w:type="firstRow">
      <w:rPr>
        <w:b/>
        <w:bCs/>
      </w:rPr>
      <w:tblPr/>
      <w:tcPr>
        <w:tcBorders>
          <w:top w:val="nil"/>
          <w:bottom w:val="single" w:sz="12" w:space="0" w:color="B7CCE4" w:themeColor="accent5" w:themeTint="99"/>
          <w:insideH w:val="nil"/>
          <w:insideV w:val="nil"/>
        </w:tcBorders>
        <w:shd w:val="clear" w:color="auto" w:fill="FFFFFF" w:themeFill="background1"/>
      </w:tcPr>
    </w:tblStylePr>
    <w:tblStylePr w:type="lastRow">
      <w:rPr>
        <w:b/>
        <w:bCs/>
      </w:rPr>
      <w:tblPr/>
      <w:tcPr>
        <w:tcBorders>
          <w:top w:val="double" w:sz="2" w:space="0" w:color="B7CC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97ADC7" w:themeColor="accent6" w:themeTint="99"/>
        <w:bottom w:val="single" w:sz="2" w:space="0" w:color="97ADC7" w:themeColor="accent6" w:themeTint="99"/>
        <w:insideH w:val="single" w:sz="2" w:space="0" w:color="97ADC7" w:themeColor="accent6" w:themeTint="99"/>
        <w:insideV w:val="single" w:sz="2" w:space="0" w:color="97ADC7" w:themeColor="accent6" w:themeTint="99"/>
      </w:tblBorders>
    </w:tblPr>
    <w:tblStylePr w:type="firstRow">
      <w:rPr>
        <w:b/>
        <w:bCs/>
      </w:rPr>
      <w:tblPr/>
      <w:tcPr>
        <w:tcBorders>
          <w:top w:val="nil"/>
          <w:bottom w:val="single" w:sz="12" w:space="0" w:color="97ADC7" w:themeColor="accent6" w:themeTint="99"/>
          <w:insideH w:val="nil"/>
          <w:insideV w:val="nil"/>
        </w:tcBorders>
        <w:shd w:val="clear" w:color="auto" w:fill="FFFFFF" w:themeFill="background1"/>
      </w:tcPr>
    </w:tblStylePr>
    <w:tblStylePr w:type="lastRow">
      <w:rPr>
        <w:b/>
        <w:bCs/>
      </w:rPr>
      <w:tblPr/>
      <w:tcPr>
        <w:tcBorders>
          <w:top w:val="double" w:sz="2" w:space="0" w:color="97ADC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bottom w:val="single" w:sz="4" w:space="0" w:color="939393" w:themeColor="text1" w:themeTint="99"/>
        </w:tcBorders>
      </w:tcPr>
    </w:tblStylePr>
    <w:tblStylePr w:type="nwCell">
      <w:tblPr/>
      <w:tcPr>
        <w:tcBorders>
          <w:bottom w:val="single" w:sz="4" w:space="0" w:color="939393" w:themeColor="text1" w:themeTint="99"/>
        </w:tcBorders>
      </w:tcPr>
    </w:tblStylePr>
    <w:tblStylePr w:type="seCell">
      <w:tblPr/>
      <w:tcPr>
        <w:tcBorders>
          <w:top w:val="single" w:sz="4" w:space="0" w:color="939393" w:themeColor="text1" w:themeTint="99"/>
        </w:tcBorders>
      </w:tcPr>
    </w:tblStylePr>
    <w:tblStylePr w:type="swCell">
      <w:tblPr/>
      <w:tcPr>
        <w:tcBorders>
          <w:top w:val="single" w:sz="4" w:space="0" w:color="939393"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bottom w:val="single" w:sz="4" w:space="0" w:color="A4BFDE" w:themeColor="accent1" w:themeTint="99"/>
        </w:tcBorders>
      </w:tcPr>
    </w:tblStylePr>
    <w:tblStylePr w:type="nwCell">
      <w:tblPr/>
      <w:tcPr>
        <w:tcBorders>
          <w:bottom w:val="single" w:sz="4" w:space="0" w:color="A4BFDE" w:themeColor="accent1" w:themeTint="99"/>
        </w:tcBorders>
      </w:tcPr>
    </w:tblStylePr>
    <w:tblStylePr w:type="seCell">
      <w:tblPr/>
      <w:tcPr>
        <w:tcBorders>
          <w:top w:val="single" w:sz="4" w:space="0" w:color="A4BFDE" w:themeColor="accent1" w:themeTint="99"/>
        </w:tcBorders>
      </w:tcPr>
    </w:tblStylePr>
    <w:tblStylePr w:type="swCell">
      <w:tblPr/>
      <w:tcPr>
        <w:tcBorders>
          <w:top w:val="single" w:sz="4" w:space="0" w:color="A4BFDE"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bottom w:val="single" w:sz="4" w:space="0" w:color="7E9BBB" w:themeColor="accent2" w:themeTint="99"/>
        </w:tcBorders>
      </w:tcPr>
    </w:tblStylePr>
    <w:tblStylePr w:type="nwCell">
      <w:tblPr/>
      <w:tcPr>
        <w:tcBorders>
          <w:bottom w:val="single" w:sz="4" w:space="0" w:color="7E9BBB" w:themeColor="accent2" w:themeTint="99"/>
        </w:tcBorders>
      </w:tcPr>
    </w:tblStylePr>
    <w:tblStylePr w:type="seCell">
      <w:tblPr/>
      <w:tcPr>
        <w:tcBorders>
          <w:top w:val="single" w:sz="4" w:space="0" w:color="7E9BBB" w:themeColor="accent2" w:themeTint="99"/>
        </w:tcBorders>
      </w:tcPr>
    </w:tblStylePr>
    <w:tblStylePr w:type="swCell">
      <w:tblPr/>
      <w:tcPr>
        <w:tcBorders>
          <w:top w:val="single" w:sz="4" w:space="0" w:color="7E9BBB"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bottom w:val="single" w:sz="4" w:space="0" w:color="E3EBF5" w:themeColor="accent3" w:themeTint="99"/>
        </w:tcBorders>
      </w:tcPr>
    </w:tblStylePr>
    <w:tblStylePr w:type="nwCell">
      <w:tblPr/>
      <w:tcPr>
        <w:tcBorders>
          <w:bottom w:val="single" w:sz="4" w:space="0" w:color="E3EBF5" w:themeColor="accent3" w:themeTint="99"/>
        </w:tcBorders>
      </w:tcPr>
    </w:tblStylePr>
    <w:tblStylePr w:type="seCell">
      <w:tblPr/>
      <w:tcPr>
        <w:tcBorders>
          <w:top w:val="single" w:sz="4" w:space="0" w:color="E3EBF5" w:themeColor="accent3" w:themeTint="99"/>
        </w:tcBorders>
      </w:tcPr>
    </w:tblStylePr>
    <w:tblStylePr w:type="swCell">
      <w:tblPr/>
      <w:tcPr>
        <w:tcBorders>
          <w:top w:val="single" w:sz="4" w:space="0" w:color="E3EBF5"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bottom w:val="single" w:sz="4" w:space="0" w:color="C8D8EB" w:themeColor="accent4" w:themeTint="99"/>
        </w:tcBorders>
      </w:tcPr>
    </w:tblStylePr>
    <w:tblStylePr w:type="nwCell">
      <w:tblPr/>
      <w:tcPr>
        <w:tcBorders>
          <w:bottom w:val="single" w:sz="4" w:space="0" w:color="C8D8EB" w:themeColor="accent4" w:themeTint="99"/>
        </w:tcBorders>
      </w:tcPr>
    </w:tblStylePr>
    <w:tblStylePr w:type="seCell">
      <w:tblPr/>
      <w:tcPr>
        <w:tcBorders>
          <w:top w:val="single" w:sz="4" w:space="0" w:color="C8D8EB" w:themeColor="accent4" w:themeTint="99"/>
        </w:tcBorders>
      </w:tcPr>
    </w:tblStylePr>
    <w:tblStylePr w:type="swCell">
      <w:tblPr/>
      <w:tcPr>
        <w:tcBorders>
          <w:top w:val="single" w:sz="4" w:space="0" w:color="C8D8EB"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7CCE4" w:themeColor="accent5" w:themeTint="99"/>
        </w:tcBorders>
      </w:tcPr>
    </w:tblStylePr>
    <w:tblStylePr w:type="nwCell">
      <w:tblPr/>
      <w:tcPr>
        <w:tcBorders>
          <w:bottom w:val="single" w:sz="4" w:space="0" w:color="B7CCE4" w:themeColor="accent5" w:themeTint="99"/>
        </w:tcBorders>
      </w:tcPr>
    </w:tblStylePr>
    <w:tblStylePr w:type="seCell">
      <w:tblPr/>
      <w:tcPr>
        <w:tcBorders>
          <w:top w:val="single" w:sz="4" w:space="0" w:color="B7CCE4" w:themeColor="accent5" w:themeTint="99"/>
        </w:tcBorders>
      </w:tcPr>
    </w:tblStylePr>
    <w:tblStylePr w:type="swCell">
      <w:tblPr/>
      <w:tcPr>
        <w:tcBorders>
          <w:top w:val="single" w:sz="4" w:space="0" w:color="B7CCE4"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bottom w:val="single" w:sz="4" w:space="0" w:color="97ADC7" w:themeColor="accent6" w:themeTint="99"/>
        </w:tcBorders>
      </w:tcPr>
    </w:tblStylePr>
    <w:tblStylePr w:type="nwCell">
      <w:tblPr/>
      <w:tcPr>
        <w:tcBorders>
          <w:bottom w:val="single" w:sz="4" w:space="0" w:color="97ADC7" w:themeColor="accent6" w:themeTint="99"/>
        </w:tcBorders>
      </w:tcPr>
    </w:tblStylePr>
    <w:tblStylePr w:type="seCell">
      <w:tblPr/>
      <w:tcPr>
        <w:tcBorders>
          <w:top w:val="single" w:sz="4" w:space="0" w:color="97ADC7" w:themeColor="accent6" w:themeTint="99"/>
        </w:tcBorders>
      </w:tcPr>
    </w:tblStylePr>
    <w:tblStylePr w:type="swCell">
      <w:tblPr/>
      <w:tcPr>
        <w:tcBorders>
          <w:top w:val="single" w:sz="4" w:space="0" w:color="97ADC7"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color w:val="FFFFFF" w:themeColor="background1"/>
      </w:rPr>
      <w:tblPr/>
      <w:tcPr>
        <w:tcBorders>
          <w:top w:val="single" w:sz="4" w:space="0" w:color="4C4C4C" w:themeColor="text1"/>
          <w:left w:val="single" w:sz="4" w:space="0" w:color="4C4C4C" w:themeColor="text1"/>
          <w:bottom w:val="single" w:sz="4" w:space="0" w:color="4C4C4C" w:themeColor="text1"/>
          <w:right w:val="single" w:sz="4" w:space="0" w:color="4C4C4C" w:themeColor="text1"/>
          <w:insideH w:val="nil"/>
          <w:insideV w:val="nil"/>
        </w:tcBorders>
        <w:shd w:val="clear" w:color="auto" w:fill="4C4C4C" w:themeFill="text1"/>
      </w:tcPr>
    </w:tblStylePr>
    <w:tblStylePr w:type="lastRow">
      <w:rPr>
        <w:b/>
        <w:bCs/>
      </w:rPr>
      <w:tblPr/>
      <w:tcPr>
        <w:tcBorders>
          <w:top w:val="double" w:sz="4" w:space="0" w:color="4C4C4C" w:themeColor="text1"/>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color w:val="FFFFFF" w:themeColor="background1"/>
      </w:rPr>
      <w:tblPr/>
      <w:tcPr>
        <w:tcBorders>
          <w:top w:val="single" w:sz="4" w:space="0" w:color="6996C9" w:themeColor="accent1"/>
          <w:left w:val="single" w:sz="4" w:space="0" w:color="6996C9" w:themeColor="accent1"/>
          <w:bottom w:val="single" w:sz="4" w:space="0" w:color="6996C9" w:themeColor="accent1"/>
          <w:right w:val="single" w:sz="4" w:space="0" w:color="6996C9" w:themeColor="accent1"/>
          <w:insideH w:val="nil"/>
          <w:insideV w:val="nil"/>
        </w:tcBorders>
        <w:shd w:val="clear" w:color="auto" w:fill="6996C9" w:themeFill="accent1"/>
      </w:tcPr>
    </w:tblStylePr>
    <w:tblStylePr w:type="lastRow">
      <w:rPr>
        <w:b/>
        <w:bCs/>
      </w:rPr>
      <w:tblPr/>
      <w:tcPr>
        <w:tcBorders>
          <w:top w:val="double" w:sz="4" w:space="0" w:color="6996C9" w:themeColor="accent1"/>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color w:val="FFFFFF" w:themeColor="background1"/>
      </w:rPr>
      <w:tblPr/>
      <w:tcPr>
        <w:tcBorders>
          <w:top w:val="single" w:sz="4" w:space="0" w:color="3F5A78" w:themeColor="accent2"/>
          <w:left w:val="single" w:sz="4" w:space="0" w:color="3F5A78" w:themeColor="accent2"/>
          <w:bottom w:val="single" w:sz="4" w:space="0" w:color="3F5A78" w:themeColor="accent2"/>
          <w:right w:val="single" w:sz="4" w:space="0" w:color="3F5A78" w:themeColor="accent2"/>
          <w:insideH w:val="nil"/>
          <w:insideV w:val="nil"/>
        </w:tcBorders>
        <w:shd w:val="clear" w:color="auto" w:fill="3F5A78" w:themeFill="accent2"/>
      </w:tcPr>
    </w:tblStylePr>
    <w:tblStylePr w:type="lastRow">
      <w:rPr>
        <w:b/>
        <w:bCs/>
      </w:rPr>
      <w:tblPr/>
      <w:tcPr>
        <w:tcBorders>
          <w:top w:val="double" w:sz="4" w:space="0" w:color="3F5A78" w:themeColor="accent2"/>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color w:val="FFFFFF" w:themeColor="background1"/>
      </w:rPr>
      <w:tblPr/>
      <w:tcPr>
        <w:tcBorders>
          <w:top w:val="single" w:sz="4" w:space="0" w:color="D2DFEF" w:themeColor="accent3"/>
          <w:left w:val="single" w:sz="4" w:space="0" w:color="D2DFEF" w:themeColor="accent3"/>
          <w:bottom w:val="single" w:sz="4" w:space="0" w:color="D2DFEF" w:themeColor="accent3"/>
          <w:right w:val="single" w:sz="4" w:space="0" w:color="D2DFEF" w:themeColor="accent3"/>
          <w:insideH w:val="nil"/>
          <w:insideV w:val="nil"/>
        </w:tcBorders>
        <w:shd w:val="clear" w:color="auto" w:fill="D2DFEF" w:themeFill="accent3"/>
      </w:tcPr>
    </w:tblStylePr>
    <w:tblStylePr w:type="lastRow">
      <w:rPr>
        <w:b/>
        <w:bCs/>
      </w:rPr>
      <w:tblPr/>
      <w:tcPr>
        <w:tcBorders>
          <w:top w:val="double" w:sz="4" w:space="0" w:color="D2DFEF" w:themeColor="accent3"/>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4-Accent4">
    <w:name w:val="Grid Table 4 Accent 4"/>
    <w:aliases w:val="CPUC table 1"/>
    <w:basedOn w:val="TableNormal"/>
    <w:uiPriority w:val="49"/>
    <w:rsid w:val="00F417F8"/>
    <w:pPr>
      <w:spacing w:after="0" w:line="240" w:lineRule="auto"/>
    </w:pPr>
    <w:rPr>
      <w:rFonts w:ascii="Garamond" w:hAnsi="Garamond"/>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cPr>
      <w:tcMar>
        <w:top w:w="58" w:type="dxa"/>
        <w:left w:w="115" w:type="dxa"/>
        <w:right w:w="115" w:type="dxa"/>
      </w:tcMar>
    </w:tcPr>
    <w:tblStylePr w:type="firstRow">
      <w:rPr>
        <w:rFonts w:asciiTheme="minorHAnsi" w:hAnsiTheme="minorHAnsi"/>
        <w:b/>
        <w:bCs/>
        <w:i w:val="0"/>
        <w:color w:val="0C1521" w:themeColor="accent3" w:themeShade="1A"/>
        <w:sz w:val="20"/>
      </w:rPr>
      <w:tblPr/>
      <w:tcPr>
        <w:tcBorders>
          <w:top w:val="single" w:sz="4" w:space="0" w:color="A5C0DE" w:themeColor="accent4"/>
          <w:left w:val="single" w:sz="4" w:space="0" w:color="A5C0DE" w:themeColor="accent4"/>
          <w:bottom w:val="single" w:sz="4" w:space="0" w:color="A5C0DE" w:themeColor="accent4"/>
          <w:right w:val="single" w:sz="4" w:space="0" w:color="A5C0DE" w:themeColor="accent4"/>
          <w:insideH w:val="nil"/>
          <w:insideV w:val="nil"/>
        </w:tcBorders>
        <w:shd w:val="clear" w:color="auto" w:fill="A5C0DE" w:themeFill="accent4"/>
      </w:tcPr>
    </w:tblStylePr>
    <w:tblStylePr w:type="lastRow">
      <w:rPr>
        <w:b/>
        <w:bCs/>
      </w:rPr>
      <w:tblPr/>
      <w:tcPr>
        <w:tcBorders>
          <w:top w:val="double" w:sz="4" w:space="0" w:color="A5C0DE" w:themeColor="accent4"/>
        </w:tcBorders>
      </w:tcPr>
    </w:tblStylePr>
    <w:tblStylePr w:type="firstCol">
      <w:rPr>
        <w:b w:val="0"/>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color w:val="FFFFFF" w:themeColor="background1"/>
      </w:rPr>
      <w:tblPr/>
      <w:tcPr>
        <w:tcBorders>
          <w:top w:val="single" w:sz="4" w:space="0" w:color="88ABD3" w:themeColor="accent5"/>
          <w:left w:val="single" w:sz="4" w:space="0" w:color="88ABD3" w:themeColor="accent5"/>
          <w:bottom w:val="single" w:sz="4" w:space="0" w:color="88ABD3" w:themeColor="accent5"/>
          <w:right w:val="single" w:sz="4" w:space="0" w:color="88ABD3" w:themeColor="accent5"/>
          <w:insideH w:val="nil"/>
          <w:insideV w:val="nil"/>
        </w:tcBorders>
        <w:shd w:val="clear" w:color="auto" w:fill="88ABD3" w:themeFill="accent5"/>
      </w:tcPr>
    </w:tblStylePr>
    <w:tblStylePr w:type="lastRow">
      <w:rPr>
        <w:b/>
        <w:bCs/>
      </w:rPr>
      <w:tblPr/>
      <w:tcPr>
        <w:tcBorders>
          <w:top w:val="double" w:sz="4" w:space="0" w:color="88ABD3"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insideV w:val="nil"/>
        </w:tcBorders>
        <w:shd w:val="clear" w:color="auto" w:fill="5578A0" w:themeFill="accent6"/>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4C4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4C4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4C4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4C4C" w:themeFill="text1"/>
      </w:tcPr>
    </w:tblStylePr>
    <w:tblStylePr w:type="band1Vert">
      <w:tblPr/>
      <w:tcPr>
        <w:shd w:val="clear" w:color="auto" w:fill="B7B7B7" w:themeFill="text1" w:themeFillTint="66"/>
      </w:tcPr>
    </w:tblStylePr>
    <w:tblStylePr w:type="band1Horz">
      <w:tblPr/>
      <w:tcPr>
        <w:shd w:val="clear" w:color="auto" w:fill="B7B7B7"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96C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96C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96C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96C9" w:themeFill="accent1"/>
      </w:tcPr>
    </w:tblStylePr>
    <w:tblStylePr w:type="band1Vert">
      <w:tblPr/>
      <w:tcPr>
        <w:shd w:val="clear" w:color="auto" w:fill="C2D4E9" w:themeFill="accent1" w:themeFillTint="66"/>
      </w:tcPr>
    </w:tblStylePr>
    <w:tblStylePr w:type="band1Horz">
      <w:tblPr/>
      <w:tcPr>
        <w:shd w:val="clear" w:color="auto" w:fill="C2D4E9"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D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A7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A7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A7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A78" w:themeFill="accent2"/>
      </w:tcPr>
    </w:tblStylePr>
    <w:tblStylePr w:type="band1Vert">
      <w:tblPr/>
      <w:tcPr>
        <w:shd w:val="clear" w:color="auto" w:fill="A9BCD2" w:themeFill="accent2" w:themeFillTint="66"/>
      </w:tcPr>
    </w:tblStylePr>
    <w:tblStylePr w:type="band1Horz">
      <w:tblPr/>
      <w:tcPr>
        <w:shd w:val="clear" w:color="auto" w:fill="A9BCD2"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DFE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DFE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DFE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DFEF" w:themeFill="accent3"/>
      </w:tcPr>
    </w:tblStylePr>
    <w:tblStylePr w:type="band1Vert">
      <w:tblPr/>
      <w:tcPr>
        <w:shd w:val="clear" w:color="auto" w:fill="ECF2F8" w:themeFill="accent3" w:themeFillTint="66"/>
      </w:tcPr>
    </w:tblStylePr>
    <w:tblStylePr w:type="band1Horz">
      <w:tblPr/>
      <w:tcPr>
        <w:shd w:val="clear" w:color="auto" w:fill="ECF2F8"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0D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0D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0D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0DE" w:themeFill="accent4"/>
      </w:tcPr>
    </w:tblStylePr>
    <w:tblStylePr w:type="band1Vert">
      <w:tblPr/>
      <w:tcPr>
        <w:shd w:val="clear" w:color="auto" w:fill="DAE5F1" w:themeFill="accent4" w:themeFillTint="66"/>
      </w:tcPr>
    </w:tblStylePr>
    <w:tblStylePr w:type="band1Horz">
      <w:tblPr/>
      <w:tcPr>
        <w:shd w:val="clear" w:color="auto" w:fill="DAE5F1"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AB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AB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AB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ABD3" w:themeFill="accent5"/>
      </w:tcPr>
    </w:tblStylePr>
    <w:tblStylePr w:type="band1Vert">
      <w:tblPr/>
      <w:tcPr>
        <w:shd w:val="clear" w:color="auto" w:fill="CFDDED" w:themeFill="accent5" w:themeFillTint="66"/>
      </w:tcPr>
    </w:tblStylePr>
    <w:tblStylePr w:type="band1Horz">
      <w:tblPr/>
      <w:tcPr>
        <w:shd w:val="clear" w:color="auto" w:fill="CFDDED"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3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78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78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78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78A0" w:themeFill="accent6"/>
      </w:tcPr>
    </w:tblStylePr>
    <w:tblStylePr w:type="band1Vert">
      <w:tblPr/>
      <w:tcPr>
        <w:shd w:val="clear" w:color="auto" w:fill="B9C8DA" w:themeFill="accent6" w:themeFillTint="66"/>
      </w:tcPr>
    </w:tblStylePr>
    <w:tblStylePr w:type="band1Horz">
      <w:tblPr/>
      <w:tcPr>
        <w:shd w:val="clear" w:color="auto" w:fill="B9C8DA" w:themeFill="accent6" w:themeFillTint="66"/>
      </w:tcPr>
    </w:tblStylePr>
  </w:style>
  <w:style w:type="table" w:styleId="GridTable6Colorful">
    <w:name w:val="Grid Table 6 Colorful"/>
    <w:basedOn w:val="TableNormal"/>
    <w:uiPriority w:val="51"/>
    <w:rsid w:val="005225B2"/>
    <w:pPr>
      <w:spacing w:after="0" w:line="240" w:lineRule="auto"/>
    </w:pPr>
    <w:rPr>
      <w:color w:val="4C4C4C" w:themeColor="text1"/>
    </w:r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bottom w:val="single" w:sz="12" w:space="0" w:color="939393" w:themeColor="text1" w:themeTint="99"/>
        </w:tcBorders>
      </w:tcPr>
    </w:tblStylePr>
    <w:tblStylePr w:type="lastRow">
      <w:rPr>
        <w:b/>
        <w:bCs/>
      </w:rPr>
      <w:tblPr/>
      <w:tcPr>
        <w:tcBorders>
          <w:top w:val="doub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3C6EA8" w:themeColor="accent1" w:themeShade="BF"/>
    </w:r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bottom w:val="single" w:sz="12" w:space="0" w:color="A4BFDE" w:themeColor="accent1" w:themeTint="99"/>
        </w:tcBorders>
      </w:tcPr>
    </w:tblStylePr>
    <w:tblStylePr w:type="lastRow">
      <w:rPr>
        <w:b/>
        <w:bCs/>
      </w:rPr>
      <w:tblPr/>
      <w:tcPr>
        <w:tcBorders>
          <w:top w:val="doub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2F4359" w:themeColor="accent2" w:themeShade="BF"/>
    </w:r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bottom w:val="single" w:sz="12" w:space="0" w:color="7E9BBB" w:themeColor="accent2" w:themeTint="99"/>
        </w:tcBorders>
      </w:tcPr>
    </w:tblStylePr>
    <w:tblStylePr w:type="lastRow">
      <w:rPr>
        <w:b/>
        <w:bCs/>
      </w:rPr>
      <w:tblPr/>
      <w:tcPr>
        <w:tcBorders>
          <w:top w:val="doub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7EA3D1" w:themeColor="accent3" w:themeShade="BF"/>
    </w:r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bottom w:val="single" w:sz="12" w:space="0" w:color="E3EBF5" w:themeColor="accent3" w:themeTint="99"/>
        </w:tcBorders>
      </w:tcPr>
    </w:tblStylePr>
    <w:tblStylePr w:type="lastRow">
      <w:rPr>
        <w:b/>
        <w:bCs/>
      </w:rPr>
      <w:tblPr/>
      <w:tcPr>
        <w:tcBorders>
          <w:top w:val="doub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5D8DC4" w:themeColor="accent4" w:themeShade="BF"/>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bottom w:val="single" w:sz="12" w:space="0" w:color="C8D8EB" w:themeColor="accent4" w:themeTint="99"/>
        </w:tcBorders>
      </w:tcPr>
    </w:tblStylePr>
    <w:tblStylePr w:type="lastRow">
      <w:rPr>
        <w:b/>
        <w:bCs/>
      </w:rPr>
      <w:tblPr/>
      <w:tcPr>
        <w:tcBorders>
          <w:top w:val="doub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487DBB" w:themeColor="accent5" w:themeShade="BF"/>
    </w:r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bottom w:val="single" w:sz="12" w:space="0" w:color="B7CCE4" w:themeColor="accent5" w:themeTint="99"/>
        </w:tcBorders>
      </w:tcPr>
    </w:tblStylePr>
    <w:tblStylePr w:type="lastRow">
      <w:rPr>
        <w:b/>
        <w:bCs/>
      </w:rPr>
      <w:tblPr/>
      <w:tcPr>
        <w:tcBorders>
          <w:top w:val="doub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3F5977" w:themeColor="accent6" w:themeShade="BF"/>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bottom w:val="single" w:sz="12" w:space="0" w:color="97ADC7" w:themeColor="accent6" w:themeTint="99"/>
        </w:tcBorders>
      </w:tcPr>
    </w:tblStylePr>
    <w:tblStylePr w:type="lastRow">
      <w:rPr>
        <w:b/>
        <w:bCs/>
      </w:rPr>
      <w:tblPr/>
      <w:tcPr>
        <w:tcBorders>
          <w:top w:val="doub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7Colorful">
    <w:name w:val="Grid Table 7 Colorful"/>
    <w:basedOn w:val="TableNormal"/>
    <w:uiPriority w:val="52"/>
    <w:rsid w:val="005225B2"/>
    <w:pPr>
      <w:spacing w:after="0" w:line="240" w:lineRule="auto"/>
    </w:pPr>
    <w:rPr>
      <w:color w:val="4C4C4C" w:themeColor="text1"/>
    </w:r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bottom w:val="single" w:sz="4" w:space="0" w:color="939393" w:themeColor="text1" w:themeTint="99"/>
        </w:tcBorders>
      </w:tcPr>
    </w:tblStylePr>
    <w:tblStylePr w:type="nwCell">
      <w:tblPr/>
      <w:tcPr>
        <w:tcBorders>
          <w:bottom w:val="single" w:sz="4" w:space="0" w:color="939393" w:themeColor="text1" w:themeTint="99"/>
        </w:tcBorders>
      </w:tcPr>
    </w:tblStylePr>
    <w:tblStylePr w:type="seCell">
      <w:tblPr/>
      <w:tcPr>
        <w:tcBorders>
          <w:top w:val="single" w:sz="4" w:space="0" w:color="939393" w:themeColor="text1" w:themeTint="99"/>
        </w:tcBorders>
      </w:tcPr>
    </w:tblStylePr>
    <w:tblStylePr w:type="swCell">
      <w:tblPr/>
      <w:tcPr>
        <w:tcBorders>
          <w:top w:val="single" w:sz="4" w:space="0" w:color="939393"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3C6EA8" w:themeColor="accent1" w:themeShade="BF"/>
    </w:r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bottom w:val="single" w:sz="4" w:space="0" w:color="A4BFDE" w:themeColor="accent1" w:themeTint="99"/>
        </w:tcBorders>
      </w:tcPr>
    </w:tblStylePr>
    <w:tblStylePr w:type="nwCell">
      <w:tblPr/>
      <w:tcPr>
        <w:tcBorders>
          <w:bottom w:val="single" w:sz="4" w:space="0" w:color="A4BFDE" w:themeColor="accent1" w:themeTint="99"/>
        </w:tcBorders>
      </w:tcPr>
    </w:tblStylePr>
    <w:tblStylePr w:type="seCell">
      <w:tblPr/>
      <w:tcPr>
        <w:tcBorders>
          <w:top w:val="single" w:sz="4" w:space="0" w:color="A4BFDE" w:themeColor="accent1" w:themeTint="99"/>
        </w:tcBorders>
      </w:tcPr>
    </w:tblStylePr>
    <w:tblStylePr w:type="swCell">
      <w:tblPr/>
      <w:tcPr>
        <w:tcBorders>
          <w:top w:val="single" w:sz="4" w:space="0" w:color="A4BFDE"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2F4359" w:themeColor="accent2" w:themeShade="BF"/>
    </w:r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bottom w:val="single" w:sz="4" w:space="0" w:color="7E9BBB" w:themeColor="accent2" w:themeTint="99"/>
        </w:tcBorders>
      </w:tcPr>
    </w:tblStylePr>
    <w:tblStylePr w:type="nwCell">
      <w:tblPr/>
      <w:tcPr>
        <w:tcBorders>
          <w:bottom w:val="single" w:sz="4" w:space="0" w:color="7E9BBB" w:themeColor="accent2" w:themeTint="99"/>
        </w:tcBorders>
      </w:tcPr>
    </w:tblStylePr>
    <w:tblStylePr w:type="seCell">
      <w:tblPr/>
      <w:tcPr>
        <w:tcBorders>
          <w:top w:val="single" w:sz="4" w:space="0" w:color="7E9BBB" w:themeColor="accent2" w:themeTint="99"/>
        </w:tcBorders>
      </w:tcPr>
    </w:tblStylePr>
    <w:tblStylePr w:type="swCell">
      <w:tblPr/>
      <w:tcPr>
        <w:tcBorders>
          <w:top w:val="single" w:sz="4" w:space="0" w:color="7E9BBB"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7EA3D1" w:themeColor="accent3" w:themeShade="BF"/>
    </w:r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bottom w:val="single" w:sz="4" w:space="0" w:color="E3EBF5" w:themeColor="accent3" w:themeTint="99"/>
        </w:tcBorders>
      </w:tcPr>
    </w:tblStylePr>
    <w:tblStylePr w:type="nwCell">
      <w:tblPr/>
      <w:tcPr>
        <w:tcBorders>
          <w:bottom w:val="single" w:sz="4" w:space="0" w:color="E3EBF5" w:themeColor="accent3" w:themeTint="99"/>
        </w:tcBorders>
      </w:tcPr>
    </w:tblStylePr>
    <w:tblStylePr w:type="seCell">
      <w:tblPr/>
      <w:tcPr>
        <w:tcBorders>
          <w:top w:val="single" w:sz="4" w:space="0" w:color="E3EBF5" w:themeColor="accent3" w:themeTint="99"/>
        </w:tcBorders>
      </w:tcPr>
    </w:tblStylePr>
    <w:tblStylePr w:type="swCell">
      <w:tblPr/>
      <w:tcPr>
        <w:tcBorders>
          <w:top w:val="single" w:sz="4" w:space="0" w:color="E3EBF5"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5D8DC4" w:themeColor="accent4" w:themeShade="BF"/>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bottom w:val="single" w:sz="4" w:space="0" w:color="C8D8EB" w:themeColor="accent4" w:themeTint="99"/>
        </w:tcBorders>
      </w:tcPr>
    </w:tblStylePr>
    <w:tblStylePr w:type="nwCell">
      <w:tblPr/>
      <w:tcPr>
        <w:tcBorders>
          <w:bottom w:val="single" w:sz="4" w:space="0" w:color="C8D8EB" w:themeColor="accent4" w:themeTint="99"/>
        </w:tcBorders>
      </w:tcPr>
    </w:tblStylePr>
    <w:tblStylePr w:type="seCell">
      <w:tblPr/>
      <w:tcPr>
        <w:tcBorders>
          <w:top w:val="single" w:sz="4" w:space="0" w:color="C8D8EB" w:themeColor="accent4" w:themeTint="99"/>
        </w:tcBorders>
      </w:tcPr>
    </w:tblStylePr>
    <w:tblStylePr w:type="swCell">
      <w:tblPr/>
      <w:tcPr>
        <w:tcBorders>
          <w:top w:val="single" w:sz="4" w:space="0" w:color="C8D8EB"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487DBB" w:themeColor="accent5" w:themeShade="BF"/>
    </w:r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7CCE4" w:themeColor="accent5" w:themeTint="99"/>
        </w:tcBorders>
      </w:tcPr>
    </w:tblStylePr>
    <w:tblStylePr w:type="nwCell">
      <w:tblPr/>
      <w:tcPr>
        <w:tcBorders>
          <w:bottom w:val="single" w:sz="4" w:space="0" w:color="B7CCE4" w:themeColor="accent5" w:themeTint="99"/>
        </w:tcBorders>
      </w:tcPr>
    </w:tblStylePr>
    <w:tblStylePr w:type="seCell">
      <w:tblPr/>
      <w:tcPr>
        <w:tcBorders>
          <w:top w:val="single" w:sz="4" w:space="0" w:color="B7CCE4" w:themeColor="accent5" w:themeTint="99"/>
        </w:tcBorders>
      </w:tcPr>
    </w:tblStylePr>
    <w:tblStylePr w:type="swCell">
      <w:tblPr/>
      <w:tcPr>
        <w:tcBorders>
          <w:top w:val="single" w:sz="4" w:space="0" w:color="B7CCE4"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3F5977" w:themeColor="accent6" w:themeShade="BF"/>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bottom w:val="single" w:sz="4" w:space="0" w:color="97ADC7" w:themeColor="accent6" w:themeTint="99"/>
        </w:tcBorders>
      </w:tcPr>
    </w:tblStylePr>
    <w:tblStylePr w:type="nwCell">
      <w:tblPr/>
      <w:tcPr>
        <w:tcBorders>
          <w:bottom w:val="single" w:sz="4" w:space="0" w:color="97ADC7" w:themeColor="accent6" w:themeTint="99"/>
        </w:tcBorders>
      </w:tcPr>
    </w:tblStylePr>
    <w:tblStylePr w:type="seCell">
      <w:tblPr/>
      <w:tcPr>
        <w:tcBorders>
          <w:top w:val="single" w:sz="4" w:space="0" w:color="97ADC7" w:themeColor="accent6" w:themeTint="99"/>
        </w:tcBorders>
      </w:tcPr>
    </w:tblStylePr>
    <w:tblStylePr w:type="swCell">
      <w:tblPr/>
      <w:tcPr>
        <w:tcBorders>
          <w:top w:val="single" w:sz="4" w:space="0" w:color="97ADC7" w:themeColor="accent6" w:themeTint="99"/>
        </w:tcBorders>
      </w:tcPr>
    </w:tblStylePr>
  </w:style>
  <w:style w:type="character" w:customStyle="1" w:styleId="Hashtag1">
    <w:name w:val="Hashtag1"/>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rPr>
      <w:rFonts w:ascii="Consolas" w:hAnsi="Consolas"/>
      <w:sz w:val="22"/>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ind w:left="230" w:hanging="230"/>
    </w:pPr>
  </w:style>
  <w:style w:type="paragraph" w:styleId="Index2">
    <w:name w:val="index 2"/>
    <w:basedOn w:val="Normal"/>
    <w:next w:val="Normal"/>
    <w:autoRedefine/>
    <w:uiPriority w:val="99"/>
    <w:semiHidden/>
    <w:unhideWhenUsed/>
    <w:rsid w:val="005225B2"/>
    <w:pPr>
      <w:ind w:left="460" w:hanging="230"/>
    </w:pPr>
  </w:style>
  <w:style w:type="paragraph" w:styleId="Index3">
    <w:name w:val="index 3"/>
    <w:basedOn w:val="Normal"/>
    <w:next w:val="Normal"/>
    <w:autoRedefine/>
    <w:uiPriority w:val="99"/>
    <w:semiHidden/>
    <w:unhideWhenUsed/>
    <w:rsid w:val="005225B2"/>
    <w:pPr>
      <w:ind w:left="690" w:hanging="230"/>
    </w:pPr>
  </w:style>
  <w:style w:type="paragraph" w:styleId="Index4">
    <w:name w:val="index 4"/>
    <w:basedOn w:val="Normal"/>
    <w:next w:val="Normal"/>
    <w:autoRedefine/>
    <w:uiPriority w:val="99"/>
    <w:semiHidden/>
    <w:unhideWhenUsed/>
    <w:rsid w:val="005225B2"/>
    <w:pPr>
      <w:ind w:left="920" w:hanging="230"/>
    </w:pPr>
  </w:style>
  <w:style w:type="paragraph" w:styleId="Index5">
    <w:name w:val="index 5"/>
    <w:basedOn w:val="Normal"/>
    <w:next w:val="Normal"/>
    <w:autoRedefine/>
    <w:uiPriority w:val="99"/>
    <w:semiHidden/>
    <w:unhideWhenUsed/>
    <w:rsid w:val="005225B2"/>
    <w:pPr>
      <w:ind w:left="1150" w:hanging="230"/>
    </w:pPr>
  </w:style>
  <w:style w:type="paragraph" w:styleId="Index6">
    <w:name w:val="index 6"/>
    <w:basedOn w:val="Normal"/>
    <w:next w:val="Normal"/>
    <w:autoRedefine/>
    <w:uiPriority w:val="99"/>
    <w:semiHidden/>
    <w:unhideWhenUsed/>
    <w:rsid w:val="005225B2"/>
    <w:pPr>
      <w:ind w:left="1380" w:hanging="230"/>
    </w:pPr>
  </w:style>
  <w:style w:type="paragraph" w:styleId="Index7">
    <w:name w:val="index 7"/>
    <w:basedOn w:val="Normal"/>
    <w:next w:val="Normal"/>
    <w:autoRedefine/>
    <w:uiPriority w:val="99"/>
    <w:semiHidden/>
    <w:unhideWhenUsed/>
    <w:rsid w:val="005225B2"/>
    <w:pPr>
      <w:ind w:left="1610" w:hanging="230"/>
    </w:pPr>
  </w:style>
  <w:style w:type="paragraph" w:styleId="Index8">
    <w:name w:val="index 8"/>
    <w:basedOn w:val="Normal"/>
    <w:next w:val="Normal"/>
    <w:autoRedefine/>
    <w:uiPriority w:val="99"/>
    <w:semiHidden/>
    <w:unhideWhenUsed/>
    <w:rsid w:val="005225B2"/>
    <w:pPr>
      <w:ind w:left="1840" w:hanging="230"/>
    </w:pPr>
  </w:style>
  <w:style w:type="paragraph" w:styleId="Index9">
    <w:name w:val="index 9"/>
    <w:basedOn w:val="Normal"/>
    <w:next w:val="Normal"/>
    <w:autoRedefine/>
    <w:uiPriority w:val="99"/>
    <w:semiHidden/>
    <w:unhideWhenUsed/>
    <w:rsid w:val="005225B2"/>
    <w:pPr>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insideH w:val="single" w:sz="8" w:space="0" w:color="4C4C4C" w:themeColor="text1"/>
        <w:insideV w:val="single" w:sz="8" w:space="0" w:color="4C4C4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4C4C" w:themeColor="text1"/>
          <w:left w:val="single" w:sz="8" w:space="0" w:color="4C4C4C" w:themeColor="text1"/>
          <w:bottom w:val="single" w:sz="18" w:space="0" w:color="4C4C4C" w:themeColor="text1"/>
          <w:right w:val="single" w:sz="8" w:space="0" w:color="4C4C4C" w:themeColor="text1"/>
          <w:insideH w:val="nil"/>
          <w:insideV w:val="single" w:sz="8" w:space="0" w:color="4C4C4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4C4C" w:themeColor="text1"/>
          <w:left w:val="single" w:sz="8" w:space="0" w:color="4C4C4C" w:themeColor="text1"/>
          <w:bottom w:val="single" w:sz="8" w:space="0" w:color="4C4C4C" w:themeColor="text1"/>
          <w:right w:val="single" w:sz="8" w:space="0" w:color="4C4C4C" w:themeColor="text1"/>
          <w:insideH w:val="nil"/>
          <w:insideV w:val="single" w:sz="8" w:space="0" w:color="4C4C4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tblStylePr w:type="band1Vert">
      <w:tblPr/>
      <w:tcPr>
        <w:tcBorders>
          <w:top w:val="single" w:sz="8" w:space="0" w:color="4C4C4C" w:themeColor="text1"/>
          <w:left w:val="single" w:sz="8" w:space="0" w:color="4C4C4C" w:themeColor="text1"/>
          <w:bottom w:val="single" w:sz="8" w:space="0" w:color="4C4C4C" w:themeColor="text1"/>
          <w:right w:val="single" w:sz="8" w:space="0" w:color="4C4C4C" w:themeColor="text1"/>
        </w:tcBorders>
        <w:shd w:val="clear" w:color="auto" w:fill="D2D2D2" w:themeFill="text1" w:themeFillTint="3F"/>
      </w:tcPr>
    </w:tblStylePr>
    <w:tblStylePr w:type="band1Horz">
      <w:tblPr/>
      <w:tcPr>
        <w:tcBorders>
          <w:top w:val="single" w:sz="8" w:space="0" w:color="4C4C4C" w:themeColor="text1"/>
          <w:left w:val="single" w:sz="8" w:space="0" w:color="4C4C4C" w:themeColor="text1"/>
          <w:bottom w:val="single" w:sz="8" w:space="0" w:color="4C4C4C" w:themeColor="text1"/>
          <w:right w:val="single" w:sz="8" w:space="0" w:color="4C4C4C" w:themeColor="text1"/>
          <w:insideV w:val="single" w:sz="8" w:space="0" w:color="4C4C4C" w:themeColor="text1"/>
        </w:tcBorders>
        <w:shd w:val="clear" w:color="auto" w:fill="D2D2D2" w:themeFill="text1" w:themeFillTint="3F"/>
      </w:tcPr>
    </w:tblStylePr>
    <w:tblStylePr w:type="band2Horz">
      <w:tblPr/>
      <w:tcPr>
        <w:tcBorders>
          <w:top w:val="single" w:sz="8" w:space="0" w:color="4C4C4C" w:themeColor="text1"/>
          <w:left w:val="single" w:sz="8" w:space="0" w:color="4C4C4C" w:themeColor="text1"/>
          <w:bottom w:val="single" w:sz="8" w:space="0" w:color="4C4C4C" w:themeColor="text1"/>
          <w:right w:val="single" w:sz="8" w:space="0" w:color="4C4C4C" w:themeColor="text1"/>
          <w:insideV w:val="single" w:sz="8" w:space="0" w:color="4C4C4C" w:themeColor="text1"/>
        </w:tcBorders>
      </w:tcPr>
    </w:tblStylePr>
  </w:style>
  <w:style w:type="table" w:styleId="LightGrid-Accent1">
    <w:name w:val="Light Grid Accent 1"/>
    <w:basedOn w:val="TableNormal"/>
    <w:uiPriority w:val="62"/>
    <w:unhideWhenUsed/>
    <w:rsid w:val="005225B2"/>
    <w:pPr>
      <w:spacing w:after="0" w:line="240" w:lineRule="auto"/>
    </w:p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insideH w:val="single" w:sz="8" w:space="0" w:color="6996C9" w:themeColor="accent1"/>
        <w:insideV w:val="single" w:sz="8" w:space="0" w:color="6996C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6C9" w:themeColor="accent1"/>
          <w:left w:val="single" w:sz="8" w:space="0" w:color="6996C9" w:themeColor="accent1"/>
          <w:bottom w:val="single" w:sz="18" w:space="0" w:color="6996C9" w:themeColor="accent1"/>
          <w:right w:val="single" w:sz="8" w:space="0" w:color="6996C9" w:themeColor="accent1"/>
          <w:insideH w:val="nil"/>
          <w:insideV w:val="single" w:sz="8" w:space="0" w:color="6996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6C9" w:themeColor="accent1"/>
          <w:left w:val="single" w:sz="8" w:space="0" w:color="6996C9" w:themeColor="accent1"/>
          <w:bottom w:val="single" w:sz="8" w:space="0" w:color="6996C9" w:themeColor="accent1"/>
          <w:right w:val="single" w:sz="8" w:space="0" w:color="6996C9" w:themeColor="accent1"/>
          <w:insideH w:val="nil"/>
          <w:insideV w:val="single" w:sz="8" w:space="0" w:color="6996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tblStylePr w:type="band1Vert">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shd w:val="clear" w:color="auto" w:fill="D9E4F1" w:themeFill="accent1" w:themeFillTint="3F"/>
      </w:tcPr>
    </w:tblStylePr>
    <w:tblStylePr w:type="band1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insideV w:val="single" w:sz="8" w:space="0" w:color="6996C9" w:themeColor="accent1"/>
        </w:tcBorders>
        <w:shd w:val="clear" w:color="auto" w:fill="D9E4F1" w:themeFill="accent1" w:themeFillTint="3F"/>
      </w:tcPr>
    </w:tblStylePr>
    <w:tblStylePr w:type="band2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insideV w:val="single" w:sz="8" w:space="0" w:color="6996C9" w:themeColor="accent1"/>
        </w:tcBorders>
      </w:tcPr>
    </w:tblStylePr>
  </w:style>
  <w:style w:type="table" w:styleId="LightGrid-Accent2">
    <w:name w:val="Light Grid Accent 2"/>
    <w:basedOn w:val="TableNormal"/>
    <w:uiPriority w:val="62"/>
    <w:unhideWhenUsed/>
    <w:rsid w:val="005225B2"/>
    <w:pPr>
      <w:spacing w:after="0" w:line="240" w:lineRule="auto"/>
    </w:p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insideH w:val="single" w:sz="8" w:space="0" w:color="3F5A78" w:themeColor="accent2"/>
        <w:insideV w:val="single" w:sz="8" w:space="0" w:color="3F5A7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5A78" w:themeColor="accent2"/>
          <w:left w:val="single" w:sz="8" w:space="0" w:color="3F5A78" w:themeColor="accent2"/>
          <w:bottom w:val="single" w:sz="18" w:space="0" w:color="3F5A78" w:themeColor="accent2"/>
          <w:right w:val="single" w:sz="8" w:space="0" w:color="3F5A78" w:themeColor="accent2"/>
          <w:insideH w:val="nil"/>
          <w:insideV w:val="single" w:sz="8" w:space="0" w:color="3F5A7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5A78" w:themeColor="accent2"/>
          <w:left w:val="single" w:sz="8" w:space="0" w:color="3F5A78" w:themeColor="accent2"/>
          <w:bottom w:val="single" w:sz="8" w:space="0" w:color="3F5A78" w:themeColor="accent2"/>
          <w:right w:val="single" w:sz="8" w:space="0" w:color="3F5A78" w:themeColor="accent2"/>
          <w:insideH w:val="nil"/>
          <w:insideV w:val="single" w:sz="8" w:space="0" w:color="3F5A7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tblStylePr w:type="band1Vert">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shd w:val="clear" w:color="auto" w:fill="C9D5E3" w:themeFill="accent2" w:themeFillTint="3F"/>
      </w:tcPr>
    </w:tblStylePr>
    <w:tblStylePr w:type="band1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insideV w:val="single" w:sz="8" w:space="0" w:color="3F5A78" w:themeColor="accent2"/>
        </w:tcBorders>
        <w:shd w:val="clear" w:color="auto" w:fill="C9D5E3" w:themeFill="accent2" w:themeFillTint="3F"/>
      </w:tcPr>
    </w:tblStylePr>
    <w:tblStylePr w:type="band2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insideV w:val="single" w:sz="8" w:space="0" w:color="3F5A78"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insideH w:val="single" w:sz="8" w:space="0" w:color="D2DFEF" w:themeColor="accent3"/>
        <w:insideV w:val="single" w:sz="8" w:space="0" w:color="D2DFE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DFEF" w:themeColor="accent3"/>
          <w:left w:val="single" w:sz="8" w:space="0" w:color="D2DFEF" w:themeColor="accent3"/>
          <w:bottom w:val="single" w:sz="18" w:space="0" w:color="D2DFEF" w:themeColor="accent3"/>
          <w:right w:val="single" w:sz="8" w:space="0" w:color="D2DFEF" w:themeColor="accent3"/>
          <w:insideH w:val="nil"/>
          <w:insideV w:val="single" w:sz="8" w:space="0" w:color="D2DF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DFEF" w:themeColor="accent3"/>
          <w:left w:val="single" w:sz="8" w:space="0" w:color="D2DFEF" w:themeColor="accent3"/>
          <w:bottom w:val="single" w:sz="8" w:space="0" w:color="D2DFEF" w:themeColor="accent3"/>
          <w:right w:val="single" w:sz="8" w:space="0" w:color="D2DFEF" w:themeColor="accent3"/>
          <w:insideH w:val="nil"/>
          <w:insideV w:val="single" w:sz="8" w:space="0" w:color="D2DF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tblStylePr w:type="band1Vert">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shd w:val="clear" w:color="auto" w:fill="F3F6FB" w:themeFill="accent3" w:themeFillTint="3F"/>
      </w:tcPr>
    </w:tblStylePr>
    <w:tblStylePr w:type="band1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insideV w:val="single" w:sz="8" w:space="0" w:color="D2DFEF" w:themeColor="accent3"/>
        </w:tcBorders>
        <w:shd w:val="clear" w:color="auto" w:fill="F3F6FB" w:themeFill="accent3" w:themeFillTint="3F"/>
      </w:tcPr>
    </w:tblStylePr>
    <w:tblStylePr w:type="band2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insideV w:val="single" w:sz="8" w:space="0" w:color="D2DFEF" w:themeColor="accent3"/>
        </w:tcBorders>
      </w:tcPr>
    </w:tblStylePr>
  </w:style>
  <w:style w:type="table" w:styleId="LightGrid-Accent4">
    <w:name w:val="Light Grid Accent 4"/>
    <w:basedOn w:val="TableNormal"/>
    <w:uiPriority w:val="62"/>
    <w:unhideWhenUsed/>
    <w:rsid w:val="005225B2"/>
    <w:pPr>
      <w:spacing w:after="0" w:line="240" w:lineRule="auto"/>
    </w:p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insideH w:val="single" w:sz="8" w:space="0" w:color="A5C0DE" w:themeColor="accent4"/>
        <w:insideV w:val="single" w:sz="8" w:space="0" w:color="A5C0D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0DE" w:themeColor="accent4"/>
          <w:left w:val="single" w:sz="8" w:space="0" w:color="A5C0DE" w:themeColor="accent4"/>
          <w:bottom w:val="single" w:sz="18" w:space="0" w:color="A5C0DE" w:themeColor="accent4"/>
          <w:right w:val="single" w:sz="8" w:space="0" w:color="A5C0DE" w:themeColor="accent4"/>
          <w:insideH w:val="nil"/>
          <w:insideV w:val="single" w:sz="8" w:space="0" w:color="A5C0D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0DE" w:themeColor="accent4"/>
          <w:left w:val="single" w:sz="8" w:space="0" w:color="A5C0DE" w:themeColor="accent4"/>
          <w:bottom w:val="single" w:sz="8" w:space="0" w:color="A5C0DE" w:themeColor="accent4"/>
          <w:right w:val="single" w:sz="8" w:space="0" w:color="A5C0DE" w:themeColor="accent4"/>
          <w:insideH w:val="nil"/>
          <w:insideV w:val="single" w:sz="8" w:space="0" w:color="A5C0D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tblStylePr w:type="band1Vert">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shd w:val="clear" w:color="auto" w:fill="E8EFF6" w:themeFill="accent4" w:themeFillTint="3F"/>
      </w:tcPr>
    </w:tblStylePr>
    <w:tblStylePr w:type="band1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insideV w:val="single" w:sz="8" w:space="0" w:color="A5C0DE" w:themeColor="accent4"/>
        </w:tcBorders>
        <w:shd w:val="clear" w:color="auto" w:fill="E8EFF6" w:themeFill="accent4" w:themeFillTint="3F"/>
      </w:tcPr>
    </w:tblStylePr>
    <w:tblStylePr w:type="band2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insideV w:val="single" w:sz="8" w:space="0" w:color="A5C0DE"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insideH w:val="single" w:sz="8" w:space="0" w:color="88ABD3" w:themeColor="accent5"/>
        <w:insideV w:val="single" w:sz="8" w:space="0" w:color="88A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ABD3" w:themeColor="accent5"/>
          <w:left w:val="single" w:sz="8" w:space="0" w:color="88ABD3" w:themeColor="accent5"/>
          <w:bottom w:val="single" w:sz="18" w:space="0" w:color="88ABD3" w:themeColor="accent5"/>
          <w:right w:val="single" w:sz="8" w:space="0" w:color="88ABD3" w:themeColor="accent5"/>
          <w:insideH w:val="nil"/>
          <w:insideV w:val="single" w:sz="8" w:space="0" w:color="88A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ABD3" w:themeColor="accent5"/>
          <w:left w:val="single" w:sz="8" w:space="0" w:color="88ABD3" w:themeColor="accent5"/>
          <w:bottom w:val="single" w:sz="8" w:space="0" w:color="88ABD3" w:themeColor="accent5"/>
          <w:right w:val="single" w:sz="8" w:space="0" w:color="88ABD3" w:themeColor="accent5"/>
          <w:insideH w:val="nil"/>
          <w:insideV w:val="single" w:sz="8" w:space="0" w:color="88A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tblStylePr w:type="band1Vert">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shd w:val="clear" w:color="auto" w:fill="E1EAF4" w:themeFill="accent5" w:themeFillTint="3F"/>
      </w:tcPr>
    </w:tblStylePr>
    <w:tblStylePr w:type="band1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insideV w:val="single" w:sz="8" w:space="0" w:color="88ABD3" w:themeColor="accent5"/>
        </w:tcBorders>
        <w:shd w:val="clear" w:color="auto" w:fill="E1EAF4" w:themeFill="accent5" w:themeFillTint="3F"/>
      </w:tcPr>
    </w:tblStylePr>
    <w:tblStylePr w:type="band2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insideV w:val="single" w:sz="8" w:space="0" w:color="88ABD3"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insideH w:val="single" w:sz="8" w:space="0" w:color="5578A0" w:themeColor="accent6"/>
        <w:insideV w:val="single" w:sz="8" w:space="0" w:color="5578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8A0" w:themeColor="accent6"/>
          <w:left w:val="single" w:sz="8" w:space="0" w:color="5578A0" w:themeColor="accent6"/>
          <w:bottom w:val="single" w:sz="18" w:space="0" w:color="5578A0" w:themeColor="accent6"/>
          <w:right w:val="single" w:sz="8" w:space="0" w:color="5578A0" w:themeColor="accent6"/>
          <w:insideH w:val="nil"/>
          <w:insideV w:val="single" w:sz="8" w:space="0" w:color="5578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8A0" w:themeColor="accent6"/>
          <w:left w:val="single" w:sz="8" w:space="0" w:color="5578A0" w:themeColor="accent6"/>
          <w:bottom w:val="single" w:sz="8" w:space="0" w:color="5578A0" w:themeColor="accent6"/>
          <w:right w:val="single" w:sz="8" w:space="0" w:color="5578A0" w:themeColor="accent6"/>
          <w:insideH w:val="nil"/>
          <w:insideV w:val="single" w:sz="8" w:space="0" w:color="5578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tblStylePr w:type="band1Vert">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shd w:val="clear" w:color="auto" w:fill="D4DDE8" w:themeFill="accent6" w:themeFillTint="3F"/>
      </w:tcPr>
    </w:tblStylePr>
    <w:tblStylePr w:type="band1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insideV w:val="single" w:sz="8" w:space="0" w:color="5578A0" w:themeColor="accent6"/>
        </w:tcBorders>
        <w:shd w:val="clear" w:color="auto" w:fill="D4DDE8" w:themeFill="accent6" w:themeFillTint="3F"/>
      </w:tcPr>
    </w:tblStylePr>
    <w:tblStylePr w:type="band2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insideV w:val="single" w:sz="8" w:space="0" w:color="5578A0"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tblBorders>
    </w:tblPr>
    <w:tblStylePr w:type="firstRow">
      <w:pPr>
        <w:spacing w:before="0" w:after="0" w:line="240" w:lineRule="auto"/>
      </w:pPr>
      <w:rPr>
        <w:b/>
        <w:bCs/>
        <w:color w:val="FFFFFF" w:themeColor="background1"/>
      </w:rPr>
      <w:tblPr/>
      <w:tcPr>
        <w:shd w:val="clear" w:color="auto" w:fill="4C4C4C" w:themeFill="text1"/>
      </w:tcPr>
    </w:tblStylePr>
    <w:tblStylePr w:type="lastRow">
      <w:pPr>
        <w:spacing w:before="0" w:after="0" w:line="240" w:lineRule="auto"/>
      </w:pPr>
      <w:rPr>
        <w:b/>
        <w:bCs/>
      </w:rPr>
      <w:tblPr/>
      <w:tcPr>
        <w:tcBorders>
          <w:top w:val="double" w:sz="6" w:space="0" w:color="4C4C4C" w:themeColor="text1"/>
          <w:left w:val="single" w:sz="8" w:space="0" w:color="4C4C4C" w:themeColor="text1"/>
          <w:bottom w:val="single" w:sz="8" w:space="0" w:color="4C4C4C" w:themeColor="text1"/>
          <w:right w:val="single" w:sz="8" w:space="0" w:color="4C4C4C" w:themeColor="text1"/>
        </w:tcBorders>
      </w:tcPr>
    </w:tblStylePr>
    <w:tblStylePr w:type="firstCol">
      <w:rPr>
        <w:b/>
        <w:bCs/>
      </w:rPr>
    </w:tblStylePr>
    <w:tblStylePr w:type="lastCol">
      <w:rPr>
        <w:b/>
        <w:bCs/>
      </w:rPr>
    </w:tblStylePr>
    <w:tblStylePr w:type="band1Vert">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tblStylePr w:type="band1Horz">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style>
  <w:style w:type="table" w:styleId="LightList-Accent1">
    <w:name w:val="Light List Accent 1"/>
    <w:basedOn w:val="TableNormal"/>
    <w:uiPriority w:val="61"/>
    <w:unhideWhenUsed/>
    <w:rsid w:val="005225B2"/>
    <w:pPr>
      <w:spacing w:after="0" w:line="240" w:lineRule="auto"/>
    </w:p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tblBorders>
    </w:tblPr>
    <w:tblStylePr w:type="firstRow">
      <w:pPr>
        <w:spacing w:before="0" w:after="0" w:line="240" w:lineRule="auto"/>
      </w:pPr>
      <w:rPr>
        <w:b/>
        <w:bCs/>
        <w:color w:val="FFFFFF" w:themeColor="background1"/>
      </w:rPr>
      <w:tblPr/>
      <w:tcPr>
        <w:shd w:val="clear" w:color="auto" w:fill="6996C9" w:themeFill="accent1"/>
      </w:tcPr>
    </w:tblStylePr>
    <w:tblStylePr w:type="lastRow">
      <w:pPr>
        <w:spacing w:before="0" w:after="0" w:line="240" w:lineRule="auto"/>
      </w:pPr>
      <w:rPr>
        <w:b/>
        <w:bCs/>
      </w:rPr>
      <w:tblPr/>
      <w:tcPr>
        <w:tcBorders>
          <w:top w:val="double" w:sz="6" w:space="0" w:color="6996C9" w:themeColor="accent1"/>
          <w:left w:val="single" w:sz="8" w:space="0" w:color="6996C9" w:themeColor="accent1"/>
          <w:bottom w:val="single" w:sz="8" w:space="0" w:color="6996C9" w:themeColor="accent1"/>
          <w:right w:val="single" w:sz="8" w:space="0" w:color="6996C9" w:themeColor="accent1"/>
        </w:tcBorders>
      </w:tcPr>
    </w:tblStylePr>
    <w:tblStylePr w:type="firstCol">
      <w:rPr>
        <w:b/>
        <w:bCs/>
      </w:rPr>
    </w:tblStylePr>
    <w:tblStylePr w:type="lastCol">
      <w:rPr>
        <w:b/>
        <w:bCs/>
      </w:rPr>
    </w:tblStylePr>
    <w:tblStylePr w:type="band1Vert">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tblStylePr w:type="band1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style>
  <w:style w:type="table" w:styleId="LightList-Accent2">
    <w:name w:val="Light List Accent 2"/>
    <w:basedOn w:val="TableNormal"/>
    <w:uiPriority w:val="61"/>
    <w:unhideWhenUsed/>
    <w:rsid w:val="005225B2"/>
    <w:pPr>
      <w:spacing w:after="0" w:line="240" w:lineRule="auto"/>
    </w:p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tblBorders>
    </w:tblPr>
    <w:tblStylePr w:type="firstRow">
      <w:pPr>
        <w:spacing w:before="0" w:after="0" w:line="240" w:lineRule="auto"/>
      </w:pPr>
      <w:rPr>
        <w:b/>
        <w:bCs/>
        <w:color w:val="FFFFFF" w:themeColor="background1"/>
      </w:rPr>
      <w:tblPr/>
      <w:tcPr>
        <w:shd w:val="clear" w:color="auto" w:fill="3F5A78" w:themeFill="accent2"/>
      </w:tcPr>
    </w:tblStylePr>
    <w:tblStylePr w:type="lastRow">
      <w:pPr>
        <w:spacing w:before="0" w:after="0" w:line="240" w:lineRule="auto"/>
      </w:pPr>
      <w:rPr>
        <w:b/>
        <w:bCs/>
      </w:rPr>
      <w:tblPr/>
      <w:tcPr>
        <w:tcBorders>
          <w:top w:val="double" w:sz="6" w:space="0" w:color="3F5A78" w:themeColor="accent2"/>
          <w:left w:val="single" w:sz="8" w:space="0" w:color="3F5A78" w:themeColor="accent2"/>
          <w:bottom w:val="single" w:sz="8" w:space="0" w:color="3F5A78" w:themeColor="accent2"/>
          <w:right w:val="single" w:sz="8" w:space="0" w:color="3F5A78" w:themeColor="accent2"/>
        </w:tcBorders>
      </w:tcPr>
    </w:tblStylePr>
    <w:tblStylePr w:type="firstCol">
      <w:rPr>
        <w:b/>
        <w:bCs/>
      </w:rPr>
    </w:tblStylePr>
    <w:tblStylePr w:type="lastCol">
      <w:rPr>
        <w:b/>
        <w:bCs/>
      </w:rPr>
    </w:tblStylePr>
    <w:tblStylePr w:type="band1Vert">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tblStylePr w:type="band1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tblBorders>
    </w:tblPr>
    <w:tblStylePr w:type="firstRow">
      <w:pPr>
        <w:spacing w:before="0" w:after="0" w:line="240" w:lineRule="auto"/>
      </w:pPr>
      <w:rPr>
        <w:b/>
        <w:bCs/>
        <w:color w:val="FFFFFF" w:themeColor="background1"/>
      </w:rPr>
      <w:tblPr/>
      <w:tcPr>
        <w:shd w:val="clear" w:color="auto" w:fill="D2DFEF" w:themeFill="accent3"/>
      </w:tcPr>
    </w:tblStylePr>
    <w:tblStylePr w:type="lastRow">
      <w:pPr>
        <w:spacing w:before="0" w:after="0" w:line="240" w:lineRule="auto"/>
      </w:pPr>
      <w:rPr>
        <w:b/>
        <w:bCs/>
      </w:rPr>
      <w:tblPr/>
      <w:tcPr>
        <w:tcBorders>
          <w:top w:val="double" w:sz="6" w:space="0" w:color="D2DFEF" w:themeColor="accent3"/>
          <w:left w:val="single" w:sz="8" w:space="0" w:color="D2DFEF" w:themeColor="accent3"/>
          <w:bottom w:val="single" w:sz="8" w:space="0" w:color="D2DFEF" w:themeColor="accent3"/>
          <w:right w:val="single" w:sz="8" w:space="0" w:color="D2DFEF" w:themeColor="accent3"/>
        </w:tcBorders>
      </w:tcPr>
    </w:tblStylePr>
    <w:tblStylePr w:type="firstCol">
      <w:rPr>
        <w:b/>
        <w:bCs/>
      </w:rPr>
    </w:tblStylePr>
    <w:tblStylePr w:type="lastCol">
      <w:rPr>
        <w:b/>
        <w:bCs/>
      </w:rPr>
    </w:tblStylePr>
    <w:tblStylePr w:type="band1Vert">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tblStylePr w:type="band1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tblBorders>
    </w:tblPr>
    <w:tblStylePr w:type="firstRow">
      <w:pPr>
        <w:spacing w:before="0" w:after="0" w:line="240" w:lineRule="auto"/>
      </w:pPr>
      <w:rPr>
        <w:b/>
        <w:bCs/>
        <w:color w:val="FFFFFF" w:themeColor="background1"/>
      </w:rPr>
      <w:tblPr/>
      <w:tcPr>
        <w:shd w:val="clear" w:color="auto" w:fill="A5C0DE" w:themeFill="accent4"/>
      </w:tcPr>
    </w:tblStylePr>
    <w:tblStylePr w:type="lastRow">
      <w:pPr>
        <w:spacing w:before="0" w:after="0" w:line="240" w:lineRule="auto"/>
      </w:pPr>
      <w:rPr>
        <w:b/>
        <w:bCs/>
      </w:rPr>
      <w:tblPr/>
      <w:tcPr>
        <w:tcBorders>
          <w:top w:val="double" w:sz="6" w:space="0" w:color="A5C0DE" w:themeColor="accent4"/>
          <w:left w:val="single" w:sz="8" w:space="0" w:color="A5C0DE" w:themeColor="accent4"/>
          <w:bottom w:val="single" w:sz="8" w:space="0" w:color="A5C0DE" w:themeColor="accent4"/>
          <w:right w:val="single" w:sz="8" w:space="0" w:color="A5C0DE" w:themeColor="accent4"/>
        </w:tcBorders>
      </w:tcPr>
    </w:tblStylePr>
    <w:tblStylePr w:type="firstCol">
      <w:rPr>
        <w:b/>
        <w:bCs/>
      </w:rPr>
    </w:tblStylePr>
    <w:tblStylePr w:type="lastCol">
      <w:rPr>
        <w:b/>
        <w:bCs/>
      </w:rPr>
    </w:tblStylePr>
    <w:tblStylePr w:type="band1Vert">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tblStylePr w:type="band1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tblBorders>
    </w:tblPr>
    <w:tblStylePr w:type="firstRow">
      <w:pPr>
        <w:spacing w:before="0" w:after="0" w:line="240" w:lineRule="auto"/>
      </w:pPr>
      <w:rPr>
        <w:b/>
        <w:bCs/>
        <w:color w:val="FFFFFF" w:themeColor="background1"/>
      </w:rPr>
      <w:tblPr/>
      <w:tcPr>
        <w:shd w:val="clear" w:color="auto" w:fill="88ABD3" w:themeFill="accent5"/>
      </w:tcPr>
    </w:tblStylePr>
    <w:tblStylePr w:type="lastRow">
      <w:pPr>
        <w:spacing w:before="0" w:after="0" w:line="240" w:lineRule="auto"/>
      </w:pPr>
      <w:rPr>
        <w:b/>
        <w:bCs/>
      </w:rPr>
      <w:tblPr/>
      <w:tcPr>
        <w:tcBorders>
          <w:top w:val="double" w:sz="6" w:space="0" w:color="88ABD3" w:themeColor="accent5"/>
          <w:left w:val="single" w:sz="8" w:space="0" w:color="88ABD3" w:themeColor="accent5"/>
          <w:bottom w:val="single" w:sz="8" w:space="0" w:color="88ABD3" w:themeColor="accent5"/>
          <w:right w:val="single" w:sz="8" w:space="0" w:color="88ABD3" w:themeColor="accent5"/>
        </w:tcBorders>
      </w:tcPr>
    </w:tblStylePr>
    <w:tblStylePr w:type="firstCol">
      <w:rPr>
        <w:b/>
        <w:bCs/>
      </w:rPr>
    </w:tblStylePr>
    <w:tblStylePr w:type="lastCol">
      <w:rPr>
        <w:b/>
        <w:bCs/>
      </w:rPr>
    </w:tblStylePr>
    <w:tblStylePr w:type="band1Vert">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tblStylePr w:type="band1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tblBorders>
    </w:tblPr>
    <w:tblStylePr w:type="firstRow">
      <w:pPr>
        <w:spacing w:before="0" w:after="0" w:line="240" w:lineRule="auto"/>
      </w:pPr>
      <w:rPr>
        <w:b/>
        <w:bCs/>
        <w:color w:val="FFFFFF" w:themeColor="background1"/>
      </w:rPr>
      <w:tblPr/>
      <w:tcPr>
        <w:shd w:val="clear" w:color="auto" w:fill="5578A0" w:themeFill="accent6"/>
      </w:tcPr>
    </w:tblStylePr>
    <w:tblStylePr w:type="lastRow">
      <w:pPr>
        <w:spacing w:before="0" w:after="0" w:line="240" w:lineRule="auto"/>
      </w:pPr>
      <w:rPr>
        <w:b/>
        <w:bCs/>
      </w:rPr>
      <w:tblPr/>
      <w:tcPr>
        <w:tcBorders>
          <w:top w:val="double" w:sz="6" w:space="0" w:color="5578A0" w:themeColor="accent6"/>
          <w:left w:val="single" w:sz="8" w:space="0" w:color="5578A0" w:themeColor="accent6"/>
          <w:bottom w:val="single" w:sz="8" w:space="0" w:color="5578A0" w:themeColor="accent6"/>
          <w:right w:val="single" w:sz="8" w:space="0" w:color="5578A0" w:themeColor="accent6"/>
        </w:tcBorders>
      </w:tcPr>
    </w:tblStylePr>
    <w:tblStylePr w:type="firstCol">
      <w:rPr>
        <w:b/>
        <w:bCs/>
      </w:rPr>
    </w:tblStylePr>
    <w:tblStylePr w:type="lastCol">
      <w:rPr>
        <w:b/>
        <w:bCs/>
      </w:rPr>
    </w:tblStylePr>
    <w:tblStylePr w:type="band1Vert">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tblStylePr w:type="band1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style>
  <w:style w:type="table" w:styleId="LightShading">
    <w:name w:val="Light Shading"/>
    <w:basedOn w:val="TableNormal"/>
    <w:uiPriority w:val="40"/>
    <w:semiHidden/>
    <w:unhideWhenUsed/>
    <w:rsid w:val="005225B2"/>
    <w:pPr>
      <w:spacing w:after="0" w:line="240" w:lineRule="auto"/>
    </w:pPr>
    <w:rPr>
      <w:color w:val="383838" w:themeColor="text1" w:themeShade="BF"/>
    </w:rPr>
    <w:tblPr>
      <w:tblStyleRowBandSize w:val="1"/>
      <w:tblStyleColBandSize w:val="1"/>
      <w:tblBorders>
        <w:top w:val="single" w:sz="8" w:space="0" w:color="4C4C4C" w:themeColor="text1"/>
        <w:bottom w:val="single" w:sz="8" w:space="0" w:color="4C4C4C" w:themeColor="text1"/>
      </w:tblBorders>
    </w:tblPr>
    <w:tblStylePr w:type="firstRow">
      <w:pPr>
        <w:spacing w:before="0" w:after="0" w:line="240" w:lineRule="auto"/>
      </w:pPr>
      <w:rPr>
        <w:b/>
        <w:bCs/>
      </w:rPr>
      <w:tblPr/>
      <w:tcPr>
        <w:tcBorders>
          <w:top w:val="single" w:sz="8" w:space="0" w:color="4C4C4C" w:themeColor="text1"/>
          <w:left w:val="nil"/>
          <w:bottom w:val="single" w:sz="8" w:space="0" w:color="4C4C4C" w:themeColor="text1"/>
          <w:right w:val="nil"/>
          <w:insideH w:val="nil"/>
          <w:insideV w:val="nil"/>
        </w:tcBorders>
      </w:tcPr>
    </w:tblStylePr>
    <w:tblStylePr w:type="lastRow">
      <w:pPr>
        <w:spacing w:before="0" w:after="0" w:line="240" w:lineRule="auto"/>
      </w:pPr>
      <w:rPr>
        <w:b/>
        <w:bCs/>
      </w:rPr>
      <w:tblPr/>
      <w:tcPr>
        <w:tcBorders>
          <w:top w:val="single" w:sz="8" w:space="0" w:color="4C4C4C" w:themeColor="text1"/>
          <w:left w:val="nil"/>
          <w:bottom w:val="single" w:sz="8" w:space="0" w:color="4C4C4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2" w:themeFill="text1" w:themeFillTint="3F"/>
      </w:tcPr>
    </w:tblStylePr>
    <w:tblStylePr w:type="band1Horz">
      <w:tblPr/>
      <w:tcPr>
        <w:tcBorders>
          <w:left w:val="nil"/>
          <w:right w:val="nil"/>
          <w:insideH w:val="nil"/>
          <w:insideV w:val="nil"/>
        </w:tcBorders>
        <w:shd w:val="clear" w:color="auto" w:fill="D2D2D2" w:themeFill="text1" w:themeFillTint="3F"/>
      </w:tcPr>
    </w:tblStylePr>
  </w:style>
  <w:style w:type="table" w:styleId="LightShading-Accent1">
    <w:name w:val="Light Shading Accent 1"/>
    <w:basedOn w:val="TableNormal"/>
    <w:uiPriority w:val="60"/>
    <w:unhideWhenUsed/>
    <w:rsid w:val="005225B2"/>
    <w:pPr>
      <w:spacing w:after="0" w:line="240" w:lineRule="auto"/>
    </w:pPr>
    <w:rPr>
      <w:color w:val="3C6EA8" w:themeColor="accent1" w:themeShade="BF"/>
    </w:rPr>
    <w:tblPr>
      <w:tblStyleRowBandSize w:val="1"/>
      <w:tblStyleColBandSize w:val="1"/>
      <w:tblBorders>
        <w:top w:val="single" w:sz="8" w:space="0" w:color="6996C9" w:themeColor="accent1"/>
        <w:bottom w:val="single" w:sz="8" w:space="0" w:color="6996C9" w:themeColor="accent1"/>
      </w:tblBorders>
    </w:tblPr>
    <w:tblStylePr w:type="firstRow">
      <w:pPr>
        <w:spacing w:before="0" w:after="0" w:line="240" w:lineRule="auto"/>
      </w:pPr>
      <w:rPr>
        <w:b/>
        <w:bCs/>
      </w:rPr>
      <w:tblPr/>
      <w:tcPr>
        <w:tcBorders>
          <w:top w:val="single" w:sz="8" w:space="0" w:color="6996C9" w:themeColor="accent1"/>
          <w:left w:val="nil"/>
          <w:bottom w:val="single" w:sz="8" w:space="0" w:color="6996C9" w:themeColor="accent1"/>
          <w:right w:val="nil"/>
          <w:insideH w:val="nil"/>
          <w:insideV w:val="nil"/>
        </w:tcBorders>
      </w:tcPr>
    </w:tblStylePr>
    <w:tblStylePr w:type="lastRow">
      <w:pPr>
        <w:spacing w:before="0" w:after="0" w:line="240" w:lineRule="auto"/>
      </w:pPr>
      <w:rPr>
        <w:b/>
        <w:bCs/>
      </w:rPr>
      <w:tblPr/>
      <w:tcPr>
        <w:tcBorders>
          <w:top w:val="single" w:sz="8" w:space="0" w:color="6996C9" w:themeColor="accent1"/>
          <w:left w:val="nil"/>
          <w:bottom w:val="single" w:sz="8" w:space="0" w:color="6996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F1" w:themeFill="accent1" w:themeFillTint="3F"/>
      </w:tcPr>
    </w:tblStylePr>
    <w:tblStylePr w:type="band1Horz">
      <w:tblPr/>
      <w:tcPr>
        <w:tcBorders>
          <w:left w:val="nil"/>
          <w:right w:val="nil"/>
          <w:insideH w:val="nil"/>
          <w:insideV w:val="nil"/>
        </w:tcBorders>
        <w:shd w:val="clear" w:color="auto" w:fill="D9E4F1" w:themeFill="accent1" w:themeFillTint="3F"/>
      </w:tcPr>
    </w:tblStylePr>
  </w:style>
  <w:style w:type="table" w:styleId="LightShading-Accent2">
    <w:name w:val="Light Shading Accent 2"/>
    <w:basedOn w:val="TableNormal"/>
    <w:uiPriority w:val="60"/>
    <w:unhideWhenUsed/>
    <w:rsid w:val="005225B2"/>
    <w:pPr>
      <w:spacing w:after="0" w:line="240" w:lineRule="auto"/>
    </w:pPr>
    <w:rPr>
      <w:color w:val="2F4359" w:themeColor="accent2" w:themeShade="BF"/>
    </w:rPr>
    <w:tblPr>
      <w:tblStyleRowBandSize w:val="1"/>
      <w:tblStyleColBandSize w:val="1"/>
      <w:tblBorders>
        <w:top w:val="single" w:sz="8" w:space="0" w:color="3F5A78" w:themeColor="accent2"/>
        <w:bottom w:val="single" w:sz="8" w:space="0" w:color="3F5A78" w:themeColor="accent2"/>
      </w:tblBorders>
    </w:tblPr>
    <w:tblStylePr w:type="firstRow">
      <w:pPr>
        <w:spacing w:before="0" w:after="0" w:line="240" w:lineRule="auto"/>
      </w:pPr>
      <w:rPr>
        <w:b/>
        <w:bCs/>
      </w:rPr>
      <w:tblPr/>
      <w:tcPr>
        <w:tcBorders>
          <w:top w:val="single" w:sz="8" w:space="0" w:color="3F5A78" w:themeColor="accent2"/>
          <w:left w:val="nil"/>
          <w:bottom w:val="single" w:sz="8" w:space="0" w:color="3F5A78" w:themeColor="accent2"/>
          <w:right w:val="nil"/>
          <w:insideH w:val="nil"/>
          <w:insideV w:val="nil"/>
        </w:tcBorders>
      </w:tcPr>
    </w:tblStylePr>
    <w:tblStylePr w:type="lastRow">
      <w:pPr>
        <w:spacing w:before="0" w:after="0" w:line="240" w:lineRule="auto"/>
      </w:pPr>
      <w:rPr>
        <w:b/>
        <w:bCs/>
      </w:rPr>
      <w:tblPr/>
      <w:tcPr>
        <w:tcBorders>
          <w:top w:val="single" w:sz="8" w:space="0" w:color="3F5A78" w:themeColor="accent2"/>
          <w:left w:val="nil"/>
          <w:bottom w:val="single" w:sz="8" w:space="0" w:color="3F5A7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5E3" w:themeFill="accent2" w:themeFillTint="3F"/>
      </w:tcPr>
    </w:tblStylePr>
    <w:tblStylePr w:type="band1Horz">
      <w:tblPr/>
      <w:tcPr>
        <w:tcBorders>
          <w:left w:val="nil"/>
          <w:right w:val="nil"/>
          <w:insideH w:val="nil"/>
          <w:insideV w:val="nil"/>
        </w:tcBorders>
        <w:shd w:val="clear" w:color="auto" w:fill="C9D5E3"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7EA3D1" w:themeColor="accent3" w:themeShade="BF"/>
    </w:rPr>
    <w:tblPr>
      <w:tblStyleRowBandSize w:val="1"/>
      <w:tblStyleColBandSize w:val="1"/>
      <w:tblBorders>
        <w:top w:val="single" w:sz="8" w:space="0" w:color="D2DFEF" w:themeColor="accent3"/>
        <w:bottom w:val="single" w:sz="8" w:space="0" w:color="D2DFEF" w:themeColor="accent3"/>
      </w:tblBorders>
    </w:tblPr>
    <w:tblStylePr w:type="firstRow">
      <w:pPr>
        <w:spacing w:before="0" w:after="0" w:line="240" w:lineRule="auto"/>
      </w:pPr>
      <w:rPr>
        <w:b/>
        <w:bCs/>
      </w:rPr>
      <w:tblPr/>
      <w:tcPr>
        <w:tcBorders>
          <w:top w:val="single" w:sz="8" w:space="0" w:color="D2DFEF" w:themeColor="accent3"/>
          <w:left w:val="nil"/>
          <w:bottom w:val="single" w:sz="8" w:space="0" w:color="D2DFEF" w:themeColor="accent3"/>
          <w:right w:val="nil"/>
          <w:insideH w:val="nil"/>
          <w:insideV w:val="nil"/>
        </w:tcBorders>
      </w:tcPr>
    </w:tblStylePr>
    <w:tblStylePr w:type="lastRow">
      <w:pPr>
        <w:spacing w:before="0" w:after="0" w:line="240" w:lineRule="auto"/>
      </w:pPr>
      <w:rPr>
        <w:b/>
        <w:bCs/>
      </w:rPr>
      <w:tblPr/>
      <w:tcPr>
        <w:tcBorders>
          <w:top w:val="single" w:sz="8" w:space="0" w:color="D2DFEF" w:themeColor="accent3"/>
          <w:left w:val="nil"/>
          <w:bottom w:val="single" w:sz="8" w:space="0" w:color="D2DF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hemeFill="accent3" w:themeFillTint="3F"/>
      </w:tcPr>
    </w:tblStylePr>
    <w:tblStylePr w:type="band1Horz">
      <w:tblPr/>
      <w:tcPr>
        <w:tcBorders>
          <w:left w:val="nil"/>
          <w:right w:val="nil"/>
          <w:insideH w:val="nil"/>
          <w:insideV w:val="nil"/>
        </w:tcBorders>
        <w:shd w:val="clear" w:color="auto" w:fill="F3F6FB"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5D8DC4" w:themeColor="accent4" w:themeShade="BF"/>
    </w:rPr>
    <w:tblPr>
      <w:tblStyleRowBandSize w:val="1"/>
      <w:tblStyleColBandSize w:val="1"/>
      <w:tblBorders>
        <w:top w:val="single" w:sz="8" w:space="0" w:color="A5C0DE" w:themeColor="accent4"/>
        <w:bottom w:val="single" w:sz="8" w:space="0" w:color="A5C0DE" w:themeColor="accent4"/>
      </w:tblBorders>
    </w:tblPr>
    <w:tblStylePr w:type="firstRow">
      <w:pPr>
        <w:spacing w:before="0" w:after="0" w:line="240" w:lineRule="auto"/>
      </w:pPr>
      <w:rPr>
        <w:b/>
        <w:bCs/>
      </w:rPr>
      <w:tblPr/>
      <w:tcPr>
        <w:tcBorders>
          <w:top w:val="single" w:sz="8" w:space="0" w:color="A5C0DE" w:themeColor="accent4"/>
          <w:left w:val="nil"/>
          <w:bottom w:val="single" w:sz="8" w:space="0" w:color="A5C0DE" w:themeColor="accent4"/>
          <w:right w:val="nil"/>
          <w:insideH w:val="nil"/>
          <w:insideV w:val="nil"/>
        </w:tcBorders>
      </w:tcPr>
    </w:tblStylePr>
    <w:tblStylePr w:type="lastRow">
      <w:pPr>
        <w:spacing w:before="0" w:after="0" w:line="240" w:lineRule="auto"/>
      </w:pPr>
      <w:rPr>
        <w:b/>
        <w:bCs/>
      </w:rPr>
      <w:tblPr/>
      <w:tcPr>
        <w:tcBorders>
          <w:top w:val="single" w:sz="8" w:space="0" w:color="A5C0DE" w:themeColor="accent4"/>
          <w:left w:val="nil"/>
          <w:bottom w:val="single" w:sz="8" w:space="0" w:color="A5C0D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FF6" w:themeFill="accent4" w:themeFillTint="3F"/>
      </w:tcPr>
    </w:tblStylePr>
    <w:tblStylePr w:type="band1Horz">
      <w:tblPr/>
      <w:tcPr>
        <w:tcBorders>
          <w:left w:val="nil"/>
          <w:right w:val="nil"/>
          <w:insideH w:val="nil"/>
          <w:insideV w:val="nil"/>
        </w:tcBorders>
        <w:shd w:val="clear" w:color="auto" w:fill="E8EFF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487DBB" w:themeColor="accent5" w:themeShade="BF"/>
    </w:rPr>
    <w:tblPr>
      <w:tblStyleRowBandSize w:val="1"/>
      <w:tblStyleColBandSize w:val="1"/>
      <w:tblBorders>
        <w:top w:val="single" w:sz="8" w:space="0" w:color="88ABD3" w:themeColor="accent5"/>
        <w:bottom w:val="single" w:sz="8" w:space="0" w:color="88ABD3" w:themeColor="accent5"/>
      </w:tblBorders>
    </w:tblPr>
    <w:tblStylePr w:type="firstRow">
      <w:pPr>
        <w:spacing w:before="0" w:after="0" w:line="240" w:lineRule="auto"/>
      </w:pPr>
      <w:rPr>
        <w:b/>
        <w:bCs/>
      </w:rPr>
      <w:tblPr/>
      <w:tcPr>
        <w:tcBorders>
          <w:top w:val="single" w:sz="8" w:space="0" w:color="88ABD3" w:themeColor="accent5"/>
          <w:left w:val="nil"/>
          <w:bottom w:val="single" w:sz="8" w:space="0" w:color="88ABD3" w:themeColor="accent5"/>
          <w:right w:val="nil"/>
          <w:insideH w:val="nil"/>
          <w:insideV w:val="nil"/>
        </w:tcBorders>
      </w:tcPr>
    </w:tblStylePr>
    <w:tblStylePr w:type="lastRow">
      <w:pPr>
        <w:spacing w:before="0" w:after="0" w:line="240" w:lineRule="auto"/>
      </w:pPr>
      <w:rPr>
        <w:b/>
        <w:bCs/>
      </w:rPr>
      <w:tblPr/>
      <w:tcPr>
        <w:tcBorders>
          <w:top w:val="single" w:sz="8" w:space="0" w:color="88ABD3" w:themeColor="accent5"/>
          <w:left w:val="nil"/>
          <w:bottom w:val="single" w:sz="8" w:space="0" w:color="88A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AF4" w:themeFill="accent5" w:themeFillTint="3F"/>
      </w:tcPr>
    </w:tblStylePr>
    <w:tblStylePr w:type="band1Horz">
      <w:tblPr/>
      <w:tcPr>
        <w:tcBorders>
          <w:left w:val="nil"/>
          <w:right w:val="nil"/>
          <w:insideH w:val="nil"/>
          <w:insideV w:val="nil"/>
        </w:tcBorders>
        <w:shd w:val="clear" w:color="auto" w:fill="E1EAF4"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3F5977" w:themeColor="accent6" w:themeShade="BF"/>
    </w:rPr>
    <w:tblPr>
      <w:tblStyleRowBandSize w:val="1"/>
      <w:tblStyleColBandSize w:val="1"/>
      <w:tblBorders>
        <w:top w:val="single" w:sz="8" w:space="0" w:color="5578A0" w:themeColor="accent6"/>
        <w:bottom w:val="single" w:sz="8" w:space="0" w:color="5578A0" w:themeColor="accent6"/>
      </w:tblBorders>
    </w:tblPr>
    <w:tblStylePr w:type="firstRow">
      <w:pPr>
        <w:spacing w:before="0" w:after="0" w:line="240" w:lineRule="auto"/>
      </w:pPr>
      <w:rPr>
        <w:b/>
        <w:bCs/>
      </w:rPr>
      <w:tblPr/>
      <w:tcPr>
        <w:tcBorders>
          <w:top w:val="single" w:sz="8" w:space="0" w:color="5578A0" w:themeColor="accent6"/>
          <w:left w:val="nil"/>
          <w:bottom w:val="single" w:sz="8" w:space="0" w:color="5578A0" w:themeColor="accent6"/>
          <w:right w:val="nil"/>
          <w:insideH w:val="nil"/>
          <w:insideV w:val="nil"/>
        </w:tcBorders>
      </w:tcPr>
    </w:tblStylePr>
    <w:tblStylePr w:type="lastRow">
      <w:pPr>
        <w:spacing w:before="0" w:after="0" w:line="240" w:lineRule="auto"/>
      </w:pPr>
      <w:rPr>
        <w:b/>
        <w:bCs/>
      </w:rPr>
      <w:tblPr/>
      <w:tcPr>
        <w:tcBorders>
          <w:top w:val="single" w:sz="8" w:space="0" w:color="5578A0" w:themeColor="accent6"/>
          <w:left w:val="nil"/>
          <w:bottom w:val="single" w:sz="8" w:space="0" w:color="5578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DE8" w:themeFill="accent6" w:themeFillTint="3F"/>
      </w:tcPr>
    </w:tblStylePr>
    <w:tblStylePr w:type="band1Horz">
      <w:tblPr/>
      <w:tcPr>
        <w:tcBorders>
          <w:left w:val="nil"/>
          <w:right w:val="nil"/>
          <w:insideH w:val="nil"/>
          <w:insideV w:val="nil"/>
        </w:tcBorders>
        <w:shd w:val="clear" w:color="auto" w:fill="D4DDE8"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unhideWhenUsed/>
    <w:rsid w:val="005225B2"/>
    <w:pPr>
      <w:numPr>
        <w:numId w:val="6"/>
      </w:numPr>
      <w:contextualSpacing/>
    </w:pPr>
  </w:style>
  <w:style w:type="paragraph" w:styleId="ListNumber2">
    <w:name w:val="List Number 2"/>
    <w:basedOn w:val="Normal"/>
    <w:uiPriority w:val="99"/>
    <w:unhideWhenUsed/>
    <w:rsid w:val="00DF2394"/>
    <w:pPr>
      <w:numPr>
        <w:numId w:val="7"/>
      </w:numPr>
      <w:contextualSpacing/>
    </w:pPr>
  </w:style>
  <w:style w:type="paragraph" w:styleId="ListNumber3">
    <w:name w:val="List Number 3"/>
    <w:basedOn w:val="Normal"/>
    <w:uiPriority w:val="99"/>
    <w:unhideWhenUsed/>
    <w:rsid w:val="00DF2394"/>
    <w:pPr>
      <w:numPr>
        <w:numId w:val="8"/>
      </w:numPr>
      <w:contextualSpacing/>
    </w:pPr>
  </w:style>
  <w:style w:type="paragraph" w:styleId="ListNumber4">
    <w:name w:val="List Number 4"/>
    <w:basedOn w:val="Normal"/>
    <w:uiPriority w:val="99"/>
    <w:semiHidden/>
    <w:unhideWhenUsed/>
    <w:rsid w:val="005225B2"/>
    <w:pPr>
      <w:numPr>
        <w:numId w:val="9"/>
      </w:numPr>
      <w:contextualSpacing/>
    </w:pPr>
  </w:style>
  <w:style w:type="paragraph" w:styleId="ListNumber5">
    <w:name w:val="List Number 5"/>
    <w:basedOn w:val="Normal"/>
    <w:uiPriority w:val="99"/>
    <w:semiHidden/>
    <w:unhideWhenUsed/>
    <w:rsid w:val="005225B2"/>
    <w:pPr>
      <w:numPr>
        <w:numId w:val="10"/>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39393" w:themeColor="text1" w:themeTint="99"/>
        </w:tcBorders>
      </w:tcPr>
    </w:tblStylePr>
    <w:tblStylePr w:type="lastRow">
      <w:rPr>
        <w:b/>
        <w:bCs/>
      </w:rPr>
      <w:tblPr/>
      <w:tcPr>
        <w:tcBorders>
          <w:top w:val="sing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4BFDE" w:themeColor="accent1" w:themeTint="99"/>
        </w:tcBorders>
      </w:tcPr>
    </w:tblStylePr>
    <w:tblStylePr w:type="lastRow">
      <w:rPr>
        <w:b/>
        <w:bCs/>
      </w:rPr>
      <w:tblPr/>
      <w:tcPr>
        <w:tcBorders>
          <w:top w:val="sing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7E9BBB" w:themeColor="accent2" w:themeTint="99"/>
        </w:tcBorders>
      </w:tcPr>
    </w:tblStylePr>
    <w:tblStylePr w:type="lastRow">
      <w:rPr>
        <w:b/>
        <w:bCs/>
      </w:rPr>
      <w:tblPr/>
      <w:tcPr>
        <w:tcBorders>
          <w:top w:val="sing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3EBF5" w:themeColor="accent3" w:themeTint="99"/>
        </w:tcBorders>
      </w:tcPr>
    </w:tblStylePr>
    <w:tblStylePr w:type="lastRow">
      <w:rPr>
        <w:b/>
        <w:bCs/>
      </w:rPr>
      <w:tblPr/>
      <w:tcPr>
        <w:tcBorders>
          <w:top w:val="sing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D8EB" w:themeColor="accent4" w:themeTint="99"/>
        </w:tcBorders>
      </w:tcPr>
    </w:tblStylePr>
    <w:tblStylePr w:type="lastRow">
      <w:rPr>
        <w:b/>
        <w:bCs/>
      </w:rPr>
      <w:tblPr/>
      <w:tcPr>
        <w:tcBorders>
          <w:top w:val="sing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7CCE4" w:themeColor="accent5" w:themeTint="99"/>
        </w:tcBorders>
      </w:tcPr>
    </w:tblStylePr>
    <w:tblStylePr w:type="lastRow">
      <w:rPr>
        <w:b/>
        <w:bCs/>
      </w:rPr>
      <w:tblPr/>
      <w:tcPr>
        <w:tcBorders>
          <w:top w:val="sing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7ADC7" w:themeColor="accent6" w:themeTint="99"/>
        </w:tcBorders>
      </w:tcPr>
    </w:tblStylePr>
    <w:tblStylePr w:type="lastRow">
      <w:rPr>
        <w:b/>
        <w:bCs/>
      </w:rPr>
      <w:tblPr/>
      <w:tcPr>
        <w:tcBorders>
          <w:top w:val="sing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939393" w:themeColor="text1" w:themeTint="99"/>
        <w:bottom w:val="single" w:sz="4" w:space="0" w:color="939393" w:themeColor="text1" w:themeTint="99"/>
        <w:insideH w:val="single" w:sz="4" w:space="0" w:color="93939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A4BFDE" w:themeColor="accent1" w:themeTint="99"/>
        <w:bottom w:val="single" w:sz="4" w:space="0" w:color="A4BFDE" w:themeColor="accent1" w:themeTint="99"/>
        <w:insideH w:val="single" w:sz="4" w:space="0" w:color="A4BF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7E9BBB" w:themeColor="accent2" w:themeTint="99"/>
        <w:bottom w:val="single" w:sz="4" w:space="0" w:color="7E9BBB" w:themeColor="accent2" w:themeTint="99"/>
        <w:insideH w:val="single" w:sz="4" w:space="0" w:color="7E9B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E3EBF5" w:themeColor="accent3" w:themeTint="99"/>
        <w:bottom w:val="single" w:sz="4" w:space="0" w:color="E3EBF5" w:themeColor="accent3" w:themeTint="99"/>
        <w:insideH w:val="single" w:sz="4" w:space="0" w:color="E3EBF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C8D8EB" w:themeColor="accent4" w:themeTint="99"/>
        <w:bottom w:val="single" w:sz="4" w:space="0" w:color="C8D8EB" w:themeColor="accent4" w:themeTint="99"/>
        <w:insideH w:val="single" w:sz="4" w:space="0" w:color="C8D8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B7CCE4" w:themeColor="accent5" w:themeTint="99"/>
        <w:bottom w:val="single" w:sz="4" w:space="0" w:color="B7CCE4" w:themeColor="accent5" w:themeTint="99"/>
        <w:insideH w:val="single" w:sz="4" w:space="0" w:color="B7CC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97ADC7" w:themeColor="accent6" w:themeTint="99"/>
        <w:bottom w:val="single" w:sz="4" w:space="0" w:color="97ADC7" w:themeColor="accent6" w:themeTint="99"/>
        <w:insideH w:val="single" w:sz="4" w:space="0" w:color="97AD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4C4C4C" w:themeColor="text1"/>
        <w:left w:val="single" w:sz="4" w:space="0" w:color="4C4C4C" w:themeColor="text1"/>
        <w:bottom w:val="single" w:sz="4" w:space="0" w:color="4C4C4C" w:themeColor="text1"/>
        <w:right w:val="single" w:sz="4" w:space="0" w:color="4C4C4C" w:themeColor="text1"/>
      </w:tblBorders>
    </w:tblPr>
    <w:tblStylePr w:type="firstRow">
      <w:rPr>
        <w:b/>
        <w:bCs/>
        <w:color w:val="FFFFFF" w:themeColor="background1"/>
      </w:rPr>
      <w:tblPr/>
      <w:tcPr>
        <w:shd w:val="clear" w:color="auto" w:fill="4C4C4C" w:themeFill="text1"/>
      </w:tcPr>
    </w:tblStylePr>
    <w:tblStylePr w:type="lastRow">
      <w:rPr>
        <w:b/>
        <w:bCs/>
      </w:rPr>
      <w:tblPr/>
      <w:tcPr>
        <w:tcBorders>
          <w:top w:val="double" w:sz="4" w:space="0" w:color="4C4C4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4C4C" w:themeColor="text1"/>
          <w:right w:val="single" w:sz="4" w:space="0" w:color="4C4C4C" w:themeColor="text1"/>
        </w:tcBorders>
      </w:tcPr>
    </w:tblStylePr>
    <w:tblStylePr w:type="band1Horz">
      <w:tblPr/>
      <w:tcPr>
        <w:tcBorders>
          <w:top w:val="single" w:sz="4" w:space="0" w:color="4C4C4C" w:themeColor="text1"/>
          <w:bottom w:val="single" w:sz="4" w:space="0" w:color="4C4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4C4C" w:themeColor="text1"/>
          <w:left w:val="nil"/>
        </w:tcBorders>
      </w:tcPr>
    </w:tblStylePr>
    <w:tblStylePr w:type="swCell">
      <w:tblPr/>
      <w:tcPr>
        <w:tcBorders>
          <w:top w:val="double" w:sz="4" w:space="0" w:color="4C4C4C"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6996C9" w:themeColor="accent1"/>
        <w:left w:val="single" w:sz="4" w:space="0" w:color="6996C9" w:themeColor="accent1"/>
        <w:bottom w:val="single" w:sz="4" w:space="0" w:color="6996C9" w:themeColor="accent1"/>
        <w:right w:val="single" w:sz="4" w:space="0" w:color="6996C9" w:themeColor="accent1"/>
      </w:tblBorders>
    </w:tblPr>
    <w:tblStylePr w:type="firstRow">
      <w:rPr>
        <w:b/>
        <w:bCs/>
        <w:color w:val="FFFFFF" w:themeColor="background1"/>
      </w:rPr>
      <w:tblPr/>
      <w:tcPr>
        <w:shd w:val="clear" w:color="auto" w:fill="6996C9" w:themeFill="accent1"/>
      </w:tcPr>
    </w:tblStylePr>
    <w:tblStylePr w:type="lastRow">
      <w:rPr>
        <w:b/>
        <w:bCs/>
      </w:rPr>
      <w:tblPr/>
      <w:tcPr>
        <w:tcBorders>
          <w:top w:val="double" w:sz="4" w:space="0" w:color="6996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96C9" w:themeColor="accent1"/>
          <w:right w:val="single" w:sz="4" w:space="0" w:color="6996C9" w:themeColor="accent1"/>
        </w:tcBorders>
      </w:tcPr>
    </w:tblStylePr>
    <w:tblStylePr w:type="band1Horz">
      <w:tblPr/>
      <w:tcPr>
        <w:tcBorders>
          <w:top w:val="single" w:sz="4" w:space="0" w:color="6996C9" w:themeColor="accent1"/>
          <w:bottom w:val="single" w:sz="4" w:space="0" w:color="6996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96C9" w:themeColor="accent1"/>
          <w:left w:val="nil"/>
        </w:tcBorders>
      </w:tcPr>
    </w:tblStylePr>
    <w:tblStylePr w:type="swCell">
      <w:tblPr/>
      <w:tcPr>
        <w:tcBorders>
          <w:top w:val="double" w:sz="4" w:space="0" w:color="6996C9"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3F5A78" w:themeColor="accent2"/>
        <w:left w:val="single" w:sz="4" w:space="0" w:color="3F5A78" w:themeColor="accent2"/>
        <w:bottom w:val="single" w:sz="4" w:space="0" w:color="3F5A78" w:themeColor="accent2"/>
        <w:right w:val="single" w:sz="4" w:space="0" w:color="3F5A78" w:themeColor="accent2"/>
      </w:tblBorders>
    </w:tblPr>
    <w:tblStylePr w:type="firstRow">
      <w:rPr>
        <w:b/>
        <w:bCs/>
        <w:color w:val="FFFFFF" w:themeColor="background1"/>
      </w:rPr>
      <w:tblPr/>
      <w:tcPr>
        <w:shd w:val="clear" w:color="auto" w:fill="3F5A78" w:themeFill="accent2"/>
      </w:tcPr>
    </w:tblStylePr>
    <w:tblStylePr w:type="lastRow">
      <w:rPr>
        <w:b/>
        <w:bCs/>
      </w:rPr>
      <w:tblPr/>
      <w:tcPr>
        <w:tcBorders>
          <w:top w:val="double" w:sz="4" w:space="0" w:color="3F5A7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A78" w:themeColor="accent2"/>
          <w:right w:val="single" w:sz="4" w:space="0" w:color="3F5A78" w:themeColor="accent2"/>
        </w:tcBorders>
      </w:tcPr>
    </w:tblStylePr>
    <w:tblStylePr w:type="band1Horz">
      <w:tblPr/>
      <w:tcPr>
        <w:tcBorders>
          <w:top w:val="single" w:sz="4" w:space="0" w:color="3F5A78" w:themeColor="accent2"/>
          <w:bottom w:val="single" w:sz="4" w:space="0" w:color="3F5A7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A78" w:themeColor="accent2"/>
          <w:left w:val="nil"/>
        </w:tcBorders>
      </w:tcPr>
    </w:tblStylePr>
    <w:tblStylePr w:type="swCell">
      <w:tblPr/>
      <w:tcPr>
        <w:tcBorders>
          <w:top w:val="double" w:sz="4" w:space="0" w:color="3F5A78"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D2DFEF" w:themeColor="accent3"/>
        <w:left w:val="single" w:sz="4" w:space="0" w:color="D2DFEF" w:themeColor="accent3"/>
        <w:bottom w:val="single" w:sz="4" w:space="0" w:color="D2DFEF" w:themeColor="accent3"/>
        <w:right w:val="single" w:sz="4" w:space="0" w:color="D2DFEF" w:themeColor="accent3"/>
      </w:tblBorders>
    </w:tblPr>
    <w:tblStylePr w:type="firstRow">
      <w:rPr>
        <w:b/>
        <w:bCs/>
        <w:color w:val="FFFFFF" w:themeColor="background1"/>
      </w:rPr>
      <w:tblPr/>
      <w:tcPr>
        <w:shd w:val="clear" w:color="auto" w:fill="D2DFEF" w:themeFill="accent3"/>
      </w:tcPr>
    </w:tblStylePr>
    <w:tblStylePr w:type="lastRow">
      <w:rPr>
        <w:b/>
        <w:bCs/>
      </w:rPr>
      <w:tblPr/>
      <w:tcPr>
        <w:tcBorders>
          <w:top w:val="double" w:sz="4" w:space="0" w:color="D2DFE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DFEF" w:themeColor="accent3"/>
          <w:right w:val="single" w:sz="4" w:space="0" w:color="D2DFEF" w:themeColor="accent3"/>
        </w:tcBorders>
      </w:tcPr>
    </w:tblStylePr>
    <w:tblStylePr w:type="band1Horz">
      <w:tblPr/>
      <w:tcPr>
        <w:tcBorders>
          <w:top w:val="single" w:sz="4" w:space="0" w:color="D2DFEF" w:themeColor="accent3"/>
          <w:bottom w:val="single" w:sz="4" w:space="0" w:color="D2DFE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DFEF" w:themeColor="accent3"/>
          <w:left w:val="nil"/>
        </w:tcBorders>
      </w:tcPr>
    </w:tblStylePr>
    <w:tblStylePr w:type="swCell">
      <w:tblPr/>
      <w:tcPr>
        <w:tcBorders>
          <w:top w:val="double" w:sz="4" w:space="0" w:color="D2DFEF"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A5C0DE" w:themeColor="accent4"/>
        <w:left w:val="single" w:sz="4" w:space="0" w:color="A5C0DE" w:themeColor="accent4"/>
        <w:bottom w:val="single" w:sz="4" w:space="0" w:color="A5C0DE" w:themeColor="accent4"/>
        <w:right w:val="single" w:sz="4" w:space="0" w:color="A5C0DE" w:themeColor="accent4"/>
      </w:tblBorders>
    </w:tblPr>
    <w:tblStylePr w:type="firstRow">
      <w:rPr>
        <w:b/>
        <w:bCs/>
        <w:color w:val="FFFFFF" w:themeColor="background1"/>
      </w:rPr>
      <w:tblPr/>
      <w:tcPr>
        <w:shd w:val="clear" w:color="auto" w:fill="A5C0DE" w:themeFill="accent4"/>
      </w:tcPr>
    </w:tblStylePr>
    <w:tblStylePr w:type="lastRow">
      <w:rPr>
        <w:b/>
        <w:bCs/>
      </w:rPr>
      <w:tblPr/>
      <w:tcPr>
        <w:tcBorders>
          <w:top w:val="double" w:sz="4" w:space="0" w:color="A5C0D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0DE" w:themeColor="accent4"/>
          <w:right w:val="single" w:sz="4" w:space="0" w:color="A5C0DE" w:themeColor="accent4"/>
        </w:tcBorders>
      </w:tcPr>
    </w:tblStylePr>
    <w:tblStylePr w:type="band1Horz">
      <w:tblPr/>
      <w:tcPr>
        <w:tcBorders>
          <w:top w:val="single" w:sz="4" w:space="0" w:color="A5C0DE" w:themeColor="accent4"/>
          <w:bottom w:val="single" w:sz="4" w:space="0" w:color="A5C0D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0DE" w:themeColor="accent4"/>
          <w:left w:val="nil"/>
        </w:tcBorders>
      </w:tcPr>
    </w:tblStylePr>
    <w:tblStylePr w:type="swCell">
      <w:tblPr/>
      <w:tcPr>
        <w:tcBorders>
          <w:top w:val="double" w:sz="4" w:space="0" w:color="A5C0DE"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88ABD3" w:themeColor="accent5"/>
        <w:left w:val="single" w:sz="4" w:space="0" w:color="88ABD3" w:themeColor="accent5"/>
        <w:bottom w:val="single" w:sz="4" w:space="0" w:color="88ABD3" w:themeColor="accent5"/>
        <w:right w:val="single" w:sz="4" w:space="0" w:color="88ABD3" w:themeColor="accent5"/>
      </w:tblBorders>
    </w:tblPr>
    <w:tblStylePr w:type="firstRow">
      <w:rPr>
        <w:b/>
        <w:bCs/>
        <w:color w:val="FFFFFF" w:themeColor="background1"/>
      </w:rPr>
      <w:tblPr/>
      <w:tcPr>
        <w:shd w:val="clear" w:color="auto" w:fill="88ABD3" w:themeFill="accent5"/>
      </w:tcPr>
    </w:tblStylePr>
    <w:tblStylePr w:type="lastRow">
      <w:rPr>
        <w:b/>
        <w:bCs/>
      </w:rPr>
      <w:tblPr/>
      <w:tcPr>
        <w:tcBorders>
          <w:top w:val="double" w:sz="4" w:space="0" w:color="88AB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ABD3" w:themeColor="accent5"/>
          <w:right w:val="single" w:sz="4" w:space="0" w:color="88ABD3" w:themeColor="accent5"/>
        </w:tcBorders>
      </w:tcPr>
    </w:tblStylePr>
    <w:tblStylePr w:type="band1Horz">
      <w:tblPr/>
      <w:tcPr>
        <w:tcBorders>
          <w:top w:val="single" w:sz="4" w:space="0" w:color="88ABD3" w:themeColor="accent5"/>
          <w:bottom w:val="single" w:sz="4" w:space="0" w:color="88AB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ABD3" w:themeColor="accent5"/>
          <w:left w:val="nil"/>
        </w:tcBorders>
      </w:tcPr>
    </w:tblStylePr>
    <w:tblStylePr w:type="swCell">
      <w:tblPr/>
      <w:tcPr>
        <w:tcBorders>
          <w:top w:val="double" w:sz="4" w:space="0" w:color="88ABD3"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5578A0" w:themeColor="accent6"/>
        <w:left w:val="single" w:sz="4" w:space="0" w:color="5578A0" w:themeColor="accent6"/>
        <w:bottom w:val="single" w:sz="4" w:space="0" w:color="5578A0" w:themeColor="accent6"/>
        <w:right w:val="single" w:sz="4" w:space="0" w:color="5578A0" w:themeColor="accent6"/>
      </w:tblBorders>
    </w:tblPr>
    <w:tblStylePr w:type="firstRow">
      <w:rPr>
        <w:b/>
        <w:bCs/>
        <w:color w:val="FFFFFF" w:themeColor="background1"/>
      </w:rPr>
      <w:tblPr/>
      <w:tcPr>
        <w:shd w:val="clear" w:color="auto" w:fill="5578A0" w:themeFill="accent6"/>
      </w:tcPr>
    </w:tblStylePr>
    <w:tblStylePr w:type="lastRow">
      <w:rPr>
        <w:b/>
        <w:bCs/>
      </w:rPr>
      <w:tblPr/>
      <w:tcPr>
        <w:tcBorders>
          <w:top w:val="double" w:sz="4" w:space="0" w:color="5578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78A0" w:themeColor="accent6"/>
          <w:right w:val="single" w:sz="4" w:space="0" w:color="5578A0" w:themeColor="accent6"/>
        </w:tcBorders>
      </w:tcPr>
    </w:tblStylePr>
    <w:tblStylePr w:type="band1Horz">
      <w:tblPr/>
      <w:tcPr>
        <w:tcBorders>
          <w:top w:val="single" w:sz="4" w:space="0" w:color="5578A0" w:themeColor="accent6"/>
          <w:bottom w:val="single" w:sz="4" w:space="0" w:color="5578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78A0" w:themeColor="accent6"/>
          <w:left w:val="nil"/>
        </w:tcBorders>
      </w:tcPr>
    </w:tblStylePr>
    <w:tblStylePr w:type="swCell">
      <w:tblPr/>
      <w:tcPr>
        <w:tcBorders>
          <w:top w:val="double" w:sz="4" w:space="0" w:color="5578A0"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tblBorders>
    </w:tblPr>
    <w:tblStylePr w:type="firstRow">
      <w:rPr>
        <w:b/>
        <w:bCs/>
        <w:color w:val="FFFFFF" w:themeColor="background1"/>
      </w:rPr>
      <w:tblPr/>
      <w:tcPr>
        <w:tcBorders>
          <w:top w:val="single" w:sz="4" w:space="0" w:color="4C4C4C" w:themeColor="text1"/>
          <w:left w:val="single" w:sz="4" w:space="0" w:color="4C4C4C" w:themeColor="text1"/>
          <w:bottom w:val="single" w:sz="4" w:space="0" w:color="4C4C4C" w:themeColor="text1"/>
          <w:right w:val="single" w:sz="4" w:space="0" w:color="4C4C4C" w:themeColor="text1"/>
          <w:insideH w:val="nil"/>
        </w:tcBorders>
        <w:shd w:val="clear" w:color="auto" w:fill="4C4C4C" w:themeFill="text1"/>
      </w:tcPr>
    </w:tblStylePr>
    <w:tblStylePr w:type="lastRow">
      <w:rPr>
        <w:b/>
        <w:bCs/>
      </w:rPr>
      <w:tblPr/>
      <w:tcPr>
        <w:tcBorders>
          <w:top w:val="doub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tblBorders>
    </w:tblPr>
    <w:tblStylePr w:type="firstRow">
      <w:rPr>
        <w:b/>
        <w:bCs/>
        <w:color w:val="FFFFFF" w:themeColor="background1"/>
      </w:rPr>
      <w:tblPr/>
      <w:tcPr>
        <w:tcBorders>
          <w:top w:val="single" w:sz="4" w:space="0" w:color="6996C9" w:themeColor="accent1"/>
          <w:left w:val="single" w:sz="4" w:space="0" w:color="6996C9" w:themeColor="accent1"/>
          <w:bottom w:val="single" w:sz="4" w:space="0" w:color="6996C9" w:themeColor="accent1"/>
          <w:right w:val="single" w:sz="4" w:space="0" w:color="6996C9" w:themeColor="accent1"/>
          <w:insideH w:val="nil"/>
        </w:tcBorders>
        <w:shd w:val="clear" w:color="auto" w:fill="6996C9" w:themeFill="accent1"/>
      </w:tcPr>
    </w:tblStylePr>
    <w:tblStylePr w:type="lastRow">
      <w:rPr>
        <w:b/>
        <w:bCs/>
      </w:rPr>
      <w:tblPr/>
      <w:tcPr>
        <w:tcBorders>
          <w:top w:val="doub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tblBorders>
    </w:tblPr>
    <w:tblStylePr w:type="firstRow">
      <w:rPr>
        <w:b/>
        <w:bCs/>
        <w:color w:val="FFFFFF" w:themeColor="background1"/>
      </w:rPr>
      <w:tblPr/>
      <w:tcPr>
        <w:tcBorders>
          <w:top w:val="single" w:sz="4" w:space="0" w:color="3F5A78" w:themeColor="accent2"/>
          <w:left w:val="single" w:sz="4" w:space="0" w:color="3F5A78" w:themeColor="accent2"/>
          <w:bottom w:val="single" w:sz="4" w:space="0" w:color="3F5A78" w:themeColor="accent2"/>
          <w:right w:val="single" w:sz="4" w:space="0" w:color="3F5A78" w:themeColor="accent2"/>
          <w:insideH w:val="nil"/>
        </w:tcBorders>
        <w:shd w:val="clear" w:color="auto" w:fill="3F5A78" w:themeFill="accent2"/>
      </w:tcPr>
    </w:tblStylePr>
    <w:tblStylePr w:type="lastRow">
      <w:rPr>
        <w:b/>
        <w:bCs/>
      </w:rPr>
      <w:tblPr/>
      <w:tcPr>
        <w:tcBorders>
          <w:top w:val="doub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tblBorders>
    </w:tblPr>
    <w:tblStylePr w:type="firstRow">
      <w:rPr>
        <w:b/>
        <w:bCs/>
        <w:color w:val="FFFFFF" w:themeColor="background1"/>
      </w:rPr>
      <w:tblPr/>
      <w:tcPr>
        <w:tcBorders>
          <w:top w:val="single" w:sz="4" w:space="0" w:color="D2DFEF" w:themeColor="accent3"/>
          <w:left w:val="single" w:sz="4" w:space="0" w:color="D2DFEF" w:themeColor="accent3"/>
          <w:bottom w:val="single" w:sz="4" w:space="0" w:color="D2DFEF" w:themeColor="accent3"/>
          <w:right w:val="single" w:sz="4" w:space="0" w:color="D2DFEF" w:themeColor="accent3"/>
          <w:insideH w:val="nil"/>
        </w:tcBorders>
        <w:shd w:val="clear" w:color="auto" w:fill="D2DFEF" w:themeFill="accent3"/>
      </w:tcPr>
    </w:tblStylePr>
    <w:tblStylePr w:type="lastRow">
      <w:rPr>
        <w:b/>
        <w:bCs/>
      </w:rPr>
      <w:tblPr/>
      <w:tcPr>
        <w:tcBorders>
          <w:top w:val="doub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tblBorders>
    </w:tblPr>
    <w:tblStylePr w:type="firstRow">
      <w:rPr>
        <w:b/>
        <w:bCs/>
        <w:color w:val="FFFFFF" w:themeColor="background1"/>
      </w:rPr>
      <w:tblPr/>
      <w:tcPr>
        <w:tcBorders>
          <w:top w:val="single" w:sz="4" w:space="0" w:color="A5C0DE" w:themeColor="accent4"/>
          <w:left w:val="single" w:sz="4" w:space="0" w:color="A5C0DE" w:themeColor="accent4"/>
          <w:bottom w:val="single" w:sz="4" w:space="0" w:color="A5C0DE" w:themeColor="accent4"/>
          <w:right w:val="single" w:sz="4" w:space="0" w:color="A5C0DE" w:themeColor="accent4"/>
          <w:insideH w:val="nil"/>
        </w:tcBorders>
        <w:shd w:val="clear" w:color="auto" w:fill="A5C0DE" w:themeFill="accent4"/>
      </w:tcPr>
    </w:tblStylePr>
    <w:tblStylePr w:type="lastRow">
      <w:rPr>
        <w:b/>
        <w:bCs/>
      </w:rPr>
      <w:tblPr/>
      <w:tcPr>
        <w:tcBorders>
          <w:top w:val="doub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tblBorders>
    </w:tblPr>
    <w:tblStylePr w:type="firstRow">
      <w:rPr>
        <w:b/>
        <w:bCs/>
        <w:color w:val="FFFFFF" w:themeColor="background1"/>
      </w:rPr>
      <w:tblPr/>
      <w:tcPr>
        <w:tcBorders>
          <w:top w:val="single" w:sz="4" w:space="0" w:color="88ABD3" w:themeColor="accent5"/>
          <w:left w:val="single" w:sz="4" w:space="0" w:color="88ABD3" w:themeColor="accent5"/>
          <w:bottom w:val="single" w:sz="4" w:space="0" w:color="88ABD3" w:themeColor="accent5"/>
          <w:right w:val="single" w:sz="4" w:space="0" w:color="88ABD3" w:themeColor="accent5"/>
          <w:insideH w:val="nil"/>
        </w:tcBorders>
        <w:shd w:val="clear" w:color="auto" w:fill="88ABD3" w:themeFill="accent5"/>
      </w:tcPr>
    </w:tblStylePr>
    <w:tblStylePr w:type="lastRow">
      <w:rPr>
        <w:b/>
        <w:bCs/>
      </w:rPr>
      <w:tblPr/>
      <w:tcPr>
        <w:tcBorders>
          <w:top w:val="doub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tcBorders>
        <w:shd w:val="clear" w:color="auto" w:fill="5578A0" w:themeFill="accent6"/>
      </w:tcPr>
    </w:tblStylePr>
    <w:tblStylePr w:type="lastRow">
      <w:rPr>
        <w:b/>
        <w:bCs/>
      </w:rPr>
      <w:tblPr/>
      <w:tcPr>
        <w:tcBorders>
          <w:top w:val="doub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4C4C4C" w:themeColor="text1"/>
        <w:left w:val="single" w:sz="24" w:space="0" w:color="4C4C4C" w:themeColor="text1"/>
        <w:bottom w:val="single" w:sz="24" w:space="0" w:color="4C4C4C" w:themeColor="text1"/>
        <w:right w:val="single" w:sz="24" w:space="0" w:color="4C4C4C" w:themeColor="text1"/>
      </w:tblBorders>
    </w:tblPr>
    <w:tcPr>
      <w:shd w:val="clear" w:color="auto" w:fill="4C4C4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6996C9" w:themeColor="accent1"/>
        <w:left w:val="single" w:sz="24" w:space="0" w:color="6996C9" w:themeColor="accent1"/>
        <w:bottom w:val="single" w:sz="24" w:space="0" w:color="6996C9" w:themeColor="accent1"/>
        <w:right w:val="single" w:sz="24" w:space="0" w:color="6996C9" w:themeColor="accent1"/>
      </w:tblBorders>
    </w:tblPr>
    <w:tcPr>
      <w:shd w:val="clear" w:color="auto" w:fill="6996C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3F5A78" w:themeColor="accent2"/>
        <w:left w:val="single" w:sz="24" w:space="0" w:color="3F5A78" w:themeColor="accent2"/>
        <w:bottom w:val="single" w:sz="24" w:space="0" w:color="3F5A78" w:themeColor="accent2"/>
        <w:right w:val="single" w:sz="24" w:space="0" w:color="3F5A78" w:themeColor="accent2"/>
      </w:tblBorders>
    </w:tblPr>
    <w:tcPr>
      <w:shd w:val="clear" w:color="auto" w:fill="3F5A7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D2DFEF" w:themeColor="accent3"/>
        <w:left w:val="single" w:sz="24" w:space="0" w:color="D2DFEF" w:themeColor="accent3"/>
        <w:bottom w:val="single" w:sz="24" w:space="0" w:color="D2DFEF" w:themeColor="accent3"/>
        <w:right w:val="single" w:sz="24" w:space="0" w:color="D2DFEF" w:themeColor="accent3"/>
      </w:tblBorders>
    </w:tblPr>
    <w:tcPr>
      <w:shd w:val="clear" w:color="auto" w:fill="D2DFE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A5C0DE" w:themeColor="accent4"/>
        <w:left w:val="single" w:sz="24" w:space="0" w:color="A5C0DE" w:themeColor="accent4"/>
        <w:bottom w:val="single" w:sz="24" w:space="0" w:color="A5C0DE" w:themeColor="accent4"/>
        <w:right w:val="single" w:sz="24" w:space="0" w:color="A5C0DE" w:themeColor="accent4"/>
      </w:tblBorders>
    </w:tblPr>
    <w:tcPr>
      <w:shd w:val="clear" w:color="auto" w:fill="A5C0D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88ABD3" w:themeColor="accent5"/>
        <w:left w:val="single" w:sz="24" w:space="0" w:color="88ABD3" w:themeColor="accent5"/>
        <w:bottom w:val="single" w:sz="24" w:space="0" w:color="88ABD3" w:themeColor="accent5"/>
        <w:right w:val="single" w:sz="24" w:space="0" w:color="88ABD3" w:themeColor="accent5"/>
      </w:tblBorders>
    </w:tblPr>
    <w:tcPr>
      <w:shd w:val="clear" w:color="auto" w:fill="88AB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5578A0" w:themeColor="accent6"/>
        <w:left w:val="single" w:sz="24" w:space="0" w:color="5578A0" w:themeColor="accent6"/>
        <w:bottom w:val="single" w:sz="24" w:space="0" w:color="5578A0" w:themeColor="accent6"/>
        <w:right w:val="single" w:sz="24" w:space="0" w:color="5578A0" w:themeColor="accent6"/>
      </w:tblBorders>
    </w:tblPr>
    <w:tcPr>
      <w:shd w:val="clear" w:color="auto" w:fill="5578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4C4C4C" w:themeColor="text1"/>
    </w:rPr>
    <w:tblPr>
      <w:tblStyleRowBandSize w:val="1"/>
      <w:tblStyleColBandSize w:val="1"/>
      <w:tblBorders>
        <w:top w:val="single" w:sz="4" w:space="0" w:color="4C4C4C" w:themeColor="text1"/>
        <w:bottom w:val="single" w:sz="4" w:space="0" w:color="4C4C4C" w:themeColor="text1"/>
      </w:tblBorders>
    </w:tblPr>
    <w:tblStylePr w:type="firstRow">
      <w:rPr>
        <w:b/>
        <w:bCs/>
      </w:rPr>
      <w:tblPr/>
      <w:tcPr>
        <w:tcBorders>
          <w:bottom w:val="single" w:sz="4" w:space="0" w:color="4C4C4C" w:themeColor="text1"/>
        </w:tcBorders>
      </w:tcPr>
    </w:tblStylePr>
    <w:tblStylePr w:type="lastRow">
      <w:rPr>
        <w:b/>
        <w:bCs/>
      </w:rPr>
      <w:tblPr/>
      <w:tcPr>
        <w:tcBorders>
          <w:top w:val="double" w:sz="4" w:space="0" w:color="4C4C4C" w:themeColor="text1"/>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3C6EA8" w:themeColor="accent1" w:themeShade="BF"/>
    </w:rPr>
    <w:tblPr>
      <w:tblStyleRowBandSize w:val="1"/>
      <w:tblStyleColBandSize w:val="1"/>
      <w:tblBorders>
        <w:top w:val="single" w:sz="4" w:space="0" w:color="6996C9" w:themeColor="accent1"/>
        <w:bottom w:val="single" w:sz="4" w:space="0" w:color="6996C9" w:themeColor="accent1"/>
      </w:tblBorders>
    </w:tblPr>
    <w:tblStylePr w:type="firstRow">
      <w:rPr>
        <w:b/>
        <w:bCs/>
      </w:rPr>
      <w:tblPr/>
      <w:tcPr>
        <w:tcBorders>
          <w:bottom w:val="single" w:sz="4" w:space="0" w:color="6996C9" w:themeColor="accent1"/>
        </w:tcBorders>
      </w:tcPr>
    </w:tblStylePr>
    <w:tblStylePr w:type="lastRow">
      <w:rPr>
        <w:b/>
        <w:bCs/>
      </w:rPr>
      <w:tblPr/>
      <w:tcPr>
        <w:tcBorders>
          <w:top w:val="double" w:sz="4" w:space="0" w:color="6996C9" w:themeColor="accent1"/>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2F4359" w:themeColor="accent2" w:themeShade="BF"/>
    </w:rPr>
    <w:tblPr>
      <w:tblStyleRowBandSize w:val="1"/>
      <w:tblStyleColBandSize w:val="1"/>
      <w:tblBorders>
        <w:top w:val="single" w:sz="4" w:space="0" w:color="3F5A78" w:themeColor="accent2"/>
        <w:bottom w:val="single" w:sz="4" w:space="0" w:color="3F5A78" w:themeColor="accent2"/>
      </w:tblBorders>
    </w:tblPr>
    <w:tblStylePr w:type="firstRow">
      <w:rPr>
        <w:b/>
        <w:bCs/>
      </w:rPr>
      <w:tblPr/>
      <w:tcPr>
        <w:tcBorders>
          <w:bottom w:val="single" w:sz="4" w:space="0" w:color="3F5A78" w:themeColor="accent2"/>
        </w:tcBorders>
      </w:tcPr>
    </w:tblStylePr>
    <w:tblStylePr w:type="lastRow">
      <w:rPr>
        <w:b/>
        <w:bCs/>
      </w:rPr>
      <w:tblPr/>
      <w:tcPr>
        <w:tcBorders>
          <w:top w:val="double" w:sz="4" w:space="0" w:color="3F5A78" w:themeColor="accent2"/>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7EA3D1" w:themeColor="accent3" w:themeShade="BF"/>
    </w:rPr>
    <w:tblPr>
      <w:tblStyleRowBandSize w:val="1"/>
      <w:tblStyleColBandSize w:val="1"/>
      <w:tblBorders>
        <w:top w:val="single" w:sz="4" w:space="0" w:color="D2DFEF" w:themeColor="accent3"/>
        <w:bottom w:val="single" w:sz="4" w:space="0" w:color="D2DFEF" w:themeColor="accent3"/>
      </w:tblBorders>
    </w:tblPr>
    <w:tblStylePr w:type="firstRow">
      <w:rPr>
        <w:b/>
        <w:bCs/>
      </w:rPr>
      <w:tblPr/>
      <w:tcPr>
        <w:tcBorders>
          <w:bottom w:val="single" w:sz="4" w:space="0" w:color="D2DFEF" w:themeColor="accent3"/>
        </w:tcBorders>
      </w:tcPr>
    </w:tblStylePr>
    <w:tblStylePr w:type="lastRow">
      <w:rPr>
        <w:b/>
        <w:bCs/>
      </w:rPr>
      <w:tblPr/>
      <w:tcPr>
        <w:tcBorders>
          <w:top w:val="double" w:sz="4" w:space="0" w:color="D2DFEF" w:themeColor="accent3"/>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5D8DC4" w:themeColor="accent4" w:themeShade="BF"/>
    </w:rPr>
    <w:tblPr>
      <w:tblStyleRowBandSize w:val="1"/>
      <w:tblStyleColBandSize w:val="1"/>
      <w:tblBorders>
        <w:top w:val="single" w:sz="4" w:space="0" w:color="A5C0DE" w:themeColor="accent4"/>
        <w:bottom w:val="single" w:sz="4" w:space="0" w:color="A5C0DE" w:themeColor="accent4"/>
      </w:tblBorders>
    </w:tblPr>
    <w:tblStylePr w:type="firstRow">
      <w:rPr>
        <w:b/>
        <w:bCs/>
      </w:rPr>
      <w:tblPr/>
      <w:tcPr>
        <w:tcBorders>
          <w:bottom w:val="single" w:sz="4" w:space="0" w:color="A5C0DE" w:themeColor="accent4"/>
        </w:tcBorders>
      </w:tcPr>
    </w:tblStylePr>
    <w:tblStylePr w:type="lastRow">
      <w:rPr>
        <w:b/>
        <w:bCs/>
      </w:rPr>
      <w:tblPr/>
      <w:tcPr>
        <w:tcBorders>
          <w:top w:val="double" w:sz="4" w:space="0" w:color="A5C0DE" w:themeColor="accent4"/>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487DBB" w:themeColor="accent5" w:themeShade="BF"/>
    </w:rPr>
    <w:tblPr>
      <w:tblStyleRowBandSize w:val="1"/>
      <w:tblStyleColBandSize w:val="1"/>
      <w:tblBorders>
        <w:top w:val="single" w:sz="4" w:space="0" w:color="88ABD3" w:themeColor="accent5"/>
        <w:bottom w:val="single" w:sz="4" w:space="0" w:color="88ABD3" w:themeColor="accent5"/>
      </w:tblBorders>
    </w:tblPr>
    <w:tblStylePr w:type="firstRow">
      <w:rPr>
        <w:b/>
        <w:bCs/>
      </w:rPr>
      <w:tblPr/>
      <w:tcPr>
        <w:tcBorders>
          <w:bottom w:val="single" w:sz="4" w:space="0" w:color="88ABD3" w:themeColor="accent5"/>
        </w:tcBorders>
      </w:tcPr>
    </w:tblStylePr>
    <w:tblStylePr w:type="lastRow">
      <w:rPr>
        <w:b/>
        <w:bCs/>
      </w:rPr>
      <w:tblPr/>
      <w:tcPr>
        <w:tcBorders>
          <w:top w:val="double" w:sz="4" w:space="0" w:color="88ABD3"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3F5977" w:themeColor="accent6" w:themeShade="BF"/>
    </w:rPr>
    <w:tblPr>
      <w:tblStyleRowBandSize w:val="1"/>
      <w:tblStyleColBandSize w:val="1"/>
      <w:tblBorders>
        <w:top w:val="single" w:sz="4" w:space="0" w:color="5578A0" w:themeColor="accent6"/>
        <w:bottom w:val="single" w:sz="4" w:space="0" w:color="5578A0" w:themeColor="accent6"/>
      </w:tblBorders>
    </w:tblPr>
    <w:tblStylePr w:type="firstRow">
      <w:rPr>
        <w:b/>
        <w:bCs/>
      </w:rPr>
      <w:tblPr/>
      <w:tcPr>
        <w:tcBorders>
          <w:bottom w:val="single" w:sz="4" w:space="0" w:color="5578A0" w:themeColor="accent6"/>
        </w:tcBorders>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7Colorful">
    <w:name w:val="List Table 7 Colorful"/>
    <w:basedOn w:val="TableNormal"/>
    <w:uiPriority w:val="52"/>
    <w:rsid w:val="005225B2"/>
    <w:pPr>
      <w:spacing w:after="0" w:line="240" w:lineRule="auto"/>
    </w:pPr>
    <w:rPr>
      <w:color w:val="4C4C4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4C4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4C4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4C4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4C4C" w:themeColor="text1"/>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3C6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96C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96C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96C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96C9" w:themeColor="accent1"/>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2F435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5A7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5A7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5A7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5A78" w:themeColor="accent2"/>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7EA3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DFE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DFE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DFE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DFEF" w:themeColor="accent3"/>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5D8D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0D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0D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0D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0DE" w:themeColor="accent4"/>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487DB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AB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AB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AB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ABD3" w:themeColor="accent5"/>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3F5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78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78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78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78A0" w:themeColor="accent6"/>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single" w:sz="8" w:space="0" w:color="787878" w:themeColor="text1" w:themeTint="BF"/>
        <w:insideV w:val="single" w:sz="8" w:space="0" w:color="787878" w:themeColor="text1" w:themeTint="BF"/>
      </w:tblBorders>
    </w:tblPr>
    <w:tcPr>
      <w:shd w:val="clear" w:color="auto" w:fill="D2D2D2" w:themeFill="text1" w:themeFillTint="3F"/>
    </w:tcPr>
    <w:tblStylePr w:type="firstRow">
      <w:rPr>
        <w:b/>
        <w:bCs/>
      </w:rPr>
    </w:tblStylePr>
    <w:tblStylePr w:type="lastRow">
      <w:rPr>
        <w:b/>
        <w:bCs/>
      </w:rPr>
      <w:tblPr/>
      <w:tcPr>
        <w:tcBorders>
          <w:top w:val="single" w:sz="18" w:space="0" w:color="787878" w:themeColor="text1" w:themeTint="BF"/>
        </w:tcBorders>
      </w:tcPr>
    </w:tblStylePr>
    <w:tblStylePr w:type="firstCol">
      <w:rPr>
        <w:b/>
        <w:bCs/>
      </w:rPr>
    </w:tblStylePr>
    <w:tblStylePr w:type="lastCol">
      <w:rPr>
        <w:b/>
        <w:bCs/>
      </w:rPr>
    </w:tblStylePr>
    <w:tblStylePr w:type="band1Vert">
      <w:tblPr/>
      <w:tcPr>
        <w:shd w:val="clear" w:color="auto" w:fill="A5A5A5" w:themeFill="text1" w:themeFillTint="7F"/>
      </w:tcPr>
    </w:tblStylePr>
    <w:tblStylePr w:type="band1Horz">
      <w:tblPr/>
      <w:tcPr>
        <w:shd w:val="clear" w:color="auto" w:fill="A5A5A5"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single" w:sz="8" w:space="0" w:color="8EB0D6" w:themeColor="accent1" w:themeTint="BF"/>
        <w:insideV w:val="single" w:sz="8" w:space="0" w:color="8EB0D6" w:themeColor="accent1" w:themeTint="BF"/>
      </w:tblBorders>
    </w:tblPr>
    <w:tcPr>
      <w:shd w:val="clear" w:color="auto" w:fill="D9E4F1" w:themeFill="accent1" w:themeFillTint="3F"/>
    </w:tcPr>
    <w:tblStylePr w:type="firstRow">
      <w:rPr>
        <w:b/>
        <w:bCs/>
      </w:rPr>
    </w:tblStylePr>
    <w:tblStylePr w:type="lastRow">
      <w:rPr>
        <w:b/>
        <w:bCs/>
      </w:rPr>
      <w:tblPr/>
      <w:tcPr>
        <w:tcBorders>
          <w:top w:val="single" w:sz="18" w:space="0" w:color="8EB0D6" w:themeColor="accent1" w:themeTint="BF"/>
        </w:tcBorders>
      </w:tcPr>
    </w:tblStylePr>
    <w:tblStylePr w:type="firstCol">
      <w:rPr>
        <w:b/>
        <w:bCs/>
      </w:rPr>
    </w:tblStylePr>
    <w:tblStylePr w:type="lastCol">
      <w:rPr>
        <w:b/>
        <w:bCs/>
      </w:rPr>
    </w:tblStylePr>
    <w:tblStylePr w:type="band1Vert">
      <w:tblPr/>
      <w:tcPr>
        <w:shd w:val="clear" w:color="auto" w:fill="B4CAE4" w:themeFill="accent1" w:themeFillTint="7F"/>
      </w:tcPr>
    </w:tblStylePr>
    <w:tblStylePr w:type="band1Horz">
      <w:tblPr/>
      <w:tcPr>
        <w:shd w:val="clear" w:color="auto" w:fill="B4CAE4"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single" w:sz="8" w:space="0" w:color="5E82AA" w:themeColor="accent2" w:themeTint="BF"/>
        <w:insideV w:val="single" w:sz="8" w:space="0" w:color="5E82AA" w:themeColor="accent2" w:themeTint="BF"/>
      </w:tblBorders>
    </w:tblPr>
    <w:tcPr>
      <w:shd w:val="clear" w:color="auto" w:fill="C9D5E3" w:themeFill="accent2" w:themeFillTint="3F"/>
    </w:tcPr>
    <w:tblStylePr w:type="firstRow">
      <w:rPr>
        <w:b/>
        <w:bCs/>
      </w:rPr>
    </w:tblStylePr>
    <w:tblStylePr w:type="lastRow">
      <w:rPr>
        <w:b/>
        <w:bCs/>
      </w:rPr>
      <w:tblPr/>
      <w:tcPr>
        <w:tcBorders>
          <w:top w:val="single" w:sz="18" w:space="0" w:color="5E82AA" w:themeColor="accent2" w:themeTint="BF"/>
        </w:tcBorders>
      </w:tcPr>
    </w:tblStylePr>
    <w:tblStylePr w:type="firstCol">
      <w:rPr>
        <w:b/>
        <w:bCs/>
      </w:rPr>
    </w:tblStylePr>
    <w:tblStylePr w:type="lastCol">
      <w:rPr>
        <w:b/>
        <w:bCs/>
      </w:rPr>
    </w:tblStylePr>
    <w:tblStylePr w:type="band1Vert">
      <w:tblPr/>
      <w:tcPr>
        <w:shd w:val="clear" w:color="auto" w:fill="94ACC7" w:themeFill="accent2" w:themeFillTint="7F"/>
      </w:tcPr>
    </w:tblStylePr>
    <w:tblStylePr w:type="band1Horz">
      <w:tblPr/>
      <w:tcPr>
        <w:shd w:val="clear" w:color="auto" w:fill="94ACC7"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single" w:sz="8" w:space="0" w:color="DDE6F3" w:themeColor="accent3" w:themeTint="BF"/>
        <w:insideV w:val="single" w:sz="8" w:space="0" w:color="DDE6F3" w:themeColor="accent3" w:themeTint="BF"/>
      </w:tblBorders>
    </w:tblPr>
    <w:tcPr>
      <w:shd w:val="clear" w:color="auto" w:fill="F3F6FB" w:themeFill="accent3" w:themeFillTint="3F"/>
    </w:tcPr>
    <w:tblStylePr w:type="firstRow">
      <w:rPr>
        <w:b/>
        <w:bCs/>
      </w:rPr>
    </w:tblStylePr>
    <w:tblStylePr w:type="lastRow">
      <w:rPr>
        <w:b/>
        <w:bCs/>
      </w:rPr>
      <w:tblPr/>
      <w:tcPr>
        <w:tcBorders>
          <w:top w:val="single" w:sz="18" w:space="0" w:color="DDE6F3" w:themeColor="accent3" w:themeTint="BF"/>
        </w:tcBorders>
      </w:tcPr>
    </w:tblStylePr>
    <w:tblStylePr w:type="firstCol">
      <w:rPr>
        <w:b/>
        <w:bCs/>
      </w:rPr>
    </w:tblStylePr>
    <w:tblStylePr w:type="lastCol">
      <w:rPr>
        <w:b/>
        <w:bCs/>
      </w:rPr>
    </w:tblStylePr>
    <w:tblStylePr w:type="band1Vert">
      <w:tblPr/>
      <w:tcPr>
        <w:shd w:val="clear" w:color="auto" w:fill="E8EEF7" w:themeFill="accent3" w:themeFillTint="7F"/>
      </w:tcPr>
    </w:tblStylePr>
    <w:tblStylePr w:type="band1Horz">
      <w:tblPr/>
      <w:tcPr>
        <w:shd w:val="clear" w:color="auto" w:fill="E8EEF7"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single" w:sz="8" w:space="0" w:color="BBCFE6" w:themeColor="accent4" w:themeTint="BF"/>
        <w:insideV w:val="single" w:sz="8" w:space="0" w:color="BBCFE6" w:themeColor="accent4" w:themeTint="BF"/>
      </w:tblBorders>
    </w:tblPr>
    <w:tcPr>
      <w:shd w:val="clear" w:color="auto" w:fill="E8EFF6" w:themeFill="accent4" w:themeFillTint="3F"/>
    </w:tcPr>
    <w:tblStylePr w:type="firstRow">
      <w:rPr>
        <w:b/>
        <w:bCs/>
      </w:rPr>
    </w:tblStylePr>
    <w:tblStylePr w:type="lastRow">
      <w:rPr>
        <w:b/>
        <w:bCs/>
      </w:rPr>
      <w:tblPr/>
      <w:tcPr>
        <w:tcBorders>
          <w:top w:val="single" w:sz="18" w:space="0" w:color="BBCFE6" w:themeColor="accent4" w:themeTint="BF"/>
        </w:tcBorders>
      </w:tcPr>
    </w:tblStylePr>
    <w:tblStylePr w:type="firstCol">
      <w:rPr>
        <w:b/>
        <w:bCs/>
      </w:rPr>
    </w:tblStylePr>
    <w:tblStylePr w:type="lastCol">
      <w:rPr>
        <w:b/>
        <w:bCs/>
      </w:rPr>
    </w:tblStylePr>
    <w:tblStylePr w:type="band1Vert">
      <w:tblPr/>
      <w:tcPr>
        <w:shd w:val="clear" w:color="auto" w:fill="D2DFEE" w:themeFill="accent4" w:themeFillTint="7F"/>
      </w:tcPr>
    </w:tblStylePr>
    <w:tblStylePr w:type="band1Horz">
      <w:tblPr/>
      <w:tcPr>
        <w:shd w:val="clear" w:color="auto" w:fill="D2DFEE"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single" w:sz="8" w:space="0" w:color="A5BFDE" w:themeColor="accent5" w:themeTint="BF"/>
        <w:insideV w:val="single" w:sz="8" w:space="0" w:color="A5BFDE" w:themeColor="accent5" w:themeTint="BF"/>
      </w:tblBorders>
    </w:tblPr>
    <w:tcPr>
      <w:shd w:val="clear" w:color="auto" w:fill="E1EAF4" w:themeFill="accent5" w:themeFillTint="3F"/>
    </w:tcPr>
    <w:tblStylePr w:type="firstRow">
      <w:rPr>
        <w:b/>
        <w:bCs/>
      </w:rPr>
    </w:tblStylePr>
    <w:tblStylePr w:type="lastRow">
      <w:rPr>
        <w:b/>
        <w:bCs/>
      </w:rPr>
      <w:tblPr/>
      <w:tcPr>
        <w:tcBorders>
          <w:top w:val="single" w:sz="18" w:space="0" w:color="A5BFDE" w:themeColor="accent5" w:themeTint="BF"/>
        </w:tcBorders>
      </w:tcPr>
    </w:tblStylePr>
    <w:tblStylePr w:type="firstCol">
      <w:rPr>
        <w:b/>
        <w:bCs/>
      </w:rPr>
    </w:tblStylePr>
    <w:tblStylePr w:type="lastCol">
      <w:rPr>
        <w:b/>
        <w:bCs/>
      </w:rPr>
    </w:tblStylePr>
    <w:tblStylePr w:type="band1Vert">
      <w:tblPr/>
      <w:tcPr>
        <w:shd w:val="clear" w:color="auto" w:fill="C3D5E9" w:themeFill="accent5" w:themeFillTint="7F"/>
      </w:tcPr>
    </w:tblStylePr>
    <w:tblStylePr w:type="band1Horz">
      <w:tblPr/>
      <w:tcPr>
        <w:shd w:val="clear" w:color="auto" w:fill="C3D5E9"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single" w:sz="8" w:space="0" w:color="7D99BA" w:themeColor="accent6" w:themeTint="BF"/>
        <w:insideV w:val="single" w:sz="8" w:space="0" w:color="7D99BA" w:themeColor="accent6" w:themeTint="BF"/>
      </w:tblBorders>
    </w:tblPr>
    <w:tcPr>
      <w:shd w:val="clear" w:color="auto" w:fill="D4DDE8" w:themeFill="accent6" w:themeFillTint="3F"/>
    </w:tcPr>
    <w:tblStylePr w:type="firstRow">
      <w:rPr>
        <w:b/>
        <w:bCs/>
      </w:rPr>
    </w:tblStylePr>
    <w:tblStylePr w:type="lastRow">
      <w:rPr>
        <w:b/>
        <w:bCs/>
      </w:rPr>
      <w:tblPr/>
      <w:tcPr>
        <w:tcBorders>
          <w:top w:val="single" w:sz="18" w:space="0" w:color="7D99BA" w:themeColor="accent6" w:themeTint="BF"/>
        </w:tcBorders>
      </w:tcPr>
    </w:tblStylePr>
    <w:tblStylePr w:type="firstCol">
      <w:rPr>
        <w:b/>
        <w:bCs/>
      </w:rPr>
    </w:tblStylePr>
    <w:tblStylePr w:type="lastCol">
      <w:rPr>
        <w:b/>
        <w:bCs/>
      </w:rPr>
    </w:tblStylePr>
    <w:tblStylePr w:type="band1Vert">
      <w:tblPr/>
      <w:tcPr>
        <w:shd w:val="clear" w:color="auto" w:fill="A8BBD1" w:themeFill="accent6" w:themeFillTint="7F"/>
      </w:tcPr>
    </w:tblStylePr>
    <w:tblStylePr w:type="band1Horz">
      <w:tblPr/>
      <w:tcPr>
        <w:shd w:val="clear" w:color="auto" w:fill="A8BBD1"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insideH w:val="single" w:sz="8" w:space="0" w:color="4C4C4C" w:themeColor="text1"/>
        <w:insideV w:val="single" w:sz="8" w:space="0" w:color="4C4C4C" w:themeColor="text1"/>
      </w:tblBorders>
    </w:tblPr>
    <w:tcPr>
      <w:shd w:val="clear" w:color="auto" w:fill="D2D2D2" w:themeFill="text1" w:themeFillTint="3F"/>
    </w:tcPr>
    <w:tblStylePr w:type="firstRow">
      <w:rPr>
        <w:b/>
        <w:bCs/>
        <w:color w:val="4C4C4C" w:themeColor="text1"/>
      </w:rPr>
      <w:tblPr/>
      <w:tcPr>
        <w:shd w:val="clear" w:color="auto" w:fill="EDEDED" w:themeFill="text1"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BDBDB" w:themeFill="text1" w:themeFillTint="33"/>
      </w:tcPr>
    </w:tblStylePr>
    <w:tblStylePr w:type="band1Vert">
      <w:tblPr/>
      <w:tcPr>
        <w:shd w:val="clear" w:color="auto" w:fill="A5A5A5" w:themeFill="text1" w:themeFillTint="7F"/>
      </w:tcPr>
    </w:tblStylePr>
    <w:tblStylePr w:type="band1Horz">
      <w:tblPr/>
      <w:tcPr>
        <w:tcBorders>
          <w:insideH w:val="single" w:sz="6" w:space="0" w:color="4C4C4C" w:themeColor="text1"/>
          <w:insideV w:val="single" w:sz="6" w:space="0" w:color="4C4C4C" w:themeColor="text1"/>
        </w:tcBorders>
        <w:shd w:val="clear" w:color="auto" w:fill="A5A5A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insideH w:val="single" w:sz="8" w:space="0" w:color="6996C9" w:themeColor="accent1"/>
        <w:insideV w:val="single" w:sz="8" w:space="0" w:color="6996C9" w:themeColor="accent1"/>
      </w:tblBorders>
    </w:tblPr>
    <w:tcPr>
      <w:shd w:val="clear" w:color="auto" w:fill="D9E4F1" w:themeFill="accent1" w:themeFillTint="3F"/>
    </w:tcPr>
    <w:tblStylePr w:type="firstRow">
      <w:rPr>
        <w:b/>
        <w:bCs/>
        <w:color w:val="4C4C4C" w:themeColor="text1"/>
      </w:rPr>
      <w:tblPr/>
      <w:tcPr>
        <w:shd w:val="clear" w:color="auto" w:fill="F0F4F9" w:themeFill="accent1"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0E9F4" w:themeFill="accent1" w:themeFillTint="33"/>
      </w:tcPr>
    </w:tblStylePr>
    <w:tblStylePr w:type="band1Vert">
      <w:tblPr/>
      <w:tcPr>
        <w:shd w:val="clear" w:color="auto" w:fill="B4CAE4" w:themeFill="accent1" w:themeFillTint="7F"/>
      </w:tcPr>
    </w:tblStylePr>
    <w:tblStylePr w:type="band1Horz">
      <w:tblPr/>
      <w:tcPr>
        <w:tcBorders>
          <w:insideH w:val="single" w:sz="6" w:space="0" w:color="6996C9" w:themeColor="accent1"/>
          <w:insideV w:val="single" w:sz="6" w:space="0" w:color="6996C9" w:themeColor="accent1"/>
        </w:tcBorders>
        <w:shd w:val="clear" w:color="auto" w:fill="B4CAE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insideH w:val="single" w:sz="8" w:space="0" w:color="3F5A78" w:themeColor="accent2"/>
        <w:insideV w:val="single" w:sz="8" w:space="0" w:color="3F5A78" w:themeColor="accent2"/>
      </w:tblBorders>
    </w:tblPr>
    <w:tcPr>
      <w:shd w:val="clear" w:color="auto" w:fill="C9D5E3" w:themeFill="accent2" w:themeFillTint="3F"/>
    </w:tcPr>
    <w:tblStylePr w:type="firstRow">
      <w:rPr>
        <w:b/>
        <w:bCs/>
        <w:color w:val="4C4C4C" w:themeColor="text1"/>
      </w:rPr>
      <w:tblPr/>
      <w:tcPr>
        <w:shd w:val="clear" w:color="auto" w:fill="E9EEF4" w:themeFill="accent2"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3DDE8" w:themeFill="accent2" w:themeFillTint="33"/>
      </w:tcPr>
    </w:tblStylePr>
    <w:tblStylePr w:type="band1Vert">
      <w:tblPr/>
      <w:tcPr>
        <w:shd w:val="clear" w:color="auto" w:fill="94ACC7" w:themeFill="accent2" w:themeFillTint="7F"/>
      </w:tcPr>
    </w:tblStylePr>
    <w:tblStylePr w:type="band1Horz">
      <w:tblPr/>
      <w:tcPr>
        <w:tcBorders>
          <w:insideH w:val="single" w:sz="6" w:space="0" w:color="3F5A78" w:themeColor="accent2"/>
          <w:insideV w:val="single" w:sz="6" w:space="0" w:color="3F5A78" w:themeColor="accent2"/>
        </w:tcBorders>
        <w:shd w:val="clear" w:color="auto" w:fill="94ACC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insideH w:val="single" w:sz="8" w:space="0" w:color="D2DFEF" w:themeColor="accent3"/>
        <w:insideV w:val="single" w:sz="8" w:space="0" w:color="D2DFEF" w:themeColor="accent3"/>
      </w:tblBorders>
    </w:tblPr>
    <w:tcPr>
      <w:shd w:val="clear" w:color="auto" w:fill="F3F6FB" w:themeFill="accent3" w:themeFillTint="3F"/>
    </w:tcPr>
    <w:tblStylePr w:type="firstRow">
      <w:rPr>
        <w:b/>
        <w:bCs/>
        <w:color w:val="4C4C4C" w:themeColor="text1"/>
      </w:rPr>
      <w:tblPr/>
      <w:tcPr>
        <w:shd w:val="clear" w:color="auto" w:fill="FAFBFD" w:themeFill="accent3"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F5F8FB" w:themeFill="accent3" w:themeFillTint="33"/>
      </w:tcPr>
    </w:tblStylePr>
    <w:tblStylePr w:type="band1Vert">
      <w:tblPr/>
      <w:tcPr>
        <w:shd w:val="clear" w:color="auto" w:fill="E8EEF7" w:themeFill="accent3" w:themeFillTint="7F"/>
      </w:tcPr>
    </w:tblStylePr>
    <w:tblStylePr w:type="band1Horz">
      <w:tblPr/>
      <w:tcPr>
        <w:tcBorders>
          <w:insideH w:val="single" w:sz="6" w:space="0" w:color="D2DFEF" w:themeColor="accent3"/>
          <w:insideV w:val="single" w:sz="6" w:space="0" w:color="D2DFEF" w:themeColor="accent3"/>
        </w:tcBorders>
        <w:shd w:val="clear" w:color="auto" w:fill="E8EE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insideH w:val="single" w:sz="8" w:space="0" w:color="A5C0DE" w:themeColor="accent4"/>
        <w:insideV w:val="single" w:sz="8" w:space="0" w:color="A5C0DE" w:themeColor="accent4"/>
      </w:tblBorders>
    </w:tblPr>
    <w:tcPr>
      <w:shd w:val="clear" w:color="auto" w:fill="E8EFF6" w:themeFill="accent4" w:themeFillTint="3F"/>
    </w:tcPr>
    <w:tblStylePr w:type="firstRow">
      <w:rPr>
        <w:b/>
        <w:bCs/>
        <w:color w:val="4C4C4C" w:themeColor="text1"/>
      </w:rPr>
      <w:tblPr/>
      <w:tcPr>
        <w:shd w:val="clear" w:color="auto" w:fill="F5F8FB" w:themeFill="accent4"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CF2F8" w:themeFill="accent4" w:themeFillTint="33"/>
      </w:tcPr>
    </w:tblStylePr>
    <w:tblStylePr w:type="band1Vert">
      <w:tblPr/>
      <w:tcPr>
        <w:shd w:val="clear" w:color="auto" w:fill="D2DFEE" w:themeFill="accent4" w:themeFillTint="7F"/>
      </w:tcPr>
    </w:tblStylePr>
    <w:tblStylePr w:type="band1Horz">
      <w:tblPr/>
      <w:tcPr>
        <w:tcBorders>
          <w:insideH w:val="single" w:sz="6" w:space="0" w:color="A5C0DE" w:themeColor="accent4"/>
          <w:insideV w:val="single" w:sz="6" w:space="0" w:color="A5C0DE" w:themeColor="accent4"/>
        </w:tcBorders>
        <w:shd w:val="clear" w:color="auto" w:fill="D2D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insideH w:val="single" w:sz="8" w:space="0" w:color="88ABD3" w:themeColor="accent5"/>
        <w:insideV w:val="single" w:sz="8" w:space="0" w:color="88ABD3" w:themeColor="accent5"/>
      </w:tblBorders>
    </w:tblPr>
    <w:tcPr>
      <w:shd w:val="clear" w:color="auto" w:fill="E1EAF4" w:themeFill="accent5" w:themeFillTint="3F"/>
    </w:tcPr>
    <w:tblStylePr w:type="firstRow">
      <w:rPr>
        <w:b/>
        <w:bCs/>
        <w:color w:val="4C4C4C" w:themeColor="text1"/>
      </w:rPr>
      <w:tblPr/>
      <w:tcPr>
        <w:shd w:val="clear" w:color="auto" w:fill="F3F6FA" w:themeFill="accent5"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7EEF6" w:themeFill="accent5" w:themeFillTint="33"/>
      </w:tcPr>
    </w:tblStylePr>
    <w:tblStylePr w:type="band1Vert">
      <w:tblPr/>
      <w:tcPr>
        <w:shd w:val="clear" w:color="auto" w:fill="C3D5E9" w:themeFill="accent5" w:themeFillTint="7F"/>
      </w:tcPr>
    </w:tblStylePr>
    <w:tblStylePr w:type="band1Horz">
      <w:tblPr/>
      <w:tcPr>
        <w:tcBorders>
          <w:insideH w:val="single" w:sz="6" w:space="0" w:color="88ABD3" w:themeColor="accent5"/>
          <w:insideV w:val="single" w:sz="6" w:space="0" w:color="88ABD3" w:themeColor="accent5"/>
        </w:tcBorders>
        <w:shd w:val="clear" w:color="auto" w:fill="C3D5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insideH w:val="single" w:sz="8" w:space="0" w:color="5578A0" w:themeColor="accent6"/>
        <w:insideV w:val="single" w:sz="8" w:space="0" w:color="5578A0" w:themeColor="accent6"/>
      </w:tblBorders>
    </w:tblPr>
    <w:tcPr>
      <w:shd w:val="clear" w:color="auto" w:fill="D4DDE8" w:themeFill="accent6" w:themeFillTint="3F"/>
    </w:tcPr>
    <w:tblStylePr w:type="firstRow">
      <w:rPr>
        <w:b/>
        <w:bCs/>
        <w:color w:val="4C4C4C" w:themeColor="text1"/>
      </w:rPr>
      <w:tblPr/>
      <w:tcPr>
        <w:shd w:val="clear" w:color="auto" w:fill="EEF1F6" w:themeFill="accent6"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CE3EC" w:themeFill="accent6" w:themeFillTint="33"/>
      </w:tcPr>
    </w:tblStylePr>
    <w:tblStylePr w:type="band1Vert">
      <w:tblPr/>
      <w:tcPr>
        <w:shd w:val="clear" w:color="auto" w:fill="A8BBD1" w:themeFill="accent6" w:themeFillTint="7F"/>
      </w:tcPr>
    </w:tblStylePr>
    <w:tblStylePr w:type="band1Horz">
      <w:tblPr/>
      <w:tcPr>
        <w:tcBorders>
          <w:insideH w:val="single" w:sz="6" w:space="0" w:color="5578A0" w:themeColor="accent6"/>
          <w:insideV w:val="single" w:sz="6" w:space="0" w:color="5578A0" w:themeColor="accent6"/>
        </w:tcBorders>
        <w:shd w:val="clear" w:color="auto" w:fill="A8BBD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4C4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4C4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4C4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4C4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A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A5"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6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6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6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6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A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AE4"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5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5A7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5A7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5A7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5A7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ACC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ACC7"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DF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DF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DF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DF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EE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EEF7"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0D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0D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0D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0D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FEE"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A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AB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AB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AB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AB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D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D5E9"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D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8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8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8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8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B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BD1"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4C4C4C" w:themeColor="text1"/>
    </w:rPr>
    <w:tblPr>
      <w:tblStyleRowBandSize w:val="1"/>
      <w:tblStyleColBandSize w:val="1"/>
      <w:tblBorders>
        <w:top w:val="single" w:sz="8" w:space="0" w:color="4C4C4C" w:themeColor="text1"/>
        <w:bottom w:val="single" w:sz="8" w:space="0" w:color="4C4C4C" w:themeColor="text1"/>
      </w:tblBorders>
    </w:tblPr>
    <w:tblStylePr w:type="firstRow">
      <w:rPr>
        <w:rFonts w:asciiTheme="majorHAnsi" w:eastAsiaTheme="majorEastAsia" w:hAnsiTheme="majorHAnsi" w:cstheme="majorBidi"/>
      </w:rPr>
      <w:tblPr/>
      <w:tcPr>
        <w:tcBorders>
          <w:top w:val="nil"/>
          <w:bottom w:val="single" w:sz="8" w:space="0" w:color="4C4C4C" w:themeColor="text1"/>
        </w:tcBorders>
      </w:tcPr>
    </w:tblStylePr>
    <w:tblStylePr w:type="lastRow">
      <w:rPr>
        <w:b/>
        <w:bCs/>
        <w:color w:val="2A3C50" w:themeColor="text2"/>
      </w:rPr>
      <w:tblPr/>
      <w:tcPr>
        <w:tcBorders>
          <w:top w:val="single" w:sz="8" w:space="0" w:color="4C4C4C" w:themeColor="text1"/>
          <w:bottom w:val="single" w:sz="8" w:space="0" w:color="4C4C4C" w:themeColor="text1"/>
        </w:tcBorders>
      </w:tcPr>
    </w:tblStylePr>
    <w:tblStylePr w:type="firstCol">
      <w:rPr>
        <w:b/>
        <w:bCs/>
      </w:rPr>
    </w:tblStylePr>
    <w:tblStylePr w:type="lastCol">
      <w:rPr>
        <w:b/>
        <w:bCs/>
      </w:rPr>
      <w:tblPr/>
      <w:tcPr>
        <w:tcBorders>
          <w:top w:val="single" w:sz="8" w:space="0" w:color="4C4C4C" w:themeColor="text1"/>
          <w:bottom w:val="single" w:sz="8" w:space="0" w:color="4C4C4C" w:themeColor="text1"/>
        </w:tcBorders>
      </w:tcPr>
    </w:tblStylePr>
    <w:tblStylePr w:type="band1Vert">
      <w:tblPr/>
      <w:tcPr>
        <w:shd w:val="clear" w:color="auto" w:fill="D2D2D2" w:themeFill="text1" w:themeFillTint="3F"/>
      </w:tcPr>
    </w:tblStylePr>
    <w:tblStylePr w:type="band1Horz">
      <w:tblPr/>
      <w:tcPr>
        <w:shd w:val="clear" w:color="auto" w:fill="D2D2D2" w:themeFill="text1" w:themeFillTint="3F"/>
      </w:tcPr>
    </w:tblStylePr>
  </w:style>
  <w:style w:type="table" w:styleId="MediumList1-Accent1">
    <w:name w:val="Medium List 1 Accent 1"/>
    <w:basedOn w:val="TableNormal"/>
    <w:uiPriority w:val="65"/>
    <w:unhideWhenUsed/>
    <w:rsid w:val="005225B2"/>
    <w:pPr>
      <w:spacing w:after="0" w:line="240" w:lineRule="auto"/>
    </w:pPr>
    <w:rPr>
      <w:color w:val="4C4C4C" w:themeColor="text1"/>
    </w:rPr>
    <w:tblPr>
      <w:tblStyleRowBandSize w:val="1"/>
      <w:tblStyleColBandSize w:val="1"/>
      <w:tblBorders>
        <w:top w:val="single" w:sz="8" w:space="0" w:color="6996C9" w:themeColor="accent1"/>
        <w:bottom w:val="single" w:sz="8" w:space="0" w:color="6996C9" w:themeColor="accent1"/>
      </w:tblBorders>
    </w:tblPr>
    <w:tblStylePr w:type="firstRow">
      <w:rPr>
        <w:rFonts w:asciiTheme="majorHAnsi" w:eastAsiaTheme="majorEastAsia" w:hAnsiTheme="majorHAnsi" w:cstheme="majorBidi"/>
      </w:rPr>
      <w:tblPr/>
      <w:tcPr>
        <w:tcBorders>
          <w:top w:val="nil"/>
          <w:bottom w:val="single" w:sz="8" w:space="0" w:color="6996C9" w:themeColor="accent1"/>
        </w:tcBorders>
      </w:tcPr>
    </w:tblStylePr>
    <w:tblStylePr w:type="lastRow">
      <w:rPr>
        <w:b/>
        <w:bCs/>
        <w:color w:val="2A3C50" w:themeColor="text2"/>
      </w:rPr>
      <w:tblPr/>
      <w:tcPr>
        <w:tcBorders>
          <w:top w:val="single" w:sz="8" w:space="0" w:color="6996C9" w:themeColor="accent1"/>
          <w:bottom w:val="single" w:sz="8" w:space="0" w:color="6996C9" w:themeColor="accent1"/>
        </w:tcBorders>
      </w:tcPr>
    </w:tblStylePr>
    <w:tblStylePr w:type="firstCol">
      <w:rPr>
        <w:b/>
        <w:bCs/>
      </w:rPr>
    </w:tblStylePr>
    <w:tblStylePr w:type="lastCol">
      <w:rPr>
        <w:b/>
        <w:bCs/>
      </w:rPr>
      <w:tblPr/>
      <w:tcPr>
        <w:tcBorders>
          <w:top w:val="single" w:sz="8" w:space="0" w:color="6996C9" w:themeColor="accent1"/>
          <w:bottom w:val="single" w:sz="8" w:space="0" w:color="6996C9" w:themeColor="accent1"/>
        </w:tcBorders>
      </w:tcPr>
    </w:tblStylePr>
    <w:tblStylePr w:type="band1Vert">
      <w:tblPr/>
      <w:tcPr>
        <w:shd w:val="clear" w:color="auto" w:fill="D9E4F1" w:themeFill="accent1" w:themeFillTint="3F"/>
      </w:tcPr>
    </w:tblStylePr>
    <w:tblStylePr w:type="band1Horz">
      <w:tblPr/>
      <w:tcPr>
        <w:shd w:val="clear" w:color="auto" w:fill="D9E4F1"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4C4C4C" w:themeColor="text1"/>
    </w:rPr>
    <w:tblPr>
      <w:tblStyleRowBandSize w:val="1"/>
      <w:tblStyleColBandSize w:val="1"/>
      <w:tblBorders>
        <w:top w:val="single" w:sz="8" w:space="0" w:color="3F5A78" w:themeColor="accent2"/>
        <w:bottom w:val="single" w:sz="8" w:space="0" w:color="3F5A78" w:themeColor="accent2"/>
      </w:tblBorders>
    </w:tblPr>
    <w:tblStylePr w:type="firstRow">
      <w:rPr>
        <w:rFonts w:asciiTheme="majorHAnsi" w:eastAsiaTheme="majorEastAsia" w:hAnsiTheme="majorHAnsi" w:cstheme="majorBidi"/>
      </w:rPr>
      <w:tblPr/>
      <w:tcPr>
        <w:tcBorders>
          <w:top w:val="nil"/>
          <w:bottom w:val="single" w:sz="8" w:space="0" w:color="3F5A78" w:themeColor="accent2"/>
        </w:tcBorders>
      </w:tcPr>
    </w:tblStylePr>
    <w:tblStylePr w:type="lastRow">
      <w:rPr>
        <w:b/>
        <w:bCs/>
        <w:color w:val="2A3C50" w:themeColor="text2"/>
      </w:rPr>
      <w:tblPr/>
      <w:tcPr>
        <w:tcBorders>
          <w:top w:val="single" w:sz="8" w:space="0" w:color="3F5A78" w:themeColor="accent2"/>
          <w:bottom w:val="single" w:sz="8" w:space="0" w:color="3F5A78" w:themeColor="accent2"/>
        </w:tcBorders>
      </w:tcPr>
    </w:tblStylePr>
    <w:tblStylePr w:type="firstCol">
      <w:rPr>
        <w:b/>
        <w:bCs/>
      </w:rPr>
    </w:tblStylePr>
    <w:tblStylePr w:type="lastCol">
      <w:rPr>
        <w:b/>
        <w:bCs/>
      </w:rPr>
      <w:tblPr/>
      <w:tcPr>
        <w:tcBorders>
          <w:top w:val="single" w:sz="8" w:space="0" w:color="3F5A78" w:themeColor="accent2"/>
          <w:bottom w:val="single" w:sz="8" w:space="0" w:color="3F5A78" w:themeColor="accent2"/>
        </w:tcBorders>
      </w:tcPr>
    </w:tblStylePr>
    <w:tblStylePr w:type="band1Vert">
      <w:tblPr/>
      <w:tcPr>
        <w:shd w:val="clear" w:color="auto" w:fill="C9D5E3" w:themeFill="accent2" w:themeFillTint="3F"/>
      </w:tcPr>
    </w:tblStylePr>
    <w:tblStylePr w:type="band1Horz">
      <w:tblPr/>
      <w:tcPr>
        <w:shd w:val="clear" w:color="auto" w:fill="C9D5E3"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4C4C4C" w:themeColor="text1"/>
    </w:rPr>
    <w:tblPr>
      <w:tblStyleRowBandSize w:val="1"/>
      <w:tblStyleColBandSize w:val="1"/>
      <w:tblBorders>
        <w:top w:val="single" w:sz="8" w:space="0" w:color="D2DFEF" w:themeColor="accent3"/>
        <w:bottom w:val="single" w:sz="8" w:space="0" w:color="D2DFEF" w:themeColor="accent3"/>
      </w:tblBorders>
    </w:tblPr>
    <w:tblStylePr w:type="firstRow">
      <w:rPr>
        <w:rFonts w:asciiTheme="majorHAnsi" w:eastAsiaTheme="majorEastAsia" w:hAnsiTheme="majorHAnsi" w:cstheme="majorBidi"/>
      </w:rPr>
      <w:tblPr/>
      <w:tcPr>
        <w:tcBorders>
          <w:top w:val="nil"/>
          <w:bottom w:val="single" w:sz="8" w:space="0" w:color="D2DFEF" w:themeColor="accent3"/>
        </w:tcBorders>
      </w:tcPr>
    </w:tblStylePr>
    <w:tblStylePr w:type="lastRow">
      <w:rPr>
        <w:b/>
        <w:bCs/>
        <w:color w:val="2A3C50" w:themeColor="text2"/>
      </w:rPr>
      <w:tblPr/>
      <w:tcPr>
        <w:tcBorders>
          <w:top w:val="single" w:sz="8" w:space="0" w:color="D2DFEF" w:themeColor="accent3"/>
          <w:bottom w:val="single" w:sz="8" w:space="0" w:color="D2DFEF" w:themeColor="accent3"/>
        </w:tcBorders>
      </w:tcPr>
    </w:tblStylePr>
    <w:tblStylePr w:type="firstCol">
      <w:rPr>
        <w:b/>
        <w:bCs/>
      </w:rPr>
    </w:tblStylePr>
    <w:tblStylePr w:type="lastCol">
      <w:rPr>
        <w:b/>
        <w:bCs/>
      </w:rPr>
      <w:tblPr/>
      <w:tcPr>
        <w:tcBorders>
          <w:top w:val="single" w:sz="8" w:space="0" w:color="D2DFEF" w:themeColor="accent3"/>
          <w:bottom w:val="single" w:sz="8" w:space="0" w:color="D2DFEF" w:themeColor="accent3"/>
        </w:tcBorders>
      </w:tcPr>
    </w:tblStylePr>
    <w:tblStylePr w:type="band1Vert">
      <w:tblPr/>
      <w:tcPr>
        <w:shd w:val="clear" w:color="auto" w:fill="F3F6FB" w:themeFill="accent3" w:themeFillTint="3F"/>
      </w:tcPr>
    </w:tblStylePr>
    <w:tblStylePr w:type="band1Horz">
      <w:tblPr/>
      <w:tcPr>
        <w:shd w:val="clear" w:color="auto" w:fill="F3F6FB"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4C4C4C" w:themeColor="text1"/>
    </w:rPr>
    <w:tblPr>
      <w:tblStyleRowBandSize w:val="1"/>
      <w:tblStyleColBandSize w:val="1"/>
      <w:tblBorders>
        <w:top w:val="single" w:sz="8" w:space="0" w:color="A5C0DE" w:themeColor="accent4"/>
        <w:bottom w:val="single" w:sz="8" w:space="0" w:color="A5C0DE" w:themeColor="accent4"/>
      </w:tblBorders>
    </w:tblPr>
    <w:tblStylePr w:type="firstRow">
      <w:rPr>
        <w:rFonts w:asciiTheme="majorHAnsi" w:eastAsiaTheme="majorEastAsia" w:hAnsiTheme="majorHAnsi" w:cstheme="majorBidi"/>
      </w:rPr>
      <w:tblPr/>
      <w:tcPr>
        <w:tcBorders>
          <w:top w:val="nil"/>
          <w:bottom w:val="single" w:sz="8" w:space="0" w:color="A5C0DE" w:themeColor="accent4"/>
        </w:tcBorders>
      </w:tcPr>
    </w:tblStylePr>
    <w:tblStylePr w:type="lastRow">
      <w:rPr>
        <w:b/>
        <w:bCs/>
        <w:color w:val="2A3C50" w:themeColor="text2"/>
      </w:rPr>
      <w:tblPr/>
      <w:tcPr>
        <w:tcBorders>
          <w:top w:val="single" w:sz="8" w:space="0" w:color="A5C0DE" w:themeColor="accent4"/>
          <w:bottom w:val="single" w:sz="8" w:space="0" w:color="A5C0DE" w:themeColor="accent4"/>
        </w:tcBorders>
      </w:tcPr>
    </w:tblStylePr>
    <w:tblStylePr w:type="firstCol">
      <w:rPr>
        <w:b/>
        <w:bCs/>
      </w:rPr>
    </w:tblStylePr>
    <w:tblStylePr w:type="lastCol">
      <w:rPr>
        <w:b/>
        <w:bCs/>
      </w:rPr>
      <w:tblPr/>
      <w:tcPr>
        <w:tcBorders>
          <w:top w:val="single" w:sz="8" w:space="0" w:color="A5C0DE" w:themeColor="accent4"/>
          <w:bottom w:val="single" w:sz="8" w:space="0" w:color="A5C0DE" w:themeColor="accent4"/>
        </w:tcBorders>
      </w:tcPr>
    </w:tblStylePr>
    <w:tblStylePr w:type="band1Vert">
      <w:tblPr/>
      <w:tcPr>
        <w:shd w:val="clear" w:color="auto" w:fill="E8EFF6" w:themeFill="accent4" w:themeFillTint="3F"/>
      </w:tcPr>
    </w:tblStylePr>
    <w:tblStylePr w:type="band1Horz">
      <w:tblPr/>
      <w:tcPr>
        <w:shd w:val="clear" w:color="auto" w:fill="E8EFF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4C4C4C" w:themeColor="text1"/>
    </w:rPr>
    <w:tblPr>
      <w:tblStyleRowBandSize w:val="1"/>
      <w:tblStyleColBandSize w:val="1"/>
      <w:tblBorders>
        <w:top w:val="single" w:sz="8" w:space="0" w:color="88ABD3" w:themeColor="accent5"/>
        <w:bottom w:val="single" w:sz="8" w:space="0" w:color="88ABD3" w:themeColor="accent5"/>
      </w:tblBorders>
    </w:tblPr>
    <w:tblStylePr w:type="firstRow">
      <w:rPr>
        <w:rFonts w:asciiTheme="majorHAnsi" w:eastAsiaTheme="majorEastAsia" w:hAnsiTheme="majorHAnsi" w:cstheme="majorBidi"/>
      </w:rPr>
      <w:tblPr/>
      <w:tcPr>
        <w:tcBorders>
          <w:top w:val="nil"/>
          <w:bottom w:val="single" w:sz="8" w:space="0" w:color="88ABD3" w:themeColor="accent5"/>
        </w:tcBorders>
      </w:tcPr>
    </w:tblStylePr>
    <w:tblStylePr w:type="lastRow">
      <w:rPr>
        <w:b/>
        <w:bCs/>
        <w:color w:val="2A3C50" w:themeColor="text2"/>
      </w:rPr>
      <w:tblPr/>
      <w:tcPr>
        <w:tcBorders>
          <w:top w:val="single" w:sz="8" w:space="0" w:color="88ABD3" w:themeColor="accent5"/>
          <w:bottom w:val="single" w:sz="8" w:space="0" w:color="88ABD3" w:themeColor="accent5"/>
        </w:tcBorders>
      </w:tcPr>
    </w:tblStylePr>
    <w:tblStylePr w:type="firstCol">
      <w:rPr>
        <w:b/>
        <w:bCs/>
      </w:rPr>
    </w:tblStylePr>
    <w:tblStylePr w:type="lastCol">
      <w:rPr>
        <w:b/>
        <w:bCs/>
      </w:rPr>
      <w:tblPr/>
      <w:tcPr>
        <w:tcBorders>
          <w:top w:val="single" w:sz="8" w:space="0" w:color="88ABD3" w:themeColor="accent5"/>
          <w:bottom w:val="single" w:sz="8" w:space="0" w:color="88ABD3" w:themeColor="accent5"/>
        </w:tcBorders>
      </w:tcPr>
    </w:tblStylePr>
    <w:tblStylePr w:type="band1Vert">
      <w:tblPr/>
      <w:tcPr>
        <w:shd w:val="clear" w:color="auto" w:fill="E1EAF4" w:themeFill="accent5" w:themeFillTint="3F"/>
      </w:tcPr>
    </w:tblStylePr>
    <w:tblStylePr w:type="band1Horz">
      <w:tblPr/>
      <w:tcPr>
        <w:shd w:val="clear" w:color="auto" w:fill="E1EAF4"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4C4C4C" w:themeColor="text1"/>
    </w:rPr>
    <w:tblPr>
      <w:tblStyleRowBandSize w:val="1"/>
      <w:tblStyleColBandSize w:val="1"/>
      <w:tblBorders>
        <w:top w:val="single" w:sz="8" w:space="0" w:color="5578A0" w:themeColor="accent6"/>
        <w:bottom w:val="single" w:sz="8" w:space="0" w:color="5578A0" w:themeColor="accent6"/>
      </w:tblBorders>
    </w:tblPr>
    <w:tblStylePr w:type="firstRow">
      <w:rPr>
        <w:rFonts w:asciiTheme="majorHAnsi" w:eastAsiaTheme="majorEastAsia" w:hAnsiTheme="majorHAnsi" w:cstheme="majorBidi"/>
      </w:rPr>
      <w:tblPr/>
      <w:tcPr>
        <w:tcBorders>
          <w:top w:val="nil"/>
          <w:bottom w:val="single" w:sz="8" w:space="0" w:color="5578A0" w:themeColor="accent6"/>
        </w:tcBorders>
      </w:tcPr>
    </w:tblStylePr>
    <w:tblStylePr w:type="lastRow">
      <w:rPr>
        <w:b/>
        <w:bCs/>
        <w:color w:val="2A3C50" w:themeColor="text2"/>
      </w:rPr>
      <w:tblPr/>
      <w:tcPr>
        <w:tcBorders>
          <w:top w:val="single" w:sz="8" w:space="0" w:color="5578A0" w:themeColor="accent6"/>
          <w:bottom w:val="single" w:sz="8" w:space="0" w:color="5578A0" w:themeColor="accent6"/>
        </w:tcBorders>
      </w:tcPr>
    </w:tblStylePr>
    <w:tblStylePr w:type="firstCol">
      <w:rPr>
        <w:b/>
        <w:bCs/>
      </w:rPr>
    </w:tblStylePr>
    <w:tblStylePr w:type="lastCol">
      <w:rPr>
        <w:b/>
        <w:bCs/>
      </w:rPr>
      <w:tblPr/>
      <w:tcPr>
        <w:tcBorders>
          <w:top w:val="single" w:sz="8" w:space="0" w:color="5578A0" w:themeColor="accent6"/>
          <w:bottom w:val="single" w:sz="8" w:space="0" w:color="5578A0" w:themeColor="accent6"/>
        </w:tcBorders>
      </w:tcPr>
    </w:tblStylePr>
    <w:tblStylePr w:type="band1Vert">
      <w:tblPr/>
      <w:tcPr>
        <w:shd w:val="clear" w:color="auto" w:fill="D4DDE8" w:themeFill="accent6" w:themeFillTint="3F"/>
      </w:tcPr>
    </w:tblStylePr>
    <w:tblStylePr w:type="band1Horz">
      <w:tblPr/>
      <w:tcPr>
        <w:shd w:val="clear" w:color="auto" w:fill="D4DDE8"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tblBorders>
    </w:tblPr>
    <w:tblStylePr w:type="firstRow">
      <w:rPr>
        <w:sz w:val="24"/>
        <w:szCs w:val="24"/>
      </w:rPr>
      <w:tblPr/>
      <w:tcPr>
        <w:tcBorders>
          <w:top w:val="nil"/>
          <w:left w:val="nil"/>
          <w:bottom w:val="single" w:sz="24" w:space="0" w:color="4C4C4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4C4C" w:themeColor="text1"/>
          <w:insideH w:val="nil"/>
          <w:insideV w:val="nil"/>
        </w:tcBorders>
        <w:shd w:val="clear" w:color="auto" w:fill="FFFFFF" w:themeFill="background1"/>
      </w:tcPr>
    </w:tblStylePr>
    <w:tblStylePr w:type="lastCol">
      <w:tblPr/>
      <w:tcPr>
        <w:tcBorders>
          <w:top w:val="nil"/>
          <w:left w:val="single" w:sz="8" w:space="0" w:color="4C4C4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2" w:themeFill="text1" w:themeFillTint="3F"/>
      </w:tcPr>
    </w:tblStylePr>
    <w:tblStylePr w:type="band1Horz">
      <w:tblPr/>
      <w:tcPr>
        <w:tcBorders>
          <w:top w:val="nil"/>
          <w:bottom w:val="nil"/>
          <w:insideH w:val="nil"/>
          <w:insideV w:val="nil"/>
        </w:tcBorders>
        <w:shd w:val="clear" w:color="auto" w:fill="D2D2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tblBorders>
    </w:tblPr>
    <w:tblStylePr w:type="firstRow">
      <w:rPr>
        <w:sz w:val="24"/>
        <w:szCs w:val="24"/>
      </w:rPr>
      <w:tblPr/>
      <w:tcPr>
        <w:tcBorders>
          <w:top w:val="nil"/>
          <w:left w:val="nil"/>
          <w:bottom w:val="single" w:sz="24" w:space="0" w:color="6996C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6C9" w:themeColor="accent1"/>
          <w:insideH w:val="nil"/>
          <w:insideV w:val="nil"/>
        </w:tcBorders>
        <w:shd w:val="clear" w:color="auto" w:fill="FFFFFF" w:themeFill="background1"/>
      </w:tcPr>
    </w:tblStylePr>
    <w:tblStylePr w:type="lastCol">
      <w:tblPr/>
      <w:tcPr>
        <w:tcBorders>
          <w:top w:val="nil"/>
          <w:left w:val="single" w:sz="8" w:space="0" w:color="6996C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F1" w:themeFill="accent1" w:themeFillTint="3F"/>
      </w:tcPr>
    </w:tblStylePr>
    <w:tblStylePr w:type="band1Horz">
      <w:tblPr/>
      <w:tcPr>
        <w:tcBorders>
          <w:top w:val="nil"/>
          <w:bottom w:val="nil"/>
          <w:insideH w:val="nil"/>
          <w:insideV w:val="nil"/>
        </w:tcBorders>
        <w:shd w:val="clear" w:color="auto" w:fill="D9E4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tblBorders>
    </w:tblPr>
    <w:tblStylePr w:type="firstRow">
      <w:rPr>
        <w:sz w:val="24"/>
        <w:szCs w:val="24"/>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5A78" w:themeColor="accent2"/>
          <w:insideH w:val="nil"/>
          <w:insideV w:val="nil"/>
        </w:tcBorders>
        <w:shd w:val="clear" w:color="auto" w:fill="FFFFFF" w:themeFill="background1"/>
      </w:tcPr>
    </w:tblStylePr>
    <w:tblStylePr w:type="lastCol">
      <w:tblPr/>
      <w:tcPr>
        <w:tcBorders>
          <w:top w:val="nil"/>
          <w:left w:val="single" w:sz="8" w:space="0" w:color="3F5A7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5E3" w:themeFill="accent2" w:themeFillTint="3F"/>
      </w:tcPr>
    </w:tblStylePr>
    <w:tblStylePr w:type="band1Horz">
      <w:tblPr/>
      <w:tcPr>
        <w:tcBorders>
          <w:top w:val="nil"/>
          <w:bottom w:val="nil"/>
          <w:insideH w:val="nil"/>
          <w:insideV w:val="nil"/>
        </w:tcBorders>
        <w:shd w:val="clear" w:color="auto" w:fill="C9D5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tblBorders>
    </w:tblPr>
    <w:tblStylePr w:type="firstRow">
      <w:rPr>
        <w:sz w:val="24"/>
        <w:szCs w:val="24"/>
      </w:rPr>
      <w:tblPr/>
      <w:tcPr>
        <w:tcBorders>
          <w:top w:val="nil"/>
          <w:left w:val="nil"/>
          <w:bottom w:val="single" w:sz="24" w:space="0" w:color="D2DFE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DFEF" w:themeColor="accent3"/>
          <w:insideH w:val="nil"/>
          <w:insideV w:val="nil"/>
        </w:tcBorders>
        <w:shd w:val="clear" w:color="auto" w:fill="FFFFFF" w:themeFill="background1"/>
      </w:tcPr>
    </w:tblStylePr>
    <w:tblStylePr w:type="lastCol">
      <w:tblPr/>
      <w:tcPr>
        <w:tcBorders>
          <w:top w:val="nil"/>
          <w:left w:val="single" w:sz="8" w:space="0" w:color="D2DF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FB" w:themeFill="accent3" w:themeFillTint="3F"/>
      </w:tcPr>
    </w:tblStylePr>
    <w:tblStylePr w:type="band1Horz">
      <w:tblPr/>
      <w:tcPr>
        <w:tcBorders>
          <w:top w:val="nil"/>
          <w:bottom w:val="nil"/>
          <w:insideH w:val="nil"/>
          <w:insideV w:val="nil"/>
        </w:tcBorders>
        <w:shd w:val="clear" w:color="auto" w:fill="F3F6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tblBorders>
    </w:tblPr>
    <w:tblStylePr w:type="firstRow">
      <w:rPr>
        <w:sz w:val="24"/>
        <w:szCs w:val="24"/>
      </w:rPr>
      <w:tblPr/>
      <w:tcPr>
        <w:tcBorders>
          <w:top w:val="nil"/>
          <w:left w:val="nil"/>
          <w:bottom w:val="single" w:sz="24" w:space="0" w:color="A5C0D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0DE" w:themeColor="accent4"/>
          <w:insideH w:val="nil"/>
          <w:insideV w:val="nil"/>
        </w:tcBorders>
        <w:shd w:val="clear" w:color="auto" w:fill="FFFFFF" w:themeFill="background1"/>
      </w:tcPr>
    </w:tblStylePr>
    <w:tblStylePr w:type="lastCol">
      <w:tblPr/>
      <w:tcPr>
        <w:tcBorders>
          <w:top w:val="nil"/>
          <w:left w:val="single" w:sz="8" w:space="0" w:color="A5C0D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FF6" w:themeFill="accent4" w:themeFillTint="3F"/>
      </w:tcPr>
    </w:tblStylePr>
    <w:tblStylePr w:type="band1Horz">
      <w:tblPr/>
      <w:tcPr>
        <w:tcBorders>
          <w:top w:val="nil"/>
          <w:bottom w:val="nil"/>
          <w:insideH w:val="nil"/>
          <w:insideV w:val="nil"/>
        </w:tcBorders>
        <w:shd w:val="clear" w:color="auto" w:fill="E8E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tblBorders>
    </w:tblPr>
    <w:tblStylePr w:type="firstRow">
      <w:rPr>
        <w:sz w:val="24"/>
        <w:szCs w:val="24"/>
      </w:rPr>
      <w:tblPr/>
      <w:tcPr>
        <w:tcBorders>
          <w:top w:val="nil"/>
          <w:left w:val="nil"/>
          <w:bottom w:val="single" w:sz="24" w:space="0" w:color="88ABD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ABD3" w:themeColor="accent5"/>
          <w:insideH w:val="nil"/>
          <w:insideV w:val="nil"/>
        </w:tcBorders>
        <w:shd w:val="clear" w:color="auto" w:fill="FFFFFF" w:themeFill="background1"/>
      </w:tcPr>
    </w:tblStylePr>
    <w:tblStylePr w:type="lastCol">
      <w:tblPr/>
      <w:tcPr>
        <w:tcBorders>
          <w:top w:val="nil"/>
          <w:left w:val="single" w:sz="8" w:space="0" w:color="88AB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AF4" w:themeFill="accent5" w:themeFillTint="3F"/>
      </w:tcPr>
    </w:tblStylePr>
    <w:tblStylePr w:type="band1Horz">
      <w:tblPr/>
      <w:tcPr>
        <w:tcBorders>
          <w:top w:val="nil"/>
          <w:bottom w:val="nil"/>
          <w:insideH w:val="nil"/>
          <w:insideV w:val="nil"/>
        </w:tcBorders>
        <w:shd w:val="clear" w:color="auto" w:fill="E1EA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tblBorders>
    </w:tblPr>
    <w:tblStylePr w:type="firstRow">
      <w:rPr>
        <w:sz w:val="24"/>
        <w:szCs w:val="24"/>
      </w:rPr>
      <w:tblPr/>
      <w:tcPr>
        <w:tcBorders>
          <w:top w:val="nil"/>
          <w:left w:val="nil"/>
          <w:bottom w:val="single" w:sz="24" w:space="0" w:color="5578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8A0" w:themeColor="accent6"/>
          <w:insideH w:val="nil"/>
          <w:insideV w:val="nil"/>
        </w:tcBorders>
        <w:shd w:val="clear" w:color="auto" w:fill="FFFFFF" w:themeFill="background1"/>
      </w:tcPr>
    </w:tblStylePr>
    <w:tblStylePr w:type="lastCol">
      <w:tblPr/>
      <w:tcPr>
        <w:tcBorders>
          <w:top w:val="nil"/>
          <w:left w:val="single" w:sz="8" w:space="0" w:color="5578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DE8" w:themeFill="accent6" w:themeFillTint="3F"/>
      </w:tcPr>
    </w:tblStylePr>
    <w:tblStylePr w:type="band1Horz">
      <w:tblPr/>
      <w:tcPr>
        <w:tcBorders>
          <w:top w:val="nil"/>
          <w:bottom w:val="nil"/>
          <w:insideH w:val="nil"/>
          <w:insideV w:val="nil"/>
        </w:tcBorders>
        <w:shd w:val="clear" w:color="auto" w:fill="D4DD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single" w:sz="8" w:space="0" w:color="787878" w:themeColor="text1" w:themeTint="BF"/>
      </w:tblBorders>
    </w:tblPr>
    <w:tblStylePr w:type="firstRow">
      <w:pPr>
        <w:spacing w:before="0" w:after="0" w:line="240" w:lineRule="auto"/>
      </w:pPr>
      <w:rPr>
        <w:b/>
        <w:bCs/>
        <w:color w:val="FFFFFF" w:themeColor="background1"/>
      </w:rPr>
      <w:tblPr/>
      <w:tcPr>
        <w:tc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nil"/>
          <w:insideV w:val="nil"/>
        </w:tcBorders>
        <w:shd w:val="clear" w:color="auto" w:fill="4C4C4C" w:themeFill="text1"/>
      </w:tcPr>
    </w:tblStylePr>
    <w:tblStylePr w:type="lastRow">
      <w:pPr>
        <w:spacing w:before="0" w:after="0" w:line="240" w:lineRule="auto"/>
      </w:pPr>
      <w:rPr>
        <w:b/>
        <w:bCs/>
      </w:rPr>
      <w:tblPr/>
      <w:tcPr>
        <w:tcBorders>
          <w:top w:val="double" w:sz="6"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nil"/>
          <w:insideV w:val="nil"/>
        </w:tcBorders>
      </w:tcPr>
    </w:tblStylePr>
    <w:tblStylePr w:type="firstCol">
      <w:rPr>
        <w:b/>
        <w:bCs/>
      </w:rPr>
    </w:tblStylePr>
    <w:tblStylePr w:type="lastCol">
      <w:rPr>
        <w:b/>
        <w:bCs/>
      </w:rPr>
    </w:tblStylePr>
    <w:tblStylePr w:type="band1Vert">
      <w:tblPr/>
      <w:tcPr>
        <w:shd w:val="clear" w:color="auto" w:fill="D2D2D2" w:themeFill="text1" w:themeFillTint="3F"/>
      </w:tcPr>
    </w:tblStylePr>
    <w:tblStylePr w:type="band1Horz">
      <w:tblPr/>
      <w:tcPr>
        <w:tcBorders>
          <w:insideH w:val="nil"/>
          <w:insideV w:val="nil"/>
        </w:tcBorders>
        <w:shd w:val="clear" w:color="auto" w:fill="D2D2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5225B2"/>
    <w:pPr>
      <w:spacing w:after="0" w:line="240" w:lineRule="auto"/>
    </w:pPr>
    <w:tblPr>
      <w:tblStyleRowBandSize w:val="1"/>
      <w:tblStyleColBandSize w:val="1"/>
      <w:tbl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single" w:sz="8" w:space="0" w:color="8EB0D6" w:themeColor="accent1" w:themeTint="BF"/>
      </w:tblBorders>
    </w:tblPr>
    <w:tblStylePr w:type="firstRow">
      <w:pPr>
        <w:spacing w:before="0" w:after="0" w:line="240" w:lineRule="auto"/>
      </w:pPr>
      <w:rPr>
        <w:b/>
        <w:bCs/>
        <w:color w:val="FFFFFF" w:themeColor="background1"/>
      </w:rPr>
      <w:tblPr/>
      <w:tcPr>
        <w:tc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shd w:val="clear" w:color="auto" w:fill="6996C9" w:themeFill="accent1"/>
      </w:tcPr>
    </w:tblStylePr>
    <w:tblStylePr w:type="lastRow">
      <w:pPr>
        <w:spacing w:before="0" w:after="0" w:line="240" w:lineRule="auto"/>
      </w:pPr>
      <w:rPr>
        <w:b/>
        <w:bCs/>
      </w:rPr>
      <w:tblPr/>
      <w:tcPr>
        <w:tcBorders>
          <w:top w:val="double" w:sz="6"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4F1" w:themeFill="accent1" w:themeFillTint="3F"/>
      </w:tcPr>
    </w:tblStylePr>
    <w:tblStylePr w:type="band1Horz">
      <w:tblPr/>
      <w:tcPr>
        <w:tcBorders>
          <w:insideH w:val="nil"/>
          <w:insideV w:val="nil"/>
        </w:tcBorders>
        <w:shd w:val="clear" w:color="auto" w:fill="D9E4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5225B2"/>
    <w:pPr>
      <w:spacing w:after="0" w:line="240" w:lineRule="auto"/>
    </w:pPr>
    <w:tblPr>
      <w:tblStyleRowBandSize w:val="1"/>
      <w:tblStyleColBandSize w:val="1"/>
      <w:tbl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single" w:sz="8" w:space="0" w:color="5E82AA" w:themeColor="accent2" w:themeTint="BF"/>
      </w:tblBorders>
    </w:tblPr>
    <w:tblStylePr w:type="firstRow">
      <w:pPr>
        <w:spacing w:before="0" w:after="0" w:line="240" w:lineRule="auto"/>
      </w:pPr>
      <w:rPr>
        <w:b/>
        <w:bCs/>
        <w:color w:val="FFFFFF" w:themeColor="background1"/>
      </w:rPr>
      <w:tblPr/>
      <w:tcPr>
        <w:tc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nil"/>
          <w:insideV w:val="nil"/>
        </w:tcBorders>
        <w:shd w:val="clear" w:color="auto" w:fill="3F5A78" w:themeFill="accent2"/>
      </w:tcPr>
    </w:tblStylePr>
    <w:tblStylePr w:type="lastRow">
      <w:pPr>
        <w:spacing w:before="0" w:after="0" w:line="240" w:lineRule="auto"/>
      </w:pPr>
      <w:rPr>
        <w:b/>
        <w:bCs/>
      </w:rPr>
      <w:tblPr/>
      <w:tcPr>
        <w:tcBorders>
          <w:top w:val="double" w:sz="6"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5E3" w:themeFill="accent2" w:themeFillTint="3F"/>
      </w:tcPr>
    </w:tblStylePr>
    <w:tblStylePr w:type="band1Horz">
      <w:tblPr/>
      <w:tcPr>
        <w:tcBorders>
          <w:insideH w:val="nil"/>
          <w:insideV w:val="nil"/>
        </w:tcBorders>
        <w:shd w:val="clear" w:color="auto" w:fill="C9D5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single" w:sz="8" w:space="0" w:color="DDE6F3" w:themeColor="accent3" w:themeTint="BF"/>
      </w:tblBorders>
    </w:tblPr>
    <w:tblStylePr w:type="firstRow">
      <w:pPr>
        <w:spacing w:before="0" w:after="0" w:line="240" w:lineRule="auto"/>
      </w:pPr>
      <w:rPr>
        <w:b/>
        <w:bCs/>
        <w:color w:val="FFFFFF" w:themeColor="background1"/>
      </w:rPr>
      <w:tblPr/>
      <w:tcPr>
        <w:tc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nil"/>
          <w:insideV w:val="nil"/>
        </w:tcBorders>
        <w:shd w:val="clear" w:color="auto" w:fill="D2DFEF" w:themeFill="accent3"/>
      </w:tcPr>
    </w:tblStylePr>
    <w:tblStylePr w:type="lastRow">
      <w:pPr>
        <w:spacing w:before="0" w:after="0" w:line="240" w:lineRule="auto"/>
      </w:pPr>
      <w:rPr>
        <w:b/>
        <w:bCs/>
      </w:rPr>
      <w:tblPr/>
      <w:tcPr>
        <w:tcBorders>
          <w:top w:val="double" w:sz="6"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6FB" w:themeFill="accent3" w:themeFillTint="3F"/>
      </w:tcPr>
    </w:tblStylePr>
    <w:tblStylePr w:type="band1Horz">
      <w:tblPr/>
      <w:tcPr>
        <w:tcBorders>
          <w:insideH w:val="nil"/>
          <w:insideV w:val="nil"/>
        </w:tcBorders>
        <w:shd w:val="clear" w:color="auto" w:fill="F3F6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5225B2"/>
    <w:pPr>
      <w:spacing w:after="0" w:line="240" w:lineRule="auto"/>
    </w:pPr>
    <w:tblPr>
      <w:tblStyleRowBandSize w:val="1"/>
      <w:tblStyleColBandSize w:val="1"/>
      <w:tbl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single" w:sz="8" w:space="0" w:color="BBCFE6" w:themeColor="accent4" w:themeTint="BF"/>
      </w:tblBorders>
    </w:tblPr>
    <w:tblStylePr w:type="firstRow">
      <w:pPr>
        <w:spacing w:before="0" w:after="0" w:line="240" w:lineRule="auto"/>
      </w:pPr>
      <w:rPr>
        <w:b/>
        <w:bCs/>
        <w:color w:val="FFFFFF" w:themeColor="background1"/>
      </w:rPr>
      <w:tblPr/>
      <w:tcPr>
        <w:tc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nil"/>
          <w:insideV w:val="nil"/>
        </w:tcBorders>
        <w:shd w:val="clear" w:color="auto" w:fill="A5C0DE" w:themeFill="accent4"/>
      </w:tcPr>
    </w:tblStylePr>
    <w:tblStylePr w:type="lastRow">
      <w:pPr>
        <w:spacing w:before="0" w:after="0" w:line="240" w:lineRule="auto"/>
      </w:pPr>
      <w:rPr>
        <w:b/>
        <w:bCs/>
      </w:rPr>
      <w:tblPr/>
      <w:tcPr>
        <w:tcBorders>
          <w:top w:val="double" w:sz="6"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EFF6" w:themeFill="accent4" w:themeFillTint="3F"/>
      </w:tcPr>
    </w:tblStylePr>
    <w:tblStylePr w:type="band1Horz">
      <w:tblPr/>
      <w:tcPr>
        <w:tcBorders>
          <w:insideH w:val="nil"/>
          <w:insideV w:val="nil"/>
        </w:tcBorders>
        <w:shd w:val="clear" w:color="auto" w:fill="E8E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single" w:sz="8" w:space="0" w:color="A5BFDE" w:themeColor="accent5" w:themeTint="BF"/>
      </w:tblBorders>
    </w:tblPr>
    <w:tblStylePr w:type="firstRow">
      <w:pPr>
        <w:spacing w:before="0" w:after="0" w:line="240" w:lineRule="auto"/>
      </w:pPr>
      <w:rPr>
        <w:b/>
        <w:bCs/>
        <w:color w:val="FFFFFF" w:themeColor="background1"/>
      </w:rPr>
      <w:tblPr/>
      <w:tcPr>
        <w:tc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nil"/>
          <w:insideV w:val="nil"/>
        </w:tcBorders>
        <w:shd w:val="clear" w:color="auto" w:fill="88ABD3" w:themeFill="accent5"/>
      </w:tcPr>
    </w:tblStylePr>
    <w:tblStylePr w:type="lastRow">
      <w:pPr>
        <w:spacing w:before="0" w:after="0" w:line="240" w:lineRule="auto"/>
      </w:pPr>
      <w:rPr>
        <w:b/>
        <w:bCs/>
      </w:rPr>
      <w:tblPr/>
      <w:tcPr>
        <w:tcBorders>
          <w:top w:val="double" w:sz="6"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AF4" w:themeFill="accent5" w:themeFillTint="3F"/>
      </w:tcPr>
    </w:tblStylePr>
    <w:tblStylePr w:type="band1Horz">
      <w:tblPr/>
      <w:tcPr>
        <w:tcBorders>
          <w:insideH w:val="nil"/>
          <w:insideV w:val="nil"/>
        </w:tcBorders>
        <w:shd w:val="clear" w:color="auto" w:fill="E1EA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single" w:sz="8" w:space="0" w:color="7D99BA" w:themeColor="accent6" w:themeTint="BF"/>
      </w:tblBorders>
    </w:tblPr>
    <w:tblStylePr w:type="firstRow">
      <w:pPr>
        <w:spacing w:before="0" w:after="0" w:line="240" w:lineRule="auto"/>
      </w:pPr>
      <w:rPr>
        <w:b/>
        <w:bCs/>
        <w:color w:val="FFFFFF" w:themeColor="background1"/>
      </w:rPr>
      <w:tblPr/>
      <w:tcPr>
        <w:tc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nil"/>
          <w:insideV w:val="nil"/>
        </w:tcBorders>
        <w:shd w:val="clear" w:color="auto" w:fill="5578A0" w:themeFill="accent6"/>
      </w:tcPr>
    </w:tblStylePr>
    <w:tblStylePr w:type="lastRow">
      <w:pPr>
        <w:spacing w:before="0" w:after="0" w:line="240" w:lineRule="auto"/>
      </w:pPr>
      <w:rPr>
        <w:b/>
        <w:bCs/>
      </w:rPr>
      <w:tblPr/>
      <w:tcPr>
        <w:tcBorders>
          <w:top w:val="double" w:sz="6"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DE8" w:themeFill="accent6" w:themeFillTint="3F"/>
      </w:tcPr>
    </w:tblStylePr>
    <w:tblStylePr w:type="band1Horz">
      <w:tblPr/>
      <w:tcPr>
        <w:tcBorders>
          <w:insideH w:val="nil"/>
          <w:insideV w:val="nil"/>
        </w:tcBorders>
        <w:shd w:val="clear" w:color="auto" w:fill="D4DD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4C4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4C4C" w:themeFill="text1"/>
      </w:tcPr>
    </w:tblStylePr>
    <w:tblStylePr w:type="lastCol">
      <w:rPr>
        <w:b/>
        <w:bCs/>
        <w:color w:val="FFFFFF" w:themeColor="background1"/>
      </w:rPr>
      <w:tblPr/>
      <w:tcPr>
        <w:tcBorders>
          <w:left w:val="nil"/>
          <w:right w:val="nil"/>
          <w:insideH w:val="nil"/>
          <w:insideV w:val="nil"/>
        </w:tcBorders>
        <w:shd w:val="clear" w:color="auto" w:fill="4C4C4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96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96C9" w:themeFill="accent1"/>
      </w:tcPr>
    </w:tblStylePr>
    <w:tblStylePr w:type="lastCol">
      <w:rPr>
        <w:b/>
        <w:bCs/>
        <w:color w:val="FFFFFF" w:themeColor="background1"/>
      </w:rPr>
      <w:tblPr/>
      <w:tcPr>
        <w:tcBorders>
          <w:left w:val="nil"/>
          <w:right w:val="nil"/>
          <w:insideH w:val="nil"/>
          <w:insideV w:val="nil"/>
        </w:tcBorders>
        <w:shd w:val="clear" w:color="auto" w:fill="6996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5A7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F5A78" w:themeFill="accent2"/>
      </w:tcPr>
    </w:tblStylePr>
    <w:tblStylePr w:type="lastCol">
      <w:rPr>
        <w:b/>
        <w:bCs/>
        <w:color w:val="FFFFFF" w:themeColor="background1"/>
      </w:rPr>
      <w:tblPr/>
      <w:tcPr>
        <w:tcBorders>
          <w:left w:val="nil"/>
          <w:right w:val="nil"/>
          <w:insideH w:val="nil"/>
          <w:insideV w:val="nil"/>
        </w:tcBorders>
        <w:shd w:val="clear" w:color="auto" w:fill="3F5A7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DF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2DFEF" w:themeFill="accent3"/>
      </w:tcPr>
    </w:tblStylePr>
    <w:tblStylePr w:type="lastCol">
      <w:rPr>
        <w:b/>
        <w:bCs/>
        <w:color w:val="FFFFFF" w:themeColor="background1"/>
      </w:rPr>
      <w:tblPr/>
      <w:tcPr>
        <w:tcBorders>
          <w:left w:val="nil"/>
          <w:right w:val="nil"/>
          <w:insideH w:val="nil"/>
          <w:insideV w:val="nil"/>
        </w:tcBorders>
        <w:shd w:val="clear" w:color="auto" w:fill="D2DF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0D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0DE" w:themeFill="accent4"/>
      </w:tcPr>
    </w:tblStylePr>
    <w:tblStylePr w:type="lastCol">
      <w:rPr>
        <w:b/>
        <w:bCs/>
        <w:color w:val="FFFFFF" w:themeColor="background1"/>
      </w:rPr>
      <w:tblPr/>
      <w:tcPr>
        <w:tcBorders>
          <w:left w:val="nil"/>
          <w:right w:val="nil"/>
          <w:insideH w:val="nil"/>
          <w:insideV w:val="nil"/>
        </w:tcBorders>
        <w:shd w:val="clear" w:color="auto" w:fill="A5C0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AB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8ABD3" w:themeFill="accent5"/>
      </w:tcPr>
    </w:tblStylePr>
    <w:tblStylePr w:type="lastCol">
      <w:rPr>
        <w:b/>
        <w:bCs/>
        <w:color w:val="FFFFFF" w:themeColor="background1"/>
      </w:rPr>
      <w:tblPr/>
      <w:tcPr>
        <w:tcBorders>
          <w:left w:val="nil"/>
          <w:right w:val="nil"/>
          <w:insideH w:val="nil"/>
          <w:insideV w:val="nil"/>
        </w:tcBorders>
        <w:shd w:val="clear" w:color="auto" w:fill="88AB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8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78A0" w:themeFill="accent6"/>
      </w:tcPr>
    </w:tblStylePr>
    <w:tblStylePr w:type="lastCol">
      <w:rPr>
        <w:b/>
        <w:bCs/>
        <w:color w:val="FFFFFF" w:themeColor="background1"/>
      </w:rPr>
      <w:tblPr/>
      <w:tcPr>
        <w:tcBorders>
          <w:left w:val="nil"/>
          <w:right w:val="nil"/>
          <w:insideH w:val="nil"/>
          <w:insideV w:val="nil"/>
        </w:tcBorders>
        <w:shd w:val="clear" w:color="auto" w:fill="5578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225B2"/>
    <w:rPr>
      <w:rFonts w:ascii="Times New Roman" w:hAnsi="Times New Roman"/>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A5A5A5" w:themeColor="text1" w:themeTint="80"/>
        <w:bottom w:val="single" w:sz="4" w:space="0" w:color="A5A5A5" w:themeColor="text1" w:themeTint="80"/>
      </w:tblBorders>
    </w:tblPr>
    <w:tblStylePr w:type="firstRow">
      <w:rPr>
        <w:b/>
        <w:bCs/>
      </w:rPr>
      <w:tblPr/>
      <w:tcPr>
        <w:tcBorders>
          <w:bottom w:val="single" w:sz="4" w:space="0" w:color="A5A5A5" w:themeColor="text1" w:themeTint="80"/>
        </w:tcBorders>
      </w:tcPr>
    </w:tblStylePr>
    <w:tblStylePr w:type="lastRow">
      <w:rPr>
        <w:b/>
        <w:bCs/>
      </w:rPr>
      <w:tblPr/>
      <w:tcPr>
        <w:tcBorders>
          <w:top w:val="single" w:sz="4" w:space="0" w:color="A5A5A5" w:themeColor="text1" w:themeTint="80"/>
        </w:tcBorders>
      </w:tcPr>
    </w:tblStylePr>
    <w:tblStylePr w:type="firstCol">
      <w:rPr>
        <w:b/>
        <w:bCs/>
      </w:rPr>
    </w:tblStylePr>
    <w:tblStylePr w:type="lastCol">
      <w:rPr>
        <w:b/>
        <w:bCs/>
      </w:rPr>
    </w:tblStylePr>
    <w:tblStylePr w:type="band1Vert">
      <w:tblPr/>
      <w:tcPr>
        <w:tcBorders>
          <w:left w:val="single" w:sz="4" w:space="0" w:color="A5A5A5" w:themeColor="text1" w:themeTint="80"/>
          <w:right w:val="single" w:sz="4" w:space="0" w:color="A5A5A5" w:themeColor="text1" w:themeTint="80"/>
        </w:tcBorders>
      </w:tcPr>
    </w:tblStylePr>
    <w:tblStylePr w:type="band2Vert">
      <w:tblPr/>
      <w:tcPr>
        <w:tcBorders>
          <w:left w:val="single" w:sz="4" w:space="0" w:color="A5A5A5" w:themeColor="text1" w:themeTint="80"/>
          <w:right w:val="single" w:sz="4" w:space="0" w:color="A5A5A5" w:themeColor="text1" w:themeTint="80"/>
        </w:tcBorders>
      </w:tcPr>
    </w:tblStylePr>
    <w:tblStylePr w:type="band1Horz">
      <w:tblPr/>
      <w:tcPr>
        <w:tcBorders>
          <w:top w:val="single" w:sz="4" w:space="0" w:color="A5A5A5" w:themeColor="text1" w:themeTint="80"/>
          <w:bottom w:val="single" w:sz="4" w:space="0" w:color="A5A5A5"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A5A5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5A5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1">
    <w:name w:val="Smart Hyperlink1"/>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unhideWhenUsed/>
    <w:rsid w:val="00561E0C"/>
    <w:pPr>
      <w:tabs>
        <w:tab w:val="right" w:leader="dot" w:pos="10070"/>
      </w:tabs>
    </w:pPr>
    <w:rPr>
      <w:rFonts w:asciiTheme="minorHAnsi" w:hAnsiTheme="minorHAnsi"/>
      <w:spacing w:val="10"/>
      <w:sz w:val="20"/>
    </w:r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b/>
      <w:bCs/>
      <w:szCs w:val="24"/>
    </w:rPr>
  </w:style>
  <w:style w:type="paragraph" w:styleId="TOCHeading">
    <w:name w:val="TOC Heading"/>
    <w:basedOn w:val="Heading1"/>
    <w:next w:val="Normal"/>
    <w:uiPriority w:val="39"/>
    <w:unhideWhenUsed/>
    <w:qFormat/>
    <w:rsid w:val="002B65CC"/>
    <w:pPr>
      <w:keepNext/>
      <w:keepLines/>
      <w:outlineLvl w:val="9"/>
    </w:pPr>
    <w:rPr>
      <w:rFonts w:eastAsiaTheme="majorEastAsia"/>
      <w:color w:val="284A70" w:themeColor="accent1" w:themeShade="80"/>
      <w:spacing w:val="20"/>
      <w:sz w:val="48"/>
    </w:rPr>
  </w:style>
  <w:style w:type="character" w:customStyle="1" w:styleId="UnresolvedMention1">
    <w:name w:val="Unresolved Mention1"/>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unhideWhenUsed/>
    <w:qFormat/>
    <w:rsid w:val="00431B47"/>
    <w:rPr>
      <w:b/>
      <w:bCs/>
      <w:i/>
      <w:iCs/>
      <w:spacing w:val="0"/>
    </w:rPr>
  </w:style>
  <w:style w:type="character" w:styleId="IntenseEmphasis">
    <w:name w:val="Intense Emphasis"/>
    <w:basedOn w:val="DefaultParagraphFont"/>
    <w:uiPriority w:val="21"/>
    <w:unhideWhenUsed/>
    <w:qFormat/>
    <w:rsid w:val="00653C00"/>
    <w:rPr>
      <w:i/>
      <w:iCs/>
      <w:color w:val="284A70" w:themeColor="accent1" w:themeShade="80"/>
    </w:rPr>
  </w:style>
  <w:style w:type="character" w:styleId="IntenseReference">
    <w:name w:val="Intense Reference"/>
    <w:basedOn w:val="DefaultParagraphFont"/>
    <w:uiPriority w:val="32"/>
    <w:unhideWhenUsed/>
    <w:qFormat/>
    <w:rsid w:val="00431B47"/>
    <w:rPr>
      <w:b/>
      <w:bCs/>
      <w:caps w:val="0"/>
      <w:smallCaps/>
      <w:color w:val="284A70" w:themeColor="accent1" w:themeShade="80"/>
      <w:spacing w:val="0"/>
    </w:rPr>
  </w:style>
  <w:style w:type="paragraph" w:styleId="Caption">
    <w:name w:val="caption"/>
    <w:basedOn w:val="Normal"/>
    <w:next w:val="Normal"/>
    <w:uiPriority w:val="35"/>
    <w:unhideWhenUsed/>
    <w:qFormat/>
    <w:rsid w:val="00B329EA"/>
    <w:pPr>
      <w:spacing w:before="120" w:after="240"/>
    </w:pPr>
    <w:rPr>
      <w:rFonts w:ascii="Century Gothic" w:hAnsi="Century Gothic"/>
      <w:iCs/>
      <w:noProof/>
      <w:sz w:val="20"/>
      <w:szCs w:val="18"/>
    </w:rPr>
  </w:style>
  <w:style w:type="character" w:styleId="Emphasis">
    <w:name w:val="Emphasis"/>
    <w:basedOn w:val="DefaultParagraphFont"/>
    <w:uiPriority w:val="20"/>
    <w:unhideWhenUsed/>
    <w:qFormat/>
    <w:rsid w:val="007D052D"/>
    <w:rPr>
      <w:i/>
      <w:iCs/>
    </w:rPr>
  </w:style>
  <w:style w:type="paragraph" w:styleId="ListBullet">
    <w:name w:val="List Bullet"/>
    <w:basedOn w:val="Normal"/>
    <w:uiPriority w:val="36"/>
    <w:unhideWhenUsed/>
    <w:qFormat/>
    <w:rsid w:val="00F74473"/>
    <w:pPr>
      <w:numPr>
        <w:numId w:val="1"/>
      </w:numPr>
      <w:spacing w:after="120"/>
    </w:pPr>
  </w:style>
  <w:style w:type="paragraph" w:styleId="ListBullet2">
    <w:name w:val="List Bullet 2"/>
    <w:basedOn w:val="Normal"/>
    <w:uiPriority w:val="36"/>
    <w:unhideWhenUsed/>
    <w:qFormat/>
    <w:rsid w:val="00F74473"/>
    <w:pPr>
      <w:numPr>
        <w:numId w:val="11"/>
      </w:numPr>
      <w:spacing w:after="120"/>
    </w:pPr>
  </w:style>
  <w:style w:type="paragraph" w:styleId="ListBullet3">
    <w:name w:val="List Bullet 3"/>
    <w:basedOn w:val="Normal"/>
    <w:uiPriority w:val="36"/>
    <w:unhideWhenUsed/>
    <w:qFormat/>
    <w:rsid w:val="001C2CA2"/>
    <w:pPr>
      <w:numPr>
        <w:numId w:val="2"/>
      </w:numPr>
      <w:contextualSpacing/>
    </w:pPr>
  </w:style>
  <w:style w:type="paragraph" w:styleId="ListBullet4">
    <w:name w:val="List Bullet 4"/>
    <w:basedOn w:val="Normal"/>
    <w:uiPriority w:val="36"/>
    <w:semiHidden/>
    <w:unhideWhenUsed/>
    <w:qFormat/>
    <w:rsid w:val="007D052D"/>
    <w:pPr>
      <w:numPr>
        <w:numId w:val="3"/>
      </w:numPr>
      <w:contextualSpacing/>
    </w:pPr>
  </w:style>
  <w:style w:type="paragraph" w:styleId="ListBullet5">
    <w:name w:val="List Bullet 5"/>
    <w:basedOn w:val="Normal"/>
    <w:uiPriority w:val="36"/>
    <w:semiHidden/>
    <w:unhideWhenUsed/>
    <w:qFormat/>
    <w:rsid w:val="007D052D"/>
    <w:pPr>
      <w:numPr>
        <w:numId w:val="4"/>
      </w:numPr>
      <w:contextualSpacing/>
    </w:pPr>
  </w:style>
  <w:style w:type="paragraph" w:styleId="ListParagraph">
    <w:name w:val="List Paragraph"/>
    <w:basedOn w:val="Normal"/>
    <w:link w:val="ListParagraphChar"/>
    <w:uiPriority w:val="34"/>
    <w:unhideWhenUsed/>
    <w:qFormat/>
    <w:rsid w:val="007D052D"/>
    <w:pPr>
      <w:ind w:left="720"/>
      <w:contextualSpacing/>
    </w:pPr>
  </w:style>
  <w:style w:type="paragraph" w:styleId="NoSpacing">
    <w:name w:val="No Spacing"/>
    <w:aliases w:val="Multiple 1.15"/>
    <w:link w:val="NoSpacingChar"/>
    <w:uiPriority w:val="1"/>
    <w:unhideWhenUsed/>
    <w:qFormat/>
    <w:rsid w:val="007D052D"/>
    <w:pPr>
      <w:spacing w:after="0" w:line="240" w:lineRule="auto"/>
    </w:pPr>
  </w:style>
  <w:style w:type="character" w:styleId="PlaceholderText">
    <w:name w:val="Placeholder Text"/>
    <w:basedOn w:val="DefaultParagraphFont"/>
    <w:uiPriority w:val="99"/>
    <w:semiHidden/>
    <w:rsid w:val="008662AD"/>
    <w:rPr>
      <w:color w:val="8A8A8A" w:themeColor="text1" w:themeTint="A6"/>
    </w:rPr>
  </w:style>
  <w:style w:type="paragraph" w:styleId="Quote">
    <w:name w:val="Quote"/>
    <w:basedOn w:val="Normal"/>
    <w:next w:val="Normal"/>
    <w:link w:val="QuoteChar"/>
    <w:uiPriority w:val="29"/>
    <w:unhideWhenUsed/>
    <w:qFormat/>
    <w:rsid w:val="00431B47"/>
    <w:pPr>
      <w:spacing w:before="200"/>
      <w:jc w:val="center"/>
    </w:pPr>
    <w:rPr>
      <w:i/>
      <w:iCs/>
      <w:color w:val="787878" w:themeColor="text1" w:themeTint="BF"/>
    </w:rPr>
  </w:style>
  <w:style w:type="character" w:customStyle="1" w:styleId="QuoteChar">
    <w:name w:val="Quote Char"/>
    <w:basedOn w:val="DefaultParagraphFont"/>
    <w:link w:val="Quote"/>
    <w:uiPriority w:val="29"/>
    <w:rsid w:val="00431B47"/>
    <w:rPr>
      <w:i/>
      <w:iCs/>
      <w:color w:val="787878" w:themeColor="text1" w:themeTint="BF"/>
    </w:rPr>
  </w:style>
  <w:style w:type="character" w:styleId="Strong">
    <w:name w:val="Strong"/>
    <w:basedOn w:val="DefaultParagraphFont"/>
    <w:uiPriority w:val="22"/>
    <w:unhideWhenUsed/>
    <w:qFormat/>
    <w:rsid w:val="007D052D"/>
    <w:rPr>
      <w:b/>
      <w:bCs/>
    </w:rPr>
  </w:style>
  <w:style w:type="character" w:styleId="SubtleEmphasis">
    <w:name w:val="Subtle Emphasis"/>
    <w:basedOn w:val="DefaultParagraphFont"/>
    <w:uiPriority w:val="19"/>
    <w:unhideWhenUsed/>
    <w:qFormat/>
    <w:rsid w:val="007D052D"/>
    <w:rPr>
      <w:i/>
      <w:iCs/>
      <w:color w:val="787878" w:themeColor="text1" w:themeTint="BF"/>
    </w:rPr>
  </w:style>
  <w:style w:type="character" w:styleId="SubtleReference">
    <w:name w:val="Subtle Reference"/>
    <w:basedOn w:val="DefaultParagraphFont"/>
    <w:uiPriority w:val="31"/>
    <w:unhideWhenUsed/>
    <w:qFormat/>
    <w:rsid w:val="007D052D"/>
    <w:rPr>
      <w:smallCaps/>
      <w:color w:val="8B8B8B" w:themeColor="text1" w:themeTint="A5"/>
    </w:rPr>
  </w:style>
  <w:style w:type="table" w:customStyle="1" w:styleId="GridTable4-Accent61">
    <w:name w:val="Grid Table 4 - Accent 61"/>
    <w:basedOn w:val="TableNormal"/>
    <w:uiPriority w:val="49"/>
    <w:rsid w:val="00CF6BFB"/>
    <w:pPr>
      <w:spacing w:after="0" w:line="240" w:lineRule="auto"/>
    </w:pPr>
    <w:rPr>
      <w:lang w:eastAsia="ja-JP"/>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insideV w:val="nil"/>
        </w:tcBorders>
        <w:shd w:val="clear" w:color="auto" w:fill="5578A0" w:themeFill="accent6"/>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paragraph" w:customStyle="1" w:styleId="tablenote">
    <w:name w:val="table note"/>
    <w:basedOn w:val="Normal"/>
    <w:qFormat/>
    <w:rsid w:val="00F83CA0"/>
    <w:pPr>
      <w:spacing w:before="120" w:after="240"/>
    </w:pPr>
    <w:rPr>
      <w:sz w:val="20"/>
    </w:rPr>
  </w:style>
  <w:style w:type="paragraph" w:customStyle="1" w:styleId="TableHead1">
    <w:name w:val="Table Head 1"/>
    <w:basedOn w:val="Normal"/>
    <w:qFormat/>
    <w:rsid w:val="006463B5"/>
    <w:rPr>
      <w:rFonts w:asciiTheme="minorHAnsi" w:hAnsiTheme="minorHAnsi"/>
      <w:bCs/>
      <w:sz w:val="20"/>
    </w:rPr>
  </w:style>
  <w:style w:type="paragraph" w:customStyle="1" w:styleId="Tabletext">
    <w:name w:val="Table text"/>
    <w:basedOn w:val="Normal"/>
    <w:qFormat/>
    <w:rsid w:val="006463B5"/>
    <w:rPr>
      <w:bCs/>
    </w:rPr>
  </w:style>
  <w:style w:type="paragraph" w:customStyle="1" w:styleId="Default">
    <w:name w:val="Default"/>
    <w:rsid w:val="000741FB"/>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NoSpacingChar">
    <w:name w:val="No Spacing Char"/>
    <w:aliases w:val="Multiple 1.15 Char"/>
    <w:basedOn w:val="DefaultParagraphFont"/>
    <w:link w:val="NoSpacing"/>
    <w:uiPriority w:val="1"/>
    <w:rsid w:val="000741FB"/>
  </w:style>
  <w:style w:type="paragraph" w:styleId="Revision">
    <w:name w:val="Revision"/>
    <w:hidden/>
    <w:uiPriority w:val="99"/>
    <w:semiHidden/>
    <w:rsid w:val="000741FB"/>
    <w:pPr>
      <w:spacing w:after="0" w:line="240" w:lineRule="auto"/>
    </w:pPr>
    <w:rPr>
      <w:rFonts w:asciiTheme="minorHAnsi" w:eastAsiaTheme="minorEastAsia" w:hAnsiTheme="minorHAnsi" w:cstheme="minorBidi"/>
      <w:color w:val="auto"/>
      <w:kern w:val="0"/>
      <w:sz w:val="22"/>
      <w:szCs w:val="22"/>
      <w14:ligatures w14:val="none"/>
    </w:rPr>
  </w:style>
  <w:style w:type="character" w:customStyle="1" w:styleId="enumxml">
    <w:name w:val="enumxml"/>
    <w:basedOn w:val="DefaultParagraphFont"/>
    <w:rsid w:val="000741FB"/>
  </w:style>
  <w:style w:type="character" w:customStyle="1" w:styleId="ptext-1">
    <w:name w:val="ptext-1"/>
    <w:basedOn w:val="DefaultParagraphFont"/>
    <w:rsid w:val="000741FB"/>
  </w:style>
  <w:style w:type="character" w:customStyle="1" w:styleId="ptext-2">
    <w:name w:val="ptext-2"/>
    <w:basedOn w:val="DefaultParagraphFont"/>
    <w:rsid w:val="000741FB"/>
  </w:style>
  <w:style w:type="paragraph" w:customStyle="1" w:styleId="Quotation">
    <w:name w:val="Quotation"/>
    <w:basedOn w:val="BodyText"/>
    <w:next w:val="BodyText"/>
    <w:rsid w:val="000741FB"/>
    <w:pPr>
      <w:overflowPunct w:val="0"/>
      <w:autoSpaceDE w:val="0"/>
      <w:autoSpaceDN w:val="0"/>
      <w:adjustRightInd w:val="0"/>
      <w:spacing w:line="240" w:lineRule="auto"/>
      <w:ind w:left="1440" w:right="1440"/>
      <w:textAlignment w:val="baseline"/>
    </w:pPr>
    <w:rPr>
      <w:rFonts w:ascii="Times New Roman" w:eastAsia="Times New Roman" w:hAnsi="Times New Roman" w:cs="Times New Roman"/>
      <w:sz w:val="26"/>
    </w:rPr>
  </w:style>
  <w:style w:type="table" w:customStyle="1" w:styleId="TableGrid10">
    <w:name w:val="Table Grid1"/>
    <w:basedOn w:val="TableNormal"/>
    <w:next w:val="TableGrid"/>
    <w:uiPriority w:val="59"/>
    <w:rsid w:val="000741FB"/>
    <w:pPr>
      <w:spacing w:after="0" w:line="240" w:lineRule="auto"/>
    </w:pPr>
    <w:rPr>
      <w:rFonts w:asciiTheme="minorHAnsi" w:eastAsiaTheme="minorEastAsia" w:hAnsiTheme="minorHAnsi" w:cstheme="minorBidi"/>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only">
    <w:name w:val="display_only"/>
    <w:basedOn w:val="DefaultParagraphFont"/>
    <w:rsid w:val="000741FB"/>
  </w:style>
  <w:style w:type="table" w:customStyle="1" w:styleId="MediumShading1-Accent11">
    <w:name w:val="Medium Shading 1 - Accent 11"/>
    <w:basedOn w:val="TableNormal"/>
    <w:next w:val="MediumShading1-Accent1"/>
    <w:uiPriority w:val="63"/>
    <w:rsid w:val="000741FB"/>
    <w:pPr>
      <w:spacing w:after="0" w:line="240" w:lineRule="auto"/>
    </w:pPr>
    <w:rPr>
      <w:rFonts w:asciiTheme="minorHAnsi" w:eastAsia="MS Mincho" w:hAnsiTheme="minorHAnsi" w:cstheme="minorBidi"/>
      <w:color w:val="auto"/>
      <w:kern w:val="0"/>
      <w:sz w:val="22"/>
      <w:szCs w:val="22"/>
      <w14:ligatures w14:val="none"/>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paragraph" w:customStyle="1" w:styleId="Body">
    <w:name w:val="Body"/>
    <w:rsid w:val="000741FB"/>
    <w:pPr>
      <w:pBdr>
        <w:top w:val="nil"/>
        <w:left w:val="nil"/>
        <w:bottom w:val="nil"/>
        <w:right w:val="nil"/>
        <w:between w:val="nil"/>
        <w:bar w:val="nil"/>
      </w:pBdr>
      <w:spacing w:after="120" w:line="360" w:lineRule="auto"/>
    </w:pPr>
    <w:rPr>
      <w:rFonts w:ascii="Calibri" w:eastAsia="Calibri" w:hAnsi="Calibri" w:cs="Calibri"/>
      <w:color w:val="000000"/>
      <w:kern w:val="0"/>
      <w:sz w:val="24"/>
      <w:szCs w:val="24"/>
      <w:u w:color="000000"/>
      <w:bdr w:val="nil"/>
      <w14:ligatures w14:val="none"/>
    </w:rPr>
  </w:style>
  <w:style w:type="paragraph" w:customStyle="1" w:styleId="Heading">
    <w:name w:val="Heading"/>
    <w:next w:val="Body"/>
    <w:rsid w:val="000741FB"/>
    <w:pPr>
      <w:pBdr>
        <w:top w:val="nil"/>
        <w:left w:val="nil"/>
        <w:bottom w:val="nil"/>
        <w:right w:val="nil"/>
        <w:between w:val="nil"/>
        <w:bar w:val="nil"/>
      </w:pBdr>
      <w:spacing w:before="600" w:after="80" w:line="360" w:lineRule="auto"/>
      <w:ind w:left="432" w:hanging="432"/>
      <w:outlineLvl w:val="0"/>
    </w:pPr>
    <w:rPr>
      <w:rFonts w:ascii="Cambria" w:eastAsia="Cambria" w:hAnsi="Cambria" w:cs="Cambria"/>
      <w:b/>
      <w:bCs/>
      <w:smallCaps/>
      <w:color w:val="3476B1"/>
      <w:kern w:val="0"/>
      <w:sz w:val="32"/>
      <w:szCs w:val="32"/>
      <w:u w:color="3476B1"/>
      <w:bdr w:val="nil"/>
      <w14:ligatures w14:val="none"/>
    </w:rPr>
  </w:style>
  <w:style w:type="numbering" w:customStyle="1" w:styleId="List0">
    <w:name w:val="List 0"/>
    <w:basedOn w:val="NoList"/>
    <w:rsid w:val="000741FB"/>
    <w:pPr>
      <w:numPr>
        <w:numId w:val="13"/>
      </w:numPr>
    </w:pPr>
  </w:style>
  <w:style w:type="numbering" w:customStyle="1" w:styleId="List1">
    <w:name w:val="List 1"/>
    <w:basedOn w:val="NoList"/>
    <w:rsid w:val="000741FB"/>
    <w:pPr>
      <w:numPr>
        <w:numId w:val="14"/>
      </w:numPr>
    </w:pPr>
  </w:style>
  <w:style w:type="numbering" w:customStyle="1" w:styleId="List21">
    <w:name w:val="List 21"/>
    <w:basedOn w:val="NoList"/>
    <w:rsid w:val="000741FB"/>
    <w:pPr>
      <w:numPr>
        <w:numId w:val="16"/>
      </w:numPr>
    </w:pPr>
  </w:style>
  <w:style w:type="numbering" w:customStyle="1" w:styleId="List31">
    <w:name w:val="List 31"/>
    <w:basedOn w:val="NoList"/>
    <w:rsid w:val="000741FB"/>
    <w:pPr>
      <w:numPr>
        <w:numId w:val="15"/>
      </w:numPr>
    </w:pPr>
  </w:style>
  <w:style w:type="numbering" w:customStyle="1" w:styleId="List41">
    <w:name w:val="List 41"/>
    <w:basedOn w:val="NoList"/>
    <w:rsid w:val="000741FB"/>
    <w:pPr>
      <w:numPr>
        <w:numId w:val="17"/>
      </w:numPr>
    </w:pPr>
  </w:style>
  <w:style w:type="numbering" w:customStyle="1" w:styleId="List51">
    <w:name w:val="List 51"/>
    <w:basedOn w:val="NoList"/>
    <w:rsid w:val="000741FB"/>
    <w:pPr>
      <w:numPr>
        <w:numId w:val="21"/>
      </w:numPr>
    </w:pPr>
  </w:style>
  <w:style w:type="numbering" w:customStyle="1" w:styleId="List6">
    <w:name w:val="List 6"/>
    <w:basedOn w:val="ImportedStyle22"/>
    <w:rsid w:val="000741FB"/>
    <w:pPr>
      <w:numPr>
        <w:numId w:val="22"/>
      </w:numPr>
    </w:pPr>
  </w:style>
  <w:style w:type="numbering" w:customStyle="1" w:styleId="ImportedStyle22">
    <w:name w:val="Imported Style 22"/>
    <w:rsid w:val="000741FB"/>
    <w:pPr>
      <w:numPr>
        <w:numId w:val="26"/>
      </w:numPr>
    </w:pPr>
  </w:style>
  <w:style w:type="numbering" w:customStyle="1" w:styleId="List7">
    <w:name w:val="List 7"/>
    <w:basedOn w:val="NoList"/>
    <w:rsid w:val="000741FB"/>
    <w:pPr>
      <w:numPr>
        <w:numId w:val="18"/>
      </w:numPr>
    </w:pPr>
  </w:style>
  <w:style w:type="numbering" w:customStyle="1" w:styleId="List8">
    <w:name w:val="List 8"/>
    <w:basedOn w:val="ImportedStyle22"/>
    <w:rsid w:val="000741FB"/>
    <w:pPr>
      <w:numPr>
        <w:numId w:val="19"/>
      </w:numPr>
    </w:pPr>
  </w:style>
  <w:style w:type="numbering" w:customStyle="1" w:styleId="List9">
    <w:name w:val="List 9"/>
    <w:basedOn w:val="ImportedStyle22"/>
    <w:rsid w:val="000741FB"/>
    <w:pPr>
      <w:numPr>
        <w:numId w:val="20"/>
      </w:numPr>
    </w:pPr>
  </w:style>
  <w:style w:type="numbering" w:customStyle="1" w:styleId="List10">
    <w:name w:val="List 10"/>
    <w:basedOn w:val="NoList"/>
    <w:rsid w:val="000741FB"/>
    <w:pPr>
      <w:numPr>
        <w:numId w:val="23"/>
      </w:numPr>
    </w:pPr>
  </w:style>
  <w:style w:type="numbering" w:customStyle="1" w:styleId="BulletBig">
    <w:name w:val="Bullet Big"/>
    <w:rsid w:val="000741FB"/>
    <w:pPr>
      <w:numPr>
        <w:numId w:val="24"/>
      </w:numPr>
    </w:pPr>
  </w:style>
  <w:style w:type="numbering" w:customStyle="1" w:styleId="Bullet">
    <w:name w:val="Bullet"/>
    <w:rsid w:val="000741FB"/>
    <w:pPr>
      <w:numPr>
        <w:numId w:val="25"/>
      </w:numPr>
    </w:pPr>
  </w:style>
  <w:style w:type="numbering" w:customStyle="1" w:styleId="List11">
    <w:name w:val="List 11"/>
    <w:basedOn w:val="NoList"/>
    <w:rsid w:val="000741FB"/>
    <w:pPr>
      <w:numPr>
        <w:numId w:val="28"/>
      </w:numPr>
    </w:pPr>
  </w:style>
  <w:style w:type="numbering" w:customStyle="1" w:styleId="List12">
    <w:name w:val="List 12"/>
    <w:basedOn w:val="NoList"/>
    <w:rsid w:val="000741FB"/>
    <w:pPr>
      <w:numPr>
        <w:numId w:val="27"/>
      </w:numPr>
    </w:pPr>
  </w:style>
  <w:style w:type="paragraph" w:customStyle="1" w:styleId="TableStyle2">
    <w:name w:val="Table Style 2"/>
    <w:rsid w:val="000741FB"/>
    <w:pPr>
      <w:pBdr>
        <w:top w:val="nil"/>
        <w:left w:val="nil"/>
        <w:bottom w:val="nil"/>
        <w:right w:val="nil"/>
        <w:between w:val="nil"/>
        <w:bar w:val="nil"/>
      </w:pBdr>
      <w:spacing w:after="0" w:line="240" w:lineRule="auto"/>
    </w:pPr>
    <w:rPr>
      <w:rFonts w:ascii="Helvetica" w:eastAsia="Helvetica" w:hAnsi="Helvetica" w:cs="Helvetica"/>
      <w:color w:val="000000"/>
      <w:kern w:val="0"/>
      <w:bdr w:val="nil"/>
      <w14:ligatures w14:val="none"/>
    </w:rPr>
  </w:style>
  <w:style w:type="character" w:customStyle="1" w:styleId="s12">
    <w:name w:val="s12"/>
    <w:basedOn w:val="DefaultParagraphFont"/>
    <w:rsid w:val="000741FB"/>
  </w:style>
  <w:style w:type="table" w:customStyle="1" w:styleId="LightGrid-Accent11">
    <w:name w:val="Light Grid - Accent 11"/>
    <w:basedOn w:val="TableNormal"/>
    <w:next w:val="LightGrid-Accent1"/>
    <w:uiPriority w:val="62"/>
    <w:rsid w:val="000741FB"/>
    <w:pPr>
      <w:spacing w:after="0" w:line="240" w:lineRule="auto"/>
    </w:pPr>
    <w:rPr>
      <w:rFonts w:asciiTheme="minorHAnsi" w:eastAsia="MS Mincho" w:hAnsiTheme="minorHAnsi" w:cstheme="minorBidi"/>
      <w:color w:val="auto"/>
      <w:kern w:val="0"/>
      <w:sz w:val="22"/>
      <w:szCs w:val="22"/>
      <w14:ligatures w14:val="none"/>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blStylePr w:type="firstRow">
      <w:pPr>
        <w:spacing w:before="0" w:after="0" w:line="240" w:lineRule="auto"/>
      </w:pPr>
      <w:rPr>
        <w:rFonts w:ascii="Yu Gothic Light" w:eastAsia="MS Gothic" w:hAnsi="Yu Gothic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Yu Gothic Light" w:eastAsia="MS Gothic" w:hAnsi="Yu Gothic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Yu Gothic Light" w:eastAsia="MS Gothic" w:hAnsi="Yu Gothic Light" w:cs="Times New Roman"/>
        <w:b/>
        <w:bCs/>
      </w:rPr>
    </w:tblStylePr>
    <w:tblStylePr w:type="lastCol">
      <w:rPr>
        <w:rFonts w:ascii="Yu Gothic Light" w:eastAsia="MS Gothic" w:hAnsi="Yu Gothic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MediumList1-Accent11">
    <w:name w:val="Medium List 1 - Accent 11"/>
    <w:basedOn w:val="TableNormal"/>
    <w:next w:val="MediumList1-Accent1"/>
    <w:uiPriority w:val="65"/>
    <w:rsid w:val="000741FB"/>
    <w:pPr>
      <w:spacing w:after="0" w:line="240" w:lineRule="auto"/>
    </w:pPr>
    <w:rPr>
      <w:rFonts w:asciiTheme="minorHAnsi" w:eastAsiaTheme="minorEastAsia" w:hAnsiTheme="minorHAnsi" w:cstheme="minorBidi"/>
      <w:color w:val="4C4C4C" w:themeColor="text1"/>
      <w:kern w:val="0"/>
      <w:sz w:val="22"/>
      <w:szCs w:val="22"/>
      <w14:ligatures w14:val="none"/>
    </w:rPr>
    <w:tblPr>
      <w:tblStyleRowBandSize w:val="1"/>
      <w:tblStyleColBandSize w:val="1"/>
      <w:tblBorders>
        <w:top w:val="single" w:sz="8" w:space="0" w:color="6996C9" w:themeColor="accent1"/>
        <w:bottom w:val="single" w:sz="8" w:space="0" w:color="6996C9" w:themeColor="accent1"/>
      </w:tblBorders>
    </w:tblPr>
    <w:tblStylePr w:type="firstRow">
      <w:rPr>
        <w:rFonts w:asciiTheme="majorHAnsi" w:eastAsiaTheme="majorEastAsia" w:hAnsiTheme="majorHAnsi" w:cstheme="majorBidi"/>
      </w:rPr>
      <w:tblPr/>
      <w:tcPr>
        <w:tcBorders>
          <w:top w:val="nil"/>
          <w:bottom w:val="single" w:sz="8" w:space="0" w:color="6996C9" w:themeColor="accent1"/>
        </w:tcBorders>
      </w:tcPr>
    </w:tblStylePr>
    <w:tblStylePr w:type="lastRow">
      <w:rPr>
        <w:b/>
        <w:bCs/>
        <w:color w:val="2A3C50" w:themeColor="text2"/>
      </w:rPr>
      <w:tblPr/>
      <w:tcPr>
        <w:tcBorders>
          <w:top w:val="single" w:sz="8" w:space="0" w:color="6996C9" w:themeColor="accent1"/>
          <w:bottom w:val="single" w:sz="8" w:space="0" w:color="6996C9" w:themeColor="accent1"/>
        </w:tcBorders>
      </w:tcPr>
    </w:tblStylePr>
    <w:tblStylePr w:type="firstCol">
      <w:rPr>
        <w:b/>
        <w:bCs/>
      </w:rPr>
    </w:tblStylePr>
    <w:tblStylePr w:type="lastCol">
      <w:rPr>
        <w:b/>
        <w:bCs/>
      </w:rPr>
      <w:tblPr/>
      <w:tcPr>
        <w:tcBorders>
          <w:top w:val="single" w:sz="8" w:space="0" w:color="6996C9" w:themeColor="accent1"/>
          <w:bottom w:val="single" w:sz="8" w:space="0" w:color="6996C9" w:themeColor="accent1"/>
        </w:tcBorders>
      </w:tcPr>
    </w:tblStylePr>
    <w:tblStylePr w:type="band1Vert">
      <w:tblPr/>
      <w:tcPr>
        <w:shd w:val="clear" w:color="auto" w:fill="D9E4F1" w:themeFill="accent1" w:themeFillTint="3F"/>
      </w:tcPr>
    </w:tblStylePr>
    <w:tblStylePr w:type="band1Horz">
      <w:tblPr/>
      <w:tcPr>
        <w:shd w:val="clear" w:color="auto" w:fill="D9E4F1" w:themeFill="accent1" w:themeFillTint="3F"/>
      </w:tcPr>
    </w:tblStylePr>
  </w:style>
  <w:style w:type="table" w:customStyle="1" w:styleId="MediumShading1-Accent12">
    <w:name w:val="Medium Shading 1 - Accent 12"/>
    <w:basedOn w:val="TableNormal"/>
    <w:next w:val="MediumShading1-Accent1"/>
    <w:uiPriority w:val="63"/>
    <w:rsid w:val="000741FB"/>
    <w:pPr>
      <w:spacing w:after="0" w:line="240" w:lineRule="auto"/>
    </w:pPr>
    <w:rPr>
      <w:rFonts w:asciiTheme="minorHAnsi" w:eastAsiaTheme="minorEastAsia" w:hAnsiTheme="minorHAnsi" w:cstheme="minorBidi"/>
      <w:color w:val="auto"/>
      <w:kern w:val="0"/>
      <w:sz w:val="22"/>
      <w:szCs w:val="22"/>
      <w14:ligatures w14:val="none"/>
    </w:rPr>
    <w:tblPr>
      <w:tblStyleRowBandSize w:val="1"/>
      <w:tblStyleColBandSize w:val="1"/>
      <w:tbl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single" w:sz="8" w:space="0" w:color="8EB0D6" w:themeColor="accent1" w:themeTint="BF"/>
      </w:tblBorders>
    </w:tblPr>
    <w:tblStylePr w:type="firstRow">
      <w:pPr>
        <w:spacing w:before="0" w:after="0" w:line="240" w:lineRule="auto"/>
      </w:pPr>
      <w:rPr>
        <w:b/>
        <w:bCs/>
        <w:color w:val="FFFFFF" w:themeColor="background1"/>
      </w:rPr>
      <w:tblPr/>
      <w:tcPr>
        <w:tc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shd w:val="clear" w:color="auto" w:fill="6996C9" w:themeFill="accent1"/>
      </w:tcPr>
    </w:tblStylePr>
    <w:tblStylePr w:type="lastRow">
      <w:pPr>
        <w:spacing w:before="0" w:after="0" w:line="240" w:lineRule="auto"/>
      </w:pPr>
      <w:rPr>
        <w:b/>
        <w:bCs/>
      </w:rPr>
      <w:tblPr/>
      <w:tcPr>
        <w:tcBorders>
          <w:top w:val="double" w:sz="6"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4F1" w:themeFill="accent1" w:themeFillTint="3F"/>
      </w:tcPr>
    </w:tblStylePr>
    <w:tblStylePr w:type="band1Horz">
      <w:tblPr/>
      <w:tcPr>
        <w:tcBorders>
          <w:insideH w:val="nil"/>
          <w:insideV w:val="nil"/>
        </w:tcBorders>
        <w:shd w:val="clear" w:color="auto" w:fill="D9E4F1" w:themeFill="accent1" w:themeFillTint="3F"/>
      </w:tcPr>
    </w:tblStylePr>
    <w:tblStylePr w:type="band2Horz">
      <w:tblPr/>
      <w:tcPr>
        <w:tcBorders>
          <w:insideH w:val="nil"/>
          <w:insideV w:val="nil"/>
        </w:tcBorders>
      </w:tcPr>
    </w:tblStylePr>
  </w:style>
  <w:style w:type="paragraph" w:customStyle="1" w:styleId="footnotedescription">
    <w:name w:val="footnote description"/>
    <w:next w:val="Normal"/>
    <w:link w:val="footnotedescriptionChar"/>
    <w:hidden/>
    <w:rsid w:val="000741FB"/>
    <w:pPr>
      <w:spacing w:after="0" w:line="259" w:lineRule="auto"/>
    </w:pPr>
    <w:rPr>
      <w:rFonts w:ascii="Calibri" w:eastAsia="Calibri" w:hAnsi="Calibri" w:cs="Calibri"/>
      <w:color w:val="000000"/>
      <w:kern w:val="0"/>
      <w:szCs w:val="22"/>
      <w14:ligatures w14:val="none"/>
    </w:rPr>
  </w:style>
  <w:style w:type="character" w:customStyle="1" w:styleId="footnotedescriptionChar">
    <w:name w:val="footnote description Char"/>
    <w:link w:val="footnotedescription"/>
    <w:rsid w:val="000741FB"/>
    <w:rPr>
      <w:rFonts w:ascii="Calibri" w:eastAsia="Calibri" w:hAnsi="Calibri" w:cs="Calibri"/>
      <w:color w:val="000000"/>
      <w:kern w:val="0"/>
      <w:szCs w:val="22"/>
      <w14:ligatures w14:val="none"/>
    </w:rPr>
  </w:style>
  <w:style w:type="character" w:customStyle="1" w:styleId="footnotemark">
    <w:name w:val="footnote mark"/>
    <w:hidden/>
    <w:rsid w:val="000741FB"/>
    <w:rPr>
      <w:rFonts w:ascii="Calibri" w:eastAsia="Calibri" w:hAnsi="Calibri" w:cs="Calibri"/>
      <w:color w:val="000000"/>
      <w:sz w:val="20"/>
      <w:vertAlign w:val="superscript"/>
    </w:rPr>
  </w:style>
  <w:style w:type="table" w:customStyle="1" w:styleId="TableGrid0">
    <w:name w:val="TableGrid"/>
    <w:rsid w:val="000741FB"/>
    <w:pPr>
      <w:spacing w:after="0" w:line="240" w:lineRule="auto"/>
    </w:pPr>
    <w:rPr>
      <w:rFonts w:asciiTheme="minorHAnsi" w:eastAsiaTheme="minorEastAsia" w:hAnsiTheme="minorHAnsi" w:cstheme="minorBidi"/>
      <w:color w:val="auto"/>
      <w:kern w:val="0"/>
      <w:sz w:val="22"/>
      <w:szCs w:val="22"/>
      <w14:ligatures w14:val="none"/>
    </w:rPr>
    <w:tblPr>
      <w:tblCellMar>
        <w:top w:w="0" w:type="dxa"/>
        <w:left w:w="0" w:type="dxa"/>
        <w:bottom w:w="0" w:type="dxa"/>
        <w:right w:w="0" w:type="dxa"/>
      </w:tblCellMar>
    </w:tblPr>
  </w:style>
  <w:style w:type="paragraph" w:customStyle="1" w:styleId="xmsonormal">
    <w:name w:val="xmsonormal"/>
    <w:basedOn w:val="Normal"/>
    <w:rsid w:val="000741FB"/>
    <w:pPr>
      <w:spacing w:after="0" w:line="240" w:lineRule="auto"/>
    </w:pPr>
    <w:rPr>
      <w:rFonts w:ascii="Times New Roman" w:eastAsiaTheme="minorHAnsi" w:hAnsi="Times New Roman" w:cs="Times New Roman"/>
      <w:szCs w:val="24"/>
    </w:rPr>
  </w:style>
  <w:style w:type="table" w:customStyle="1" w:styleId="MediumShading1-Accent111">
    <w:name w:val="Medium Shading 1 - Accent 111"/>
    <w:basedOn w:val="TableNormal"/>
    <w:next w:val="MediumShading1-Accent1"/>
    <w:uiPriority w:val="63"/>
    <w:rsid w:val="000741FB"/>
    <w:pPr>
      <w:spacing w:after="0" w:line="240" w:lineRule="auto"/>
    </w:pPr>
    <w:rPr>
      <w:rFonts w:asciiTheme="minorHAnsi" w:eastAsia="MS Mincho" w:hAnsiTheme="minorHAnsi" w:cstheme="minorBidi"/>
      <w:color w:val="auto"/>
      <w:kern w:val="0"/>
      <w:sz w:val="22"/>
      <w:szCs w:val="22"/>
      <w14:ligatures w14:val="none"/>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LightGrid-Accent111">
    <w:name w:val="Light Grid - Accent 111"/>
    <w:basedOn w:val="TableNormal"/>
    <w:next w:val="LightGrid-Accent1"/>
    <w:uiPriority w:val="62"/>
    <w:rsid w:val="000741FB"/>
    <w:pPr>
      <w:spacing w:after="0" w:line="240" w:lineRule="auto"/>
    </w:pPr>
    <w:rPr>
      <w:rFonts w:asciiTheme="minorHAnsi" w:eastAsia="MS Mincho" w:hAnsiTheme="minorHAnsi" w:cstheme="minorBidi"/>
      <w:color w:val="auto"/>
      <w:kern w:val="0"/>
      <w:sz w:val="22"/>
      <w:szCs w:val="22"/>
      <w14:ligatures w14:val="none"/>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blStylePr w:type="firstRow">
      <w:pPr>
        <w:spacing w:before="0" w:after="0" w:line="240" w:lineRule="auto"/>
      </w:pPr>
      <w:rPr>
        <w:rFonts w:ascii="Yu Gothic Light" w:eastAsia="MS Gothic" w:hAnsi="Yu Gothic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Yu Gothic Light" w:eastAsia="MS Gothic" w:hAnsi="Yu Gothic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Yu Gothic Light" w:eastAsia="MS Gothic" w:hAnsi="Yu Gothic Light" w:cs="Times New Roman"/>
        <w:b/>
        <w:bCs/>
      </w:rPr>
    </w:tblStylePr>
    <w:tblStylePr w:type="lastCol">
      <w:rPr>
        <w:rFonts w:ascii="Yu Gothic Light" w:eastAsia="MS Gothic" w:hAnsi="Yu Gothic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character" w:customStyle="1" w:styleId="contextualextensionhighlight">
    <w:name w:val="contextualextensionhighlight"/>
    <w:basedOn w:val="DefaultParagraphFont"/>
    <w:rsid w:val="000741FB"/>
  </w:style>
  <w:style w:type="character" w:customStyle="1" w:styleId="ListParagraphChar">
    <w:name w:val="List Paragraph Char"/>
    <w:basedOn w:val="DefaultParagraphFont"/>
    <w:link w:val="ListParagraph"/>
    <w:uiPriority w:val="34"/>
    <w:locked/>
    <w:rsid w:val="000741FB"/>
    <w:rPr>
      <w:rFonts w:ascii="Garamond" w:hAnsi="Garamond" w:cs="Times New Roman (Headings CS)"/>
      <w:color w:val="auto"/>
      <w:sz w:val="24"/>
    </w:rPr>
  </w:style>
  <w:style w:type="table" w:customStyle="1" w:styleId="MediumShading1-Accent112">
    <w:name w:val="Medium Shading 1 - Accent 112"/>
    <w:basedOn w:val="TableNormal"/>
    <w:next w:val="MediumShading1-Accent1"/>
    <w:uiPriority w:val="63"/>
    <w:rsid w:val="000741FB"/>
    <w:pPr>
      <w:spacing w:after="0" w:line="240" w:lineRule="auto"/>
    </w:pPr>
    <w:rPr>
      <w:rFonts w:asciiTheme="minorHAnsi" w:eastAsia="MS Mincho" w:hAnsiTheme="minorHAnsi" w:cstheme="minorBidi"/>
      <w:color w:val="auto"/>
      <w:kern w:val="0"/>
      <w:sz w:val="22"/>
      <w:szCs w:val="22"/>
      <w14:ligatures w14:val="none"/>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paragraph" w:customStyle="1" w:styleId="paragraph">
    <w:name w:val="paragraph"/>
    <w:basedOn w:val="Normal"/>
    <w:rsid w:val="000741FB"/>
    <w:pPr>
      <w:spacing w:after="0" w:line="240" w:lineRule="auto"/>
    </w:pPr>
    <w:rPr>
      <w:rFonts w:ascii="Times New Roman" w:eastAsia="Times New Roman" w:hAnsi="Times New Roman" w:cs="Times New Roman"/>
      <w:szCs w:val="24"/>
    </w:rPr>
  </w:style>
  <w:style w:type="character" w:customStyle="1" w:styleId="normaltextrun1">
    <w:name w:val="normaltextrun1"/>
    <w:basedOn w:val="DefaultParagraphFont"/>
    <w:rsid w:val="000741FB"/>
  </w:style>
  <w:style w:type="character" w:customStyle="1" w:styleId="eop">
    <w:name w:val="eop"/>
    <w:basedOn w:val="DefaultParagraphFont"/>
    <w:rsid w:val="000741FB"/>
  </w:style>
  <w:style w:type="paragraph" w:customStyle="1" w:styleId="CoverDate">
    <w:name w:val="Cover Date"/>
    <w:basedOn w:val="Normal"/>
    <w:qFormat/>
    <w:rsid w:val="000741FB"/>
    <w:rPr>
      <w:rFonts w:ascii="Century Gothic" w:hAnsi="Century Gothic" w:cs="Arial (Body CS)"/>
      <w:color w:val="FFFFFF" w:themeColor="background1"/>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4605">
      <w:bodyDiv w:val="1"/>
      <w:marLeft w:val="0"/>
      <w:marRight w:val="0"/>
      <w:marTop w:val="0"/>
      <w:marBottom w:val="0"/>
      <w:divBdr>
        <w:top w:val="none" w:sz="0" w:space="0" w:color="auto"/>
        <w:left w:val="none" w:sz="0" w:space="0" w:color="auto"/>
        <w:bottom w:val="none" w:sz="0" w:space="0" w:color="auto"/>
        <w:right w:val="none" w:sz="0" w:space="0" w:color="auto"/>
      </w:divBdr>
    </w:div>
    <w:div w:id="1077094459">
      <w:bodyDiv w:val="1"/>
      <w:marLeft w:val="0"/>
      <w:marRight w:val="0"/>
      <w:marTop w:val="0"/>
      <w:marBottom w:val="0"/>
      <w:divBdr>
        <w:top w:val="none" w:sz="0" w:space="0" w:color="auto"/>
        <w:left w:val="none" w:sz="0" w:space="0" w:color="auto"/>
        <w:bottom w:val="none" w:sz="0" w:space="0" w:color="auto"/>
        <w:right w:val="none" w:sz="0" w:space="0" w:color="auto"/>
      </w:divBdr>
    </w:div>
    <w:div w:id="14407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uc.ca.gov/general.aspx?id=249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Status of Ordering Paragraphs</a:t>
            </a:r>
          </a:p>
          <a:p>
            <a:pPr>
              <a:defRPr/>
            </a:pPr>
            <a:r>
              <a:rPr lang="en-US" b="1"/>
              <a:t>January 2015 - October 31, 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 2020 Bar Chart'!$U$2:$U$7</c:f>
              <c:strCache>
                <c:ptCount val="6"/>
                <c:pt idx="0">
                  <c:v>NOT IN COMPLIANCE (n=0)</c:v>
                </c:pt>
                <c:pt idx="1">
                  <c:v>PENDING VERIFICATION (n=0)</c:v>
                </c:pt>
                <c:pt idx="2">
                  <c:v>NOT ASSIGNED (n=0)</c:v>
                </c:pt>
                <c:pt idx="3">
                  <c:v>TRACKED IN FINANCIAL PAYMENT TRACKER (n=6)</c:v>
                </c:pt>
                <c:pt idx="4">
                  <c:v>IN-COMPLIANCE (n=34)</c:v>
                </c:pt>
                <c:pt idx="5">
                  <c:v>NOT YET DUE (n=38)</c:v>
                </c:pt>
              </c:strCache>
            </c:strRef>
          </c:cat>
          <c:val>
            <c:numRef>
              <c:f>'Oct 2020 Bar Chart'!$W$2:$W$7</c:f>
              <c:numCache>
                <c:formatCode>0%</c:formatCode>
                <c:ptCount val="6"/>
                <c:pt idx="0">
                  <c:v>0</c:v>
                </c:pt>
                <c:pt idx="1">
                  <c:v>0</c:v>
                </c:pt>
                <c:pt idx="2">
                  <c:v>0</c:v>
                </c:pt>
                <c:pt idx="3">
                  <c:v>7.6923076923076927E-2</c:v>
                </c:pt>
                <c:pt idx="4">
                  <c:v>0.4358974358974359</c:v>
                </c:pt>
                <c:pt idx="5">
                  <c:v>0.48717948717948717</c:v>
                </c:pt>
              </c:numCache>
            </c:numRef>
          </c:val>
          <c:extLst>
            <c:ext xmlns:c16="http://schemas.microsoft.com/office/drawing/2014/chart" uri="{C3380CC4-5D6E-409C-BE32-E72D297353CC}">
              <c16:uniqueId val="{00000000-B53B-4E73-A5AD-21A69FA07B20}"/>
            </c:ext>
          </c:extLst>
        </c:ser>
        <c:dLbls>
          <c:showLegendKey val="0"/>
          <c:showVal val="0"/>
          <c:showCatName val="0"/>
          <c:showSerName val="0"/>
          <c:showPercent val="0"/>
          <c:showBubbleSize val="0"/>
        </c:dLbls>
        <c:gapWidth val="182"/>
        <c:axId val="618761000"/>
        <c:axId val="618757392"/>
      </c:barChart>
      <c:catAx>
        <c:axId val="61876100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57392"/>
        <c:crosses val="autoZero"/>
        <c:auto val="1"/>
        <c:lblAlgn val="ctr"/>
        <c:lblOffset val="100"/>
        <c:noMultiLvlLbl val="0"/>
      </c:catAx>
      <c:valAx>
        <c:axId val="618757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61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edian">
  <a:themeElements>
    <a:clrScheme name="Custom 53">
      <a:dk1>
        <a:srgbClr val="4C4C4C"/>
      </a:dk1>
      <a:lt1>
        <a:sysClr val="window" lastClr="FFFFFF"/>
      </a:lt1>
      <a:dk2>
        <a:srgbClr val="2A3C50"/>
      </a:dk2>
      <a:lt2>
        <a:srgbClr val="E5E5E5"/>
      </a:lt2>
      <a:accent1>
        <a:srgbClr val="6996C9"/>
      </a:accent1>
      <a:accent2>
        <a:srgbClr val="3F5A78"/>
      </a:accent2>
      <a:accent3>
        <a:srgbClr val="D2DFEF"/>
      </a:accent3>
      <a:accent4>
        <a:srgbClr val="A5C0DE"/>
      </a:accent4>
      <a:accent5>
        <a:srgbClr val="88ABD3"/>
      </a:accent5>
      <a:accent6>
        <a:srgbClr val="5578A0"/>
      </a:accent6>
      <a:hlink>
        <a:srgbClr val="0A0AE6"/>
      </a:hlink>
      <a:folHlink>
        <a:srgbClr val="0A0AE6"/>
      </a:folHlink>
    </a:clrScheme>
    <a:fontScheme name="Custom 2">
      <a:majorFont>
        <a:latin typeface="Century Gothic"/>
        <a:ea typeface=""/>
        <a:cs typeface=""/>
      </a:majorFont>
      <a:minorFont>
        <a:latin typeface="Century Gothic"/>
        <a:ea typeface=""/>
        <a:cs typeface=""/>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0FE4EA5E168B449B98E3D6DF6C6695" ma:contentTypeVersion="7" ma:contentTypeDescription="Create a new document." ma:contentTypeScope="" ma:versionID="38d9ce7a12ec66d772ef3ee5c433fe19">
  <xsd:schema xmlns:xsd="http://www.w3.org/2001/XMLSchema" xmlns:xs="http://www.w3.org/2001/XMLSchema" xmlns:p="http://schemas.microsoft.com/office/2006/metadata/properties" xmlns:ns3="be748361-d1c7-4d94-8930-92b562ff1707" xmlns:ns4="e6958866-2163-4007-b690-f25ff74c474f" targetNamespace="http://schemas.microsoft.com/office/2006/metadata/properties" ma:root="true" ma:fieldsID="eac403ade5498f67ce1dc20c601416dc" ns3:_="" ns4:_="">
    <xsd:import namespace="be748361-d1c7-4d94-8930-92b562ff1707"/>
    <xsd:import namespace="e6958866-2163-4007-b690-f25ff74c47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48361-d1c7-4d94-8930-92b562ff1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958866-2163-4007-b690-f25ff74c47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A7FA-CEE8-4E69-BCC9-0DB064F439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BB92C0-44A7-46BA-A087-C74F8B331E6C}">
  <ds:schemaRefs>
    <ds:schemaRef ds:uri="http://schemas.microsoft.com/sharepoint/v3/contenttype/forms"/>
  </ds:schemaRefs>
</ds:datastoreItem>
</file>

<file path=customXml/itemProps3.xml><?xml version="1.0" encoding="utf-8"?>
<ds:datastoreItem xmlns:ds="http://schemas.openxmlformats.org/officeDocument/2006/customXml" ds:itemID="{A32BDE9F-C67B-43C5-B87B-DDF9B5569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48361-d1c7-4d94-8930-92b562ff1707"/>
    <ds:schemaRef ds:uri="e6958866-2163-4007-b690-f25ff74c4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202D62-B33D-D345-8656-D2B768B6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5129</Words>
  <Characters>29236</Characters>
  <Application>Microsoft Office Word</Application>
  <DocSecurity>0</DocSecurity>
  <Lines>243</Lines>
  <Paragraphs>68</Paragraphs>
  <ScaleCrop>false</ScaleCrop>
  <Manager/>
  <Company/>
  <LinksUpToDate>false</LinksUpToDate>
  <CharactersWithSpaces>34297</CharactersWithSpaces>
  <SharedDoc>false</SharedDoc>
  <HyperlinkBase/>
  <HLinks>
    <vt:vector size="144" baseType="variant">
      <vt:variant>
        <vt:i4>4587614</vt:i4>
      </vt:variant>
      <vt:variant>
        <vt:i4>141</vt:i4>
      </vt:variant>
      <vt:variant>
        <vt:i4>0</vt:i4>
      </vt:variant>
      <vt:variant>
        <vt:i4>5</vt:i4>
      </vt:variant>
      <vt:variant>
        <vt:lpwstr>https://www.cpuc.ca.gov/general.aspx?id=2494</vt:lpwstr>
      </vt:variant>
      <vt:variant>
        <vt:lpwstr/>
      </vt:variant>
      <vt:variant>
        <vt:i4>1179698</vt:i4>
      </vt:variant>
      <vt:variant>
        <vt:i4>134</vt:i4>
      </vt:variant>
      <vt:variant>
        <vt:i4>0</vt:i4>
      </vt:variant>
      <vt:variant>
        <vt:i4>5</vt:i4>
      </vt:variant>
      <vt:variant>
        <vt:lpwstr/>
      </vt:variant>
      <vt:variant>
        <vt:lpwstr>_Toc58252971</vt:lpwstr>
      </vt:variant>
      <vt:variant>
        <vt:i4>1245234</vt:i4>
      </vt:variant>
      <vt:variant>
        <vt:i4>128</vt:i4>
      </vt:variant>
      <vt:variant>
        <vt:i4>0</vt:i4>
      </vt:variant>
      <vt:variant>
        <vt:i4>5</vt:i4>
      </vt:variant>
      <vt:variant>
        <vt:lpwstr/>
      </vt:variant>
      <vt:variant>
        <vt:lpwstr>_Toc58252970</vt:lpwstr>
      </vt:variant>
      <vt:variant>
        <vt:i4>1703987</vt:i4>
      </vt:variant>
      <vt:variant>
        <vt:i4>122</vt:i4>
      </vt:variant>
      <vt:variant>
        <vt:i4>0</vt:i4>
      </vt:variant>
      <vt:variant>
        <vt:i4>5</vt:i4>
      </vt:variant>
      <vt:variant>
        <vt:lpwstr/>
      </vt:variant>
      <vt:variant>
        <vt:lpwstr>_Toc58252969</vt:lpwstr>
      </vt:variant>
      <vt:variant>
        <vt:i4>1769523</vt:i4>
      </vt:variant>
      <vt:variant>
        <vt:i4>116</vt:i4>
      </vt:variant>
      <vt:variant>
        <vt:i4>0</vt:i4>
      </vt:variant>
      <vt:variant>
        <vt:i4>5</vt:i4>
      </vt:variant>
      <vt:variant>
        <vt:lpwstr/>
      </vt:variant>
      <vt:variant>
        <vt:lpwstr>_Toc58252968</vt:lpwstr>
      </vt:variant>
      <vt:variant>
        <vt:i4>1310771</vt:i4>
      </vt:variant>
      <vt:variant>
        <vt:i4>110</vt:i4>
      </vt:variant>
      <vt:variant>
        <vt:i4>0</vt:i4>
      </vt:variant>
      <vt:variant>
        <vt:i4>5</vt:i4>
      </vt:variant>
      <vt:variant>
        <vt:lpwstr/>
      </vt:variant>
      <vt:variant>
        <vt:lpwstr>_Toc58252967</vt:lpwstr>
      </vt:variant>
      <vt:variant>
        <vt:i4>1376307</vt:i4>
      </vt:variant>
      <vt:variant>
        <vt:i4>104</vt:i4>
      </vt:variant>
      <vt:variant>
        <vt:i4>0</vt:i4>
      </vt:variant>
      <vt:variant>
        <vt:i4>5</vt:i4>
      </vt:variant>
      <vt:variant>
        <vt:lpwstr/>
      </vt:variant>
      <vt:variant>
        <vt:lpwstr>_Toc58252966</vt:lpwstr>
      </vt:variant>
      <vt:variant>
        <vt:i4>1441843</vt:i4>
      </vt:variant>
      <vt:variant>
        <vt:i4>98</vt:i4>
      </vt:variant>
      <vt:variant>
        <vt:i4>0</vt:i4>
      </vt:variant>
      <vt:variant>
        <vt:i4>5</vt:i4>
      </vt:variant>
      <vt:variant>
        <vt:lpwstr/>
      </vt:variant>
      <vt:variant>
        <vt:lpwstr>_Toc58252965</vt:lpwstr>
      </vt:variant>
      <vt:variant>
        <vt:i4>1507379</vt:i4>
      </vt:variant>
      <vt:variant>
        <vt:i4>92</vt:i4>
      </vt:variant>
      <vt:variant>
        <vt:i4>0</vt:i4>
      </vt:variant>
      <vt:variant>
        <vt:i4>5</vt:i4>
      </vt:variant>
      <vt:variant>
        <vt:lpwstr/>
      </vt:variant>
      <vt:variant>
        <vt:lpwstr>_Toc58252964</vt:lpwstr>
      </vt:variant>
      <vt:variant>
        <vt:i4>1048627</vt:i4>
      </vt:variant>
      <vt:variant>
        <vt:i4>86</vt:i4>
      </vt:variant>
      <vt:variant>
        <vt:i4>0</vt:i4>
      </vt:variant>
      <vt:variant>
        <vt:i4>5</vt:i4>
      </vt:variant>
      <vt:variant>
        <vt:lpwstr/>
      </vt:variant>
      <vt:variant>
        <vt:lpwstr>_Toc58252963</vt:lpwstr>
      </vt:variant>
      <vt:variant>
        <vt:i4>1114163</vt:i4>
      </vt:variant>
      <vt:variant>
        <vt:i4>80</vt:i4>
      </vt:variant>
      <vt:variant>
        <vt:i4>0</vt:i4>
      </vt:variant>
      <vt:variant>
        <vt:i4>5</vt:i4>
      </vt:variant>
      <vt:variant>
        <vt:lpwstr/>
      </vt:variant>
      <vt:variant>
        <vt:lpwstr>_Toc58252962</vt:lpwstr>
      </vt:variant>
      <vt:variant>
        <vt:i4>1179699</vt:i4>
      </vt:variant>
      <vt:variant>
        <vt:i4>74</vt:i4>
      </vt:variant>
      <vt:variant>
        <vt:i4>0</vt:i4>
      </vt:variant>
      <vt:variant>
        <vt:i4>5</vt:i4>
      </vt:variant>
      <vt:variant>
        <vt:lpwstr/>
      </vt:variant>
      <vt:variant>
        <vt:lpwstr>_Toc58252961</vt:lpwstr>
      </vt:variant>
      <vt:variant>
        <vt:i4>1245235</vt:i4>
      </vt:variant>
      <vt:variant>
        <vt:i4>68</vt:i4>
      </vt:variant>
      <vt:variant>
        <vt:i4>0</vt:i4>
      </vt:variant>
      <vt:variant>
        <vt:i4>5</vt:i4>
      </vt:variant>
      <vt:variant>
        <vt:lpwstr/>
      </vt:variant>
      <vt:variant>
        <vt:lpwstr>_Toc58252960</vt:lpwstr>
      </vt:variant>
      <vt:variant>
        <vt:i4>1703984</vt:i4>
      </vt:variant>
      <vt:variant>
        <vt:i4>62</vt:i4>
      </vt:variant>
      <vt:variant>
        <vt:i4>0</vt:i4>
      </vt:variant>
      <vt:variant>
        <vt:i4>5</vt:i4>
      </vt:variant>
      <vt:variant>
        <vt:lpwstr/>
      </vt:variant>
      <vt:variant>
        <vt:lpwstr>_Toc58252959</vt:lpwstr>
      </vt:variant>
      <vt:variant>
        <vt:i4>1769520</vt:i4>
      </vt:variant>
      <vt:variant>
        <vt:i4>56</vt:i4>
      </vt:variant>
      <vt:variant>
        <vt:i4>0</vt:i4>
      </vt:variant>
      <vt:variant>
        <vt:i4>5</vt:i4>
      </vt:variant>
      <vt:variant>
        <vt:lpwstr/>
      </vt:variant>
      <vt:variant>
        <vt:lpwstr>_Toc58252958</vt:lpwstr>
      </vt:variant>
      <vt:variant>
        <vt:i4>1310768</vt:i4>
      </vt:variant>
      <vt:variant>
        <vt:i4>50</vt:i4>
      </vt:variant>
      <vt:variant>
        <vt:i4>0</vt:i4>
      </vt:variant>
      <vt:variant>
        <vt:i4>5</vt:i4>
      </vt:variant>
      <vt:variant>
        <vt:lpwstr/>
      </vt:variant>
      <vt:variant>
        <vt:lpwstr>_Toc58252957</vt:lpwstr>
      </vt:variant>
      <vt:variant>
        <vt:i4>1376304</vt:i4>
      </vt:variant>
      <vt:variant>
        <vt:i4>44</vt:i4>
      </vt:variant>
      <vt:variant>
        <vt:i4>0</vt:i4>
      </vt:variant>
      <vt:variant>
        <vt:i4>5</vt:i4>
      </vt:variant>
      <vt:variant>
        <vt:lpwstr/>
      </vt:variant>
      <vt:variant>
        <vt:lpwstr>_Toc58252956</vt:lpwstr>
      </vt:variant>
      <vt:variant>
        <vt:i4>1441840</vt:i4>
      </vt:variant>
      <vt:variant>
        <vt:i4>38</vt:i4>
      </vt:variant>
      <vt:variant>
        <vt:i4>0</vt:i4>
      </vt:variant>
      <vt:variant>
        <vt:i4>5</vt:i4>
      </vt:variant>
      <vt:variant>
        <vt:lpwstr/>
      </vt:variant>
      <vt:variant>
        <vt:lpwstr>_Toc58252955</vt:lpwstr>
      </vt:variant>
      <vt:variant>
        <vt:i4>1507376</vt:i4>
      </vt:variant>
      <vt:variant>
        <vt:i4>32</vt:i4>
      </vt:variant>
      <vt:variant>
        <vt:i4>0</vt:i4>
      </vt:variant>
      <vt:variant>
        <vt:i4>5</vt:i4>
      </vt:variant>
      <vt:variant>
        <vt:lpwstr/>
      </vt:variant>
      <vt:variant>
        <vt:lpwstr>_Toc58252954</vt:lpwstr>
      </vt:variant>
      <vt:variant>
        <vt:i4>1048624</vt:i4>
      </vt:variant>
      <vt:variant>
        <vt:i4>26</vt:i4>
      </vt:variant>
      <vt:variant>
        <vt:i4>0</vt:i4>
      </vt:variant>
      <vt:variant>
        <vt:i4>5</vt:i4>
      </vt:variant>
      <vt:variant>
        <vt:lpwstr/>
      </vt:variant>
      <vt:variant>
        <vt:lpwstr>_Toc58252953</vt:lpwstr>
      </vt:variant>
      <vt:variant>
        <vt:i4>1114160</vt:i4>
      </vt:variant>
      <vt:variant>
        <vt:i4>20</vt:i4>
      </vt:variant>
      <vt:variant>
        <vt:i4>0</vt:i4>
      </vt:variant>
      <vt:variant>
        <vt:i4>5</vt:i4>
      </vt:variant>
      <vt:variant>
        <vt:lpwstr/>
      </vt:variant>
      <vt:variant>
        <vt:lpwstr>_Toc58252952</vt:lpwstr>
      </vt:variant>
      <vt:variant>
        <vt:i4>1179696</vt:i4>
      </vt:variant>
      <vt:variant>
        <vt:i4>14</vt:i4>
      </vt:variant>
      <vt:variant>
        <vt:i4>0</vt:i4>
      </vt:variant>
      <vt:variant>
        <vt:i4>5</vt:i4>
      </vt:variant>
      <vt:variant>
        <vt:lpwstr/>
      </vt:variant>
      <vt:variant>
        <vt:lpwstr>_Toc58252951</vt:lpwstr>
      </vt:variant>
      <vt:variant>
        <vt:i4>1245232</vt:i4>
      </vt:variant>
      <vt:variant>
        <vt:i4>8</vt:i4>
      </vt:variant>
      <vt:variant>
        <vt:i4>0</vt:i4>
      </vt:variant>
      <vt:variant>
        <vt:i4>5</vt:i4>
      </vt:variant>
      <vt:variant>
        <vt:lpwstr/>
      </vt:variant>
      <vt:variant>
        <vt:lpwstr>_Toc58252950</vt:lpwstr>
      </vt:variant>
      <vt:variant>
        <vt:i4>1703985</vt:i4>
      </vt:variant>
      <vt:variant>
        <vt:i4>2</vt:i4>
      </vt:variant>
      <vt:variant>
        <vt:i4>0</vt:i4>
      </vt:variant>
      <vt:variant>
        <vt:i4>5</vt:i4>
      </vt:variant>
      <vt:variant>
        <vt:lpwstr/>
      </vt:variant>
      <vt:variant>
        <vt:lpwstr>_Toc58252949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 – Monthly Performance Report</dc:title>
  <dc:subject/>
  <dc:creator>Microsoft Office User</dc:creator>
  <cp:keywords/>
  <dc:description/>
  <cp:lastModifiedBy>Podolinsky, Elizabeth</cp:lastModifiedBy>
  <cp:revision>2</cp:revision>
  <cp:lastPrinted>2020-12-09T18:12:00Z</cp:lastPrinted>
  <dcterms:created xsi:type="dcterms:W3CDTF">2021-08-12T01:03:00Z</dcterms:created>
  <dcterms:modified xsi:type="dcterms:W3CDTF">2021-08-12T01:03:00Z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0x010100C20FE4EA5E168B449B98E3D6DF6C6695</vt:lpwstr>
  </property>
  <property fmtid="{D5CDD505-2E9C-101B-9397-08002B2CF9AE}" pid="3" name="ImageGenResult">
    <vt:lpwstr/>
  </property>
  <property fmtid="{D5CDD505-2E9C-101B-9397-08002B2CF9AE}" pid="4" name="ImageGenerated">
    <vt:bool>false</vt:bool>
  </property>
</Properties>
</file>