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B24" w:rsidRDefault="00F8161D" w:rsidP="00E03BAA">
      <w:bookmarkStart w:id="0" w:name="_GoBack"/>
      <w:bookmarkEnd w:id="0"/>
      <w:r>
        <w:t>March 9</w:t>
      </w:r>
      <w:r w:rsidR="000A5A9A">
        <w:t>, 2015</w:t>
      </w:r>
    </w:p>
    <w:p w:rsidR="003608B2" w:rsidRDefault="003608B2" w:rsidP="00E03BAA"/>
    <w:p w:rsidR="003608B2" w:rsidRDefault="003608B2" w:rsidP="00E03BAA"/>
    <w:p w:rsidR="003608B2" w:rsidRDefault="000A5A9A" w:rsidP="00E03BAA">
      <w:r>
        <w:t>Interested parties in R.13-11-005</w:t>
      </w:r>
    </w:p>
    <w:p w:rsidR="003608B2" w:rsidRDefault="003608B2" w:rsidP="00E03BAA"/>
    <w:p w:rsidR="003608B2" w:rsidRDefault="003608B2" w:rsidP="00E03BAA"/>
    <w:p w:rsidR="000A5A9A" w:rsidRDefault="000A5A9A" w:rsidP="00902C49">
      <w:pPr>
        <w:jc w:val="both"/>
      </w:pPr>
      <w:r>
        <w:t>D.13-09-023 adopted the Efficiency Savings and Performance Incentive Mechanism (ESPI) and ordered Energy Division to submit 2013 ex-post results by 12/31/2014.  On December 24, 2014, Interim Executive Director Timothy Sullivan granted Energy Division’s extension request to submit draft evaluation results by 3/31/2015.</w:t>
      </w:r>
    </w:p>
    <w:p w:rsidR="000A5A9A" w:rsidRDefault="000A5A9A" w:rsidP="00902C49">
      <w:pPr>
        <w:jc w:val="both"/>
      </w:pPr>
    </w:p>
    <w:p w:rsidR="000A5A9A" w:rsidRDefault="000A5A9A" w:rsidP="00902C49">
      <w:pPr>
        <w:jc w:val="both"/>
      </w:pPr>
      <w:r>
        <w:t xml:space="preserve">Energy Division hereby submits the following 2013 ex-post updates for review.  </w:t>
      </w:r>
      <w:r w:rsidR="00B41AFF">
        <w:t>The 2013 ESPI measure groups that fall under the heading “Applied results from field work” represent about 36% of the first year kWh savings</w:t>
      </w:r>
      <w:r w:rsidR="00B41AFF">
        <w:rPr>
          <w:rStyle w:val="FootnoteReference"/>
        </w:rPr>
        <w:footnoteReference w:id="1"/>
      </w:r>
      <w:r w:rsidR="00B41AFF">
        <w:t xml:space="preserve">.  These measure groups received some ex-post update based on actual field measurement.  The 2013 ESPI measure groups under the heading “Used best available information” represent about 13% of the first year kWh savings.  These measure groups mostly relied on recent evaluation results or other recent findings, but not actual field work.  Finally, the 2013 ESPI measure groups under the heading “No updates” represent about 1% of the first year kWh savings.   </w:t>
      </w:r>
    </w:p>
    <w:p w:rsidR="00607079" w:rsidRDefault="00607079" w:rsidP="00902C49">
      <w:pPr>
        <w:jc w:val="both"/>
      </w:pPr>
    </w:p>
    <w:tbl>
      <w:tblPr>
        <w:tblW w:w="9198" w:type="dxa"/>
        <w:tblCellMar>
          <w:left w:w="0" w:type="dxa"/>
          <w:right w:w="0" w:type="dxa"/>
        </w:tblCellMar>
        <w:tblLook w:val="04A0" w:firstRow="1" w:lastRow="0" w:firstColumn="1" w:lastColumn="0" w:noHBand="0" w:noVBand="1"/>
      </w:tblPr>
      <w:tblGrid>
        <w:gridCol w:w="3168"/>
        <w:gridCol w:w="3150"/>
        <w:gridCol w:w="2880"/>
      </w:tblGrid>
      <w:tr w:rsidR="000A525D" w:rsidTr="000A525D">
        <w:tc>
          <w:tcPr>
            <w:tcW w:w="316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A525D" w:rsidRPr="000A525D" w:rsidRDefault="000A525D">
            <w:pPr>
              <w:rPr>
                <w:rFonts w:eastAsia="Calibri"/>
                <w:b/>
                <w:bCs/>
              </w:rPr>
            </w:pPr>
            <w:r>
              <w:rPr>
                <w:b/>
                <w:bCs/>
              </w:rPr>
              <w:t xml:space="preserve">Applied results from field work </w:t>
            </w:r>
          </w:p>
        </w:tc>
        <w:tc>
          <w:tcPr>
            <w:tcW w:w="31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A525D" w:rsidRPr="000A525D" w:rsidRDefault="000A525D">
            <w:pPr>
              <w:rPr>
                <w:rFonts w:eastAsia="Calibri"/>
                <w:b/>
                <w:bCs/>
              </w:rPr>
            </w:pPr>
            <w:r>
              <w:rPr>
                <w:b/>
                <w:bCs/>
              </w:rPr>
              <w:t>Used best available information</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A525D" w:rsidRPr="000A525D" w:rsidRDefault="000A525D">
            <w:pPr>
              <w:jc w:val="both"/>
              <w:rPr>
                <w:rFonts w:eastAsia="Calibri"/>
                <w:b/>
                <w:bCs/>
              </w:rPr>
            </w:pPr>
            <w:r>
              <w:rPr>
                <w:b/>
                <w:bCs/>
              </w:rPr>
              <w:t>No updates</w:t>
            </w:r>
          </w:p>
        </w:tc>
      </w:tr>
      <w:tr w:rsidR="000A525D" w:rsidTr="000A525D">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Behavior</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HVAC quality maintenance</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jc w:val="both"/>
              <w:rPr>
                <w:rFonts w:eastAsia="Calibri"/>
              </w:rPr>
            </w:pPr>
            <w:r>
              <w:t>Finance</w:t>
            </w:r>
          </w:p>
        </w:tc>
      </w:tr>
      <w:tr w:rsidR="000A525D" w:rsidTr="000A525D">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Custom projects</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HVAC mini-split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jc w:val="both"/>
              <w:rPr>
                <w:rFonts w:eastAsia="Calibri"/>
              </w:rPr>
            </w:pPr>
            <w:r>
              <w:t>LEDs</w:t>
            </w:r>
            <w:r w:rsidR="00B41AFF">
              <w:t xml:space="preserve"> (residential)</w:t>
            </w:r>
          </w:p>
        </w:tc>
      </w:tr>
      <w:tr w:rsidR="000A525D" w:rsidTr="000A525D">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Non-res new construction</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Residential lighting (CFLs)</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jc w:val="both"/>
              <w:rPr>
                <w:rFonts w:eastAsia="Calibri"/>
              </w:rPr>
            </w:pPr>
            <w:r>
              <w:t>LED night lights</w:t>
            </w:r>
          </w:p>
        </w:tc>
      </w:tr>
      <w:tr w:rsidR="000A525D" w:rsidTr="000A525D">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 xml:space="preserve">Sprinklers (Net-to-Gross only) </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Home upgrade program</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Computer network and workstation power management</w:t>
            </w:r>
          </w:p>
        </w:tc>
      </w:tr>
      <w:tr w:rsidR="000A525D" w:rsidTr="000A525D">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Pipe insulation Sprinklers (Net-to-Gross only)</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Water kits</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25D" w:rsidRPr="000A525D" w:rsidRDefault="000A525D">
            <w:pPr>
              <w:jc w:val="both"/>
              <w:rPr>
                <w:rFonts w:eastAsia="Calibri"/>
              </w:rPr>
            </w:pPr>
          </w:p>
        </w:tc>
      </w:tr>
      <w:tr w:rsidR="000A525D" w:rsidTr="000A525D">
        <w:tc>
          <w:tcPr>
            <w:tcW w:w="31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Non-res downstream lighting</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rsidR="000A525D" w:rsidRPr="000A525D" w:rsidRDefault="000A525D">
            <w:pPr>
              <w:rPr>
                <w:rFonts w:eastAsia="Calibri"/>
              </w:rPr>
            </w:pPr>
            <w:r>
              <w:t>Pool pump</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0A525D" w:rsidRPr="000A525D" w:rsidRDefault="000A525D">
            <w:pPr>
              <w:jc w:val="both"/>
              <w:rPr>
                <w:rFonts w:eastAsia="Calibri"/>
              </w:rPr>
            </w:pPr>
          </w:p>
        </w:tc>
      </w:tr>
    </w:tbl>
    <w:p w:rsidR="00607079" w:rsidRDefault="00607079" w:rsidP="00902C49">
      <w:pPr>
        <w:jc w:val="both"/>
      </w:pPr>
    </w:p>
    <w:p w:rsidR="000A5A9A" w:rsidRDefault="000A5A9A" w:rsidP="00902C49">
      <w:pPr>
        <w:jc w:val="both"/>
      </w:pPr>
    </w:p>
    <w:p w:rsidR="00F8161D" w:rsidRDefault="00F8161D" w:rsidP="00F8161D">
      <w:pPr>
        <w:jc w:val="both"/>
      </w:pPr>
      <w:r>
        <w:t xml:space="preserve">Table 1 provides a high level look at the 2013 ESPI measures and </w:t>
      </w:r>
      <w:r w:rsidR="00183B3A">
        <w:t>a short</w:t>
      </w:r>
      <w:r>
        <w:t xml:space="preserve"> description of the findings.  The table is meant to help stakeholders know which memos in Attachment 1 they should focus on for their review.</w:t>
      </w:r>
    </w:p>
    <w:p w:rsidR="00F8161D" w:rsidRDefault="00F8161D" w:rsidP="00F8161D">
      <w:pPr>
        <w:jc w:val="both"/>
      </w:pPr>
    </w:p>
    <w:p w:rsidR="00F8161D" w:rsidRDefault="00F8161D" w:rsidP="00F8161D">
      <w:pPr>
        <w:jc w:val="both"/>
      </w:pPr>
      <w:r>
        <w:t xml:space="preserve">The </w:t>
      </w:r>
      <w:r w:rsidR="003E42C7">
        <w:t>embedded</w:t>
      </w:r>
      <w:r>
        <w:t xml:space="preserve"> spreadsheet </w:t>
      </w:r>
      <w:r w:rsidR="003E42C7">
        <w:t xml:space="preserve">in attachment 2, </w:t>
      </w:r>
      <w:r>
        <w:t>titled, “</w:t>
      </w:r>
      <w:r w:rsidR="003E42C7">
        <w:t>2013 ESPI Measure Group Updates</w:t>
      </w:r>
      <w:r>
        <w:t xml:space="preserve">.xlsx” </w:t>
      </w:r>
      <w:r w:rsidR="003E42C7">
        <w:t>includes</w:t>
      </w:r>
      <w:r>
        <w:t xml:space="preserve"> a tab for each ESPI measure grouping and provides each ESPI measure along with the ex-ante values as well as the updated ex-post parameters.  Each tab has different column </w:t>
      </w:r>
      <w:r>
        <w:lastRenderedPageBreak/>
        <w:t>headings, so please review the spreadsheet carefully to make sure you are looking at the correct ex-post values for comparison.</w:t>
      </w:r>
    </w:p>
    <w:p w:rsidR="00F8161D" w:rsidRDefault="00F8161D" w:rsidP="00F8161D">
      <w:pPr>
        <w:jc w:val="both"/>
      </w:pPr>
    </w:p>
    <w:p w:rsidR="005C4D6A" w:rsidRDefault="00F8161D" w:rsidP="00F8161D">
      <w:pPr>
        <w:jc w:val="both"/>
      </w:pPr>
      <w:r>
        <w:t xml:space="preserve">Energy Division will host a public stakeholder workshop to go over the memos on Wednesday, </w:t>
      </w:r>
      <w:r w:rsidRPr="005C4D6A">
        <w:rPr>
          <w:b/>
        </w:rPr>
        <w:t>March 25, 2015</w:t>
      </w:r>
      <w:r>
        <w:t xml:space="preserve"> from 9:30 AM – 4:30PM at the Golden Gate Room at 505 Van Ness Avenue, San Francisco, CA.  </w:t>
      </w:r>
    </w:p>
    <w:p w:rsidR="005C4D6A" w:rsidRDefault="005C4D6A" w:rsidP="00F8161D">
      <w:pPr>
        <w:jc w:val="both"/>
      </w:pPr>
    </w:p>
    <w:p w:rsidR="005C4D6A" w:rsidRDefault="00F8161D" w:rsidP="00F8161D">
      <w:pPr>
        <w:jc w:val="both"/>
      </w:pPr>
      <w:r>
        <w:t xml:space="preserve">Comments on these 2013 ESPI memos are due to the Public Document Area by </w:t>
      </w:r>
      <w:r w:rsidR="000A525D">
        <w:t>April 6, 2015</w:t>
      </w:r>
      <w:r>
        <w:t xml:space="preserve">.  </w:t>
      </w:r>
    </w:p>
    <w:p w:rsidR="005C4D6A" w:rsidRDefault="003E42C7" w:rsidP="00F8161D">
      <w:pPr>
        <w:jc w:val="both"/>
      </w:pPr>
      <w:r>
        <w:t xml:space="preserve">To comment please go to:  </w:t>
      </w:r>
      <w:hyperlink r:id="rId9" w:history="1">
        <w:r w:rsidRPr="00EC452F">
          <w:rPr>
            <w:rStyle w:val="Hyperlink"/>
          </w:rPr>
          <w:t>http://www.energydataweb.com/cpuc/search.aspx</w:t>
        </w:r>
      </w:hyperlink>
      <w:r>
        <w:t xml:space="preserve"> and enter </w:t>
      </w:r>
      <w:r w:rsidR="007B4FEE" w:rsidRPr="007B4FEE">
        <w:rPr>
          <w:b/>
        </w:rPr>
        <w:t>2013</w:t>
      </w:r>
      <w:r w:rsidR="007B4FEE">
        <w:t xml:space="preserve"> </w:t>
      </w:r>
      <w:r w:rsidRPr="003E42C7">
        <w:rPr>
          <w:b/>
        </w:rPr>
        <w:t>ESPI</w:t>
      </w:r>
      <w:r>
        <w:t xml:space="preserve"> in the search text box.  </w:t>
      </w:r>
    </w:p>
    <w:p w:rsidR="005C4D6A" w:rsidRDefault="005C4D6A" w:rsidP="00F8161D">
      <w:pPr>
        <w:jc w:val="both"/>
      </w:pPr>
    </w:p>
    <w:p w:rsidR="00F8161D" w:rsidRDefault="000A525D" w:rsidP="00F8161D">
      <w:pPr>
        <w:jc w:val="both"/>
      </w:pPr>
      <w:r>
        <w:t xml:space="preserve">Once the memos are final, </w:t>
      </w:r>
      <w:r w:rsidR="00F8161D">
        <w:t>Energy Division will begin the process of determining the 2013 Ex-Post performance award based on the updates from these memos.  We will notify the service list once this report is ready for stakeholder review.</w:t>
      </w:r>
    </w:p>
    <w:p w:rsidR="000A5A9A" w:rsidRDefault="000A5A9A" w:rsidP="00902C49">
      <w:pPr>
        <w:jc w:val="both"/>
      </w:pPr>
      <w:r>
        <w:t>.</w:t>
      </w:r>
    </w:p>
    <w:p w:rsidR="000A5A9A" w:rsidRDefault="000A5A9A" w:rsidP="00902C49">
      <w:pPr>
        <w:jc w:val="both"/>
      </w:pPr>
    </w:p>
    <w:p w:rsidR="00F8161D" w:rsidRDefault="000A5A9A" w:rsidP="00902C49">
      <w:pPr>
        <w:jc w:val="both"/>
      </w:pPr>
      <w:r>
        <w:t xml:space="preserve">If you have any questions please contact Jeorge Tagnipes at </w:t>
      </w:r>
      <w:hyperlink r:id="rId10" w:history="1">
        <w:r w:rsidR="00F8161D" w:rsidRPr="00964773">
          <w:rPr>
            <w:rStyle w:val="Hyperlink"/>
          </w:rPr>
          <w:t>Jeorge.tagnipes@cpuc.ca.gov</w:t>
        </w:r>
      </w:hyperlink>
      <w:r>
        <w:t>.</w:t>
      </w:r>
    </w:p>
    <w:p w:rsidR="00F8161D" w:rsidRDefault="00B41AFF" w:rsidP="00902C49">
      <w:pPr>
        <w:jc w:val="both"/>
      </w:pPr>
      <w:r>
        <w:br w:type="page"/>
      </w:r>
    </w:p>
    <w:p w:rsidR="00F8161D" w:rsidRDefault="00F8161D" w:rsidP="00902C49">
      <w:pPr>
        <w:jc w:val="both"/>
      </w:pPr>
    </w:p>
    <w:p w:rsidR="00302923" w:rsidRDefault="00302923" w:rsidP="00302923">
      <w:pPr>
        <w:pStyle w:val="Caption"/>
        <w:keepNext/>
      </w:pPr>
      <w:r>
        <w:t xml:space="preserve">Table </w:t>
      </w:r>
      <w:r w:rsidR="00ED4168">
        <w:fldChar w:fldCharType="begin"/>
      </w:r>
      <w:r w:rsidR="00ED4168">
        <w:instrText xml:space="preserve"> SEQ Table \* ARABIC </w:instrText>
      </w:r>
      <w:r w:rsidR="00ED4168">
        <w:fldChar w:fldCharType="separate"/>
      </w:r>
      <w:r>
        <w:rPr>
          <w:noProof/>
        </w:rPr>
        <w:t>1</w:t>
      </w:r>
      <w:r w:rsidR="00ED4168">
        <w:rPr>
          <w:noProof/>
        </w:rPr>
        <w:fldChar w:fldCharType="end"/>
      </w:r>
      <w:r>
        <w:t xml:space="preserve"> - Summary of 2013 ESPI Updates</w:t>
      </w:r>
    </w:p>
    <w:p w:rsidR="00302923" w:rsidRPr="00302923" w:rsidRDefault="00302923" w:rsidP="00302923"/>
    <w:tbl>
      <w:tblPr>
        <w:tblW w:w="5090" w:type="pct"/>
        <w:tblLayout w:type="fixed"/>
        <w:tblLook w:val="04A0" w:firstRow="1" w:lastRow="0" w:firstColumn="1" w:lastColumn="0" w:noHBand="0" w:noVBand="1"/>
      </w:tblPr>
      <w:tblGrid>
        <w:gridCol w:w="542"/>
        <w:gridCol w:w="1096"/>
        <w:gridCol w:w="1092"/>
        <w:gridCol w:w="895"/>
        <w:gridCol w:w="1312"/>
        <w:gridCol w:w="1111"/>
        <w:gridCol w:w="1185"/>
        <w:gridCol w:w="2515"/>
      </w:tblGrid>
      <w:tr w:rsidR="003E42C7" w:rsidRPr="00302923" w:rsidTr="003D147B">
        <w:trPr>
          <w:trHeight w:val="915"/>
          <w:tblHeader/>
        </w:trPr>
        <w:tc>
          <w:tcPr>
            <w:tcW w:w="278" w:type="pct"/>
            <w:tcBorders>
              <w:top w:val="single" w:sz="8" w:space="0" w:color="auto"/>
              <w:left w:val="single" w:sz="8" w:space="0" w:color="auto"/>
              <w:bottom w:val="single" w:sz="8" w:space="0" w:color="auto"/>
              <w:right w:val="single" w:sz="8" w:space="0" w:color="auto"/>
            </w:tcBorders>
            <w:shd w:val="clear" w:color="auto" w:fill="BFBFBF"/>
          </w:tcPr>
          <w:p w:rsidR="00302923" w:rsidRPr="00302923" w:rsidRDefault="00302923" w:rsidP="00302923">
            <w:pPr>
              <w:jc w:val="center"/>
              <w:rPr>
                <w:rFonts w:ascii="Calibri" w:hAnsi="Calibri"/>
                <w:b/>
                <w:color w:val="000000"/>
                <w:sz w:val="20"/>
                <w:szCs w:val="20"/>
              </w:rPr>
            </w:pPr>
          </w:p>
        </w:tc>
        <w:tc>
          <w:tcPr>
            <w:tcW w:w="562" w:type="pct"/>
            <w:tcBorders>
              <w:top w:val="single" w:sz="8" w:space="0" w:color="auto"/>
              <w:left w:val="single" w:sz="8" w:space="0" w:color="auto"/>
              <w:bottom w:val="single" w:sz="8" w:space="0" w:color="auto"/>
              <w:right w:val="single" w:sz="8" w:space="0" w:color="auto"/>
            </w:tcBorders>
            <w:shd w:val="clear" w:color="auto" w:fill="BFBFBF"/>
            <w:vAlign w:val="center"/>
            <w:hideMark/>
          </w:tcPr>
          <w:p w:rsidR="00302923" w:rsidRPr="00302923" w:rsidRDefault="00302923" w:rsidP="00302923">
            <w:pPr>
              <w:rPr>
                <w:rFonts w:ascii="Calibri" w:hAnsi="Calibri"/>
                <w:b/>
                <w:color w:val="000000"/>
                <w:sz w:val="20"/>
                <w:szCs w:val="20"/>
              </w:rPr>
            </w:pPr>
            <w:r w:rsidRPr="00302923">
              <w:rPr>
                <w:rFonts w:ascii="Calibri" w:hAnsi="Calibri"/>
                <w:b/>
                <w:color w:val="000000"/>
                <w:sz w:val="20"/>
                <w:szCs w:val="20"/>
              </w:rPr>
              <w:t>2013 ESPI Measure</w:t>
            </w:r>
          </w:p>
        </w:tc>
        <w:tc>
          <w:tcPr>
            <w:tcW w:w="560" w:type="pct"/>
            <w:tcBorders>
              <w:top w:val="single" w:sz="8" w:space="0" w:color="auto"/>
              <w:left w:val="nil"/>
              <w:bottom w:val="single" w:sz="8" w:space="0" w:color="auto"/>
              <w:right w:val="single" w:sz="8" w:space="0" w:color="auto"/>
            </w:tcBorders>
            <w:shd w:val="clear" w:color="auto" w:fill="BFBFBF"/>
            <w:vAlign w:val="center"/>
            <w:hideMark/>
          </w:tcPr>
          <w:p w:rsidR="00302923" w:rsidRPr="00302923" w:rsidRDefault="00302923" w:rsidP="00302923">
            <w:pPr>
              <w:rPr>
                <w:rFonts w:ascii="Calibri" w:hAnsi="Calibri"/>
                <w:b/>
                <w:color w:val="000000"/>
                <w:sz w:val="20"/>
                <w:szCs w:val="20"/>
              </w:rPr>
            </w:pPr>
            <w:r w:rsidRPr="00302923">
              <w:rPr>
                <w:rFonts w:ascii="Calibri" w:hAnsi="Calibri"/>
                <w:b/>
                <w:color w:val="000000"/>
                <w:sz w:val="20"/>
                <w:szCs w:val="20"/>
              </w:rPr>
              <w:t>Applicable IOU(s)</w:t>
            </w:r>
          </w:p>
        </w:tc>
        <w:tc>
          <w:tcPr>
            <w:tcW w:w="459" w:type="pct"/>
            <w:tcBorders>
              <w:top w:val="single" w:sz="8" w:space="0" w:color="auto"/>
              <w:left w:val="nil"/>
              <w:bottom w:val="single" w:sz="8" w:space="0" w:color="auto"/>
              <w:right w:val="single" w:sz="8" w:space="0" w:color="auto"/>
            </w:tcBorders>
            <w:shd w:val="clear" w:color="auto" w:fill="BFBFBF"/>
            <w:vAlign w:val="center"/>
            <w:hideMark/>
          </w:tcPr>
          <w:p w:rsidR="00302923" w:rsidRPr="00302923" w:rsidRDefault="00302923" w:rsidP="00302923">
            <w:pPr>
              <w:rPr>
                <w:rFonts w:ascii="Calibri" w:hAnsi="Calibri"/>
                <w:b/>
                <w:color w:val="000000"/>
                <w:sz w:val="20"/>
                <w:szCs w:val="20"/>
              </w:rPr>
            </w:pPr>
            <w:r w:rsidRPr="00302923">
              <w:rPr>
                <w:rFonts w:ascii="Calibri" w:hAnsi="Calibri"/>
                <w:b/>
                <w:color w:val="000000"/>
                <w:sz w:val="20"/>
                <w:szCs w:val="20"/>
              </w:rPr>
              <w:t>Roadmap</w:t>
            </w:r>
          </w:p>
        </w:tc>
        <w:tc>
          <w:tcPr>
            <w:tcW w:w="673" w:type="pct"/>
            <w:tcBorders>
              <w:top w:val="single" w:sz="8" w:space="0" w:color="auto"/>
              <w:left w:val="nil"/>
              <w:bottom w:val="single" w:sz="8" w:space="0" w:color="auto"/>
              <w:right w:val="single" w:sz="8" w:space="0" w:color="auto"/>
            </w:tcBorders>
            <w:shd w:val="clear" w:color="auto" w:fill="BFBFBF"/>
            <w:vAlign w:val="center"/>
            <w:hideMark/>
          </w:tcPr>
          <w:p w:rsidR="00302923" w:rsidRPr="00302923" w:rsidRDefault="00302923" w:rsidP="00302923">
            <w:pPr>
              <w:rPr>
                <w:rFonts w:ascii="Calibri" w:hAnsi="Calibri"/>
                <w:b/>
                <w:color w:val="000000"/>
                <w:sz w:val="20"/>
                <w:szCs w:val="20"/>
              </w:rPr>
            </w:pPr>
            <w:r w:rsidRPr="00302923">
              <w:rPr>
                <w:rFonts w:ascii="Calibri" w:hAnsi="Calibri"/>
                <w:b/>
                <w:color w:val="000000"/>
                <w:sz w:val="20"/>
                <w:szCs w:val="20"/>
              </w:rPr>
              <w:t>Study Name/WO</w:t>
            </w:r>
          </w:p>
        </w:tc>
        <w:tc>
          <w:tcPr>
            <w:tcW w:w="570" w:type="pct"/>
            <w:tcBorders>
              <w:top w:val="single" w:sz="8" w:space="0" w:color="auto"/>
              <w:left w:val="nil"/>
              <w:bottom w:val="single" w:sz="8" w:space="0" w:color="auto"/>
              <w:right w:val="single" w:sz="8" w:space="0" w:color="auto"/>
            </w:tcBorders>
            <w:shd w:val="clear" w:color="auto" w:fill="BFBFBF"/>
            <w:vAlign w:val="center"/>
            <w:hideMark/>
          </w:tcPr>
          <w:p w:rsidR="00302923" w:rsidRPr="00302923" w:rsidRDefault="00302923" w:rsidP="00302923">
            <w:pPr>
              <w:rPr>
                <w:rFonts w:ascii="Calibri" w:hAnsi="Calibri"/>
                <w:b/>
                <w:color w:val="000000"/>
                <w:sz w:val="20"/>
                <w:szCs w:val="20"/>
              </w:rPr>
            </w:pPr>
            <w:r w:rsidRPr="00302923">
              <w:rPr>
                <w:rFonts w:ascii="Calibri" w:hAnsi="Calibri"/>
                <w:b/>
                <w:color w:val="000000"/>
                <w:sz w:val="20"/>
                <w:szCs w:val="20"/>
              </w:rPr>
              <w:t>ED Staff lead</w:t>
            </w:r>
          </w:p>
        </w:tc>
        <w:tc>
          <w:tcPr>
            <w:tcW w:w="608" w:type="pct"/>
            <w:tcBorders>
              <w:top w:val="single" w:sz="8" w:space="0" w:color="auto"/>
              <w:left w:val="nil"/>
              <w:bottom w:val="single" w:sz="8" w:space="0" w:color="auto"/>
              <w:right w:val="single" w:sz="4" w:space="0" w:color="auto"/>
            </w:tcBorders>
            <w:shd w:val="clear" w:color="auto" w:fill="BFBFBF"/>
          </w:tcPr>
          <w:p w:rsidR="00302923" w:rsidRPr="00302923" w:rsidRDefault="00302923" w:rsidP="00302923">
            <w:pPr>
              <w:rPr>
                <w:rFonts w:ascii="Calibri" w:hAnsi="Calibri"/>
                <w:b/>
                <w:color w:val="000000"/>
                <w:sz w:val="20"/>
                <w:szCs w:val="20"/>
              </w:rPr>
            </w:pPr>
          </w:p>
          <w:p w:rsidR="00302923" w:rsidRPr="00302923" w:rsidRDefault="00302923" w:rsidP="00302923">
            <w:pPr>
              <w:rPr>
                <w:rFonts w:ascii="Calibri" w:hAnsi="Calibri"/>
                <w:b/>
                <w:color w:val="000000"/>
                <w:sz w:val="20"/>
                <w:szCs w:val="20"/>
              </w:rPr>
            </w:pPr>
            <w:r w:rsidRPr="00302923">
              <w:rPr>
                <w:rFonts w:ascii="Calibri" w:hAnsi="Calibri"/>
                <w:b/>
                <w:color w:val="000000"/>
                <w:sz w:val="20"/>
                <w:szCs w:val="20"/>
              </w:rPr>
              <w:t>Type of Update</w:t>
            </w:r>
          </w:p>
        </w:tc>
        <w:tc>
          <w:tcPr>
            <w:tcW w:w="1290" w:type="pct"/>
            <w:tcBorders>
              <w:top w:val="single" w:sz="4" w:space="0" w:color="auto"/>
              <w:left w:val="single" w:sz="4" w:space="0" w:color="auto"/>
              <w:bottom w:val="single" w:sz="4" w:space="0" w:color="auto"/>
              <w:right w:val="single" w:sz="4" w:space="0" w:color="auto"/>
            </w:tcBorders>
            <w:shd w:val="clear" w:color="auto" w:fill="BFBFBF"/>
          </w:tcPr>
          <w:p w:rsidR="00302923" w:rsidRPr="00302923" w:rsidRDefault="00302923" w:rsidP="00302923">
            <w:pPr>
              <w:rPr>
                <w:rFonts w:ascii="Calibri" w:hAnsi="Calibri"/>
                <w:b/>
                <w:color w:val="000000"/>
                <w:sz w:val="20"/>
                <w:szCs w:val="20"/>
              </w:rPr>
            </w:pPr>
          </w:p>
          <w:p w:rsidR="00302923" w:rsidRPr="00302923" w:rsidRDefault="00302923" w:rsidP="00302923">
            <w:pPr>
              <w:rPr>
                <w:rFonts w:ascii="Calibri" w:hAnsi="Calibri"/>
                <w:b/>
                <w:color w:val="000000"/>
                <w:sz w:val="20"/>
                <w:szCs w:val="20"/>
              </w:rPr>
            </w:pPr>
            <w:r w:rsidRPr="00302923">
              <w:rPr>
                <w:rFonts w:ascii="Calibri" w:hAnsi="Calibri"/>
                <w:b/>
                <w:color w:val="000000"/>
                <w:sz w:val="20"/>
                <w:szCs w:val="20"/>
              </w:rPr>
              <w:t>Summary of Updates from Memos</w:t>
            </w:r>
          </w:p>
        </w:tc>
      </w:tr>
      <w:tr w:rsidR="003E42C7" w:rsidRPr="00302923" w:rsidTr="003D147B">
        <w:trPr>
          <w:trHeight w:val="6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A</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Quality Maintenance</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 SCE, SDG&amp;E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HVAC</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Impact Evaluation of QM Program</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Lola</w:t>
            </w:r>
            <w:r w:rsidR="00F97012">
              <w:rPr>
                <w:rFonts w:ascii="Calibri" w:hAnsi="Calibri"/>
                <w:color w:val="000000"/>
                <w:sz w:val="20"/>
                <w:szCs w:val="20"/>
              </w:rPr>
              <w:t xml:space="preserve"> Odunlami</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Best available information</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DB7A3E" w:rsidP="00AA6D04">
            <w:pPr>
              <w:rPr>
                <w:rFonts w:ascii="Calibri" w:hAnsi="Calibri"/>
                <w:color w:val="000000"/>
                <w:sz w:val="20"/>
                <w:szCs w:val="20"/>
              </w:rPr>
            </w:pPr>
            <w:r w:rsidRPr="00DB7A3E">
              <w:rPr>
                <w:rFonts w:ascii="Calibri" w:hAnsi="Calibri"/>
                <w:color w:val="000000"/>
                <w:sz w:val="20"/>
                <w:szCs w:val="20"/>
              </w:rPr>
              <w:t xml:space="preserve">Where applicable, data from the 2010-12 impact evaluation and 2013-14 M&amp;V pilot sites were applied—in the form of a savings installation rate—to adjust the 2013 ex ante savings claims in order to produce the ex post values reported in this memo. </w:t>
            </w:r>
            <w:r w:rsidR="00302923" w:rsidRPr="00302923">
              <w:rPr>
                <w:rFonts w:ascii="Calibri" w:hAnsi="Calibri"/>
                <w:b/>
                <w:i/>
                <w:color w:val="000000"/>
                <w:sz w:val="20"/>
                <w:szCs w:val="20"/>
              </w:rPr>
              <w:t xml:space="preserve">Ex-post kWh </w:t>
            </w:r>
            <w:r w:rsidR="00AA6D04">
              <w:rPr>
                <w:rFonts w:ascii="Calibri" w:hAnsi="Calibri"/>
                <w:b/>
                <w:i/>
                <w:color w:val="000000"/>
                <w:sz w:val="20"/>
                <w:szCs w:val="20"/>
              </w:rPr>
              <w:t>statewide from 32 GWh to 19.7 GWh.</w:t>
            </w:r>
          </w:p>
        </w:tc>
      </w:tr>
      <w:tr w:rsidR="003E42C7" w:rsidRPr="00302923" w:rsidTr="003D147B">
        <w:trPr>
          <w:trHeight w:val="9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B</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Mini-splits</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SCE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HVAC</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Upstream HVAC Program Impact Evaluation</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Lola</w:t>
            </w:r>
            <w:r w:rsidR="00F97012">
              <w:rPr>
                <w:rFonts w:ascii="Calibri" w:hAnsi="Calibri"/>
                <w:color w:val="000000"/>
                <w:sz w:val="20"/>
                <w:szCs w:val="20"/>
              </w:rPr>
              <w:t xml:space="preserve"> Odunlami</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spacing w:after="200" w:line="276" w:lineRule="auto"/>
              <w:rPr>
                <w:rFonts w:ascii="Calibri" w:hAnsi="Calibri"/>
                <w:sz w:val="20"/>
                <w:szCs w:val="20"/>
              </w:rPr>
            </w:pPr>
            <w:r w:rsidRPr="00302923">
              <w:rPr>
                <w:rFonts w:ascii="Calibri" w:hAnsi="Calibri"/>
                <w:color w:val="000000"/>
                <w:sz w:val="20"/>
                <w:szCs w:val="20"/>
              </w:rPr>
              <w:t>Best available information</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 xml:space="preserve">Review WP of ductless mini-split heat pump units under 65 kBtuh and verify if tracking data are consistent with WP values.  Also compare tracking data with mini-split survey results. </w:t>
            </w:r>
            <w:r w:rsidRPr="00302923">
              <w:rPr>
                <w:rFonts w:ascii="Calibri" w:hAnsi="Calibri"/>
                <w:b/>
                <w:i/>
                <w:color w:val="000000"/>
                <w:sz w:val="20"/>
                <w:szCs w:val="20"/>
              </w:rPr>
              <w:t>Ex-Post kWh savings higher by 47%.</w:t>
            </w:r>
          </w:p>
        </w:tc>
      </w:tr>
      <w:tr w:rsidR="003E42C7" w:rsidRPr="00302923" w:rsidTr="003D147B">
        <w:trPr>
          <w:trHeight w:val="9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C</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Screw-in CFLs</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 SCE, SDG&amp;E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Lighting</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Lighting Impact Evaluation and Market Research</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Jeorge</w:t>
            </w:r>
            <w:r w:rsidR="00F97012">
              <w:rPr>
                <w:rFonts w:ascii="Calibri" w:hAnsi="Calibri"/>
                <w:color w:val="000000"/>
                <w:sz w:val="20"/>
                <w:szCs w:val="20"/>
              </w:rPr>
              <w:t xml:space="preserve"> Tagnipes</w:t>
            </w:r>
          </w:p>
        </w:tc>
        <w:tc>
          <w:tcPr>
            <w:tcW w:w="608" w:type="pct"/>
            <w:tcBorders>
              <w:top w:val="nil"/>
              <w:left w:val="nil"/>
              <w:bottom w:val="single" w:sz="8" w:space="0" w:color="auto"/>
              <w:right w:val="single" w:sz="4" w:space="0" w:color="auto"/>
            </w:tcBorders>
          </w:tcPr>
          <w:p w:rsidR="00302923" w:rsidRPr="00302923" w:rsidRDefault="00302923" w:rsidP="00302923">
            <w:pPr>
              <w:spacing w:after="200" w:line="276" w:lineRule="auto"/>
              <w:rPr>
                <w:rFonts w:ascii="Calibri" w:hAnsi="Calibri"/>
                <w:sz w:val="20"/>
                <w:szCs w:val="20"/>
              </w:rPr>
            </w:pPr>
          </w:p>
          <w:p w:rsidR="00302923" w:rsidRPr="00302923" w:rsidRDefault="00302923" w:rsidP="00302923">
            <w:pPr>
              <w:spacing w:after="200" w:line="276" w:lineRule="auto"/>
              <w:rPr>
                <w:rFonts w:ascii="Calibri" w:hAnsi="Calibri"/>
                <w:sz w:val="20"/>
                <w:szCs w:val="20"/>
              </w:rPr>
            </w:pPr>
          </w:p>
          <w:p w:rsidR="00302923" w:rsidRPr="00302923" w:rsidRDefault="00302923" w:rsidP="00302923">
            <w:pPr>
              <w:spacing w:after="200" w:line="276" w:lineRule="auto"/>
              <w:rPr>
                <w:rFonts w:ascii="Calibri" w:hAnsi="Calibri"/>
                <w:sz w:val="20"/>
                <w:szCs w:val="20"/>
              </w:rPr>
            </w:pPr>
            <w:r w:rsidRPr="00302923">
              <w:rPr>
                <w:rFonts w:ascii="Calibri" w:hAnsi="Calibri"/>
                <w:color w:val="000000"/>
                <w:sz w:val="20"/>
                <w:szCs w:val="20"/>
              </w:rPr>
              <w:t>Best available information</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spacing w:after="200" w:line="276" w:lineRule="auto"/>
              <w:rPr>
                <w:rFonts w:ascii="Calibri" w:hAnsi="Calibri"/>
                <w:sz w:val="20"/>
                <w:szCs w:val="20"/>
              </w:rPr>
            </w:pPr>
            <w:r w:rsidRPr="00302923">
              <w:rPr>
                <w:rFonts w:ascii="Calibri" w:hAnsi="Calibri"/>
                <w:sz w:val="20"/>
                <w:szCs w:val="20"/>
              </w:rPr>
              <w:t xml:space="preserve">Apply 2010-2012 evaluation results to 2013 tracking data to determine the ex-post results for Lighting Indoor CFL Basic, Lighting Indoor CFL A-Lamp, Lighting Indoor CFL Reflector, and Lighting Indoor CFL Globe.  </w:t>
            </w:r>
            <w:r w:rsidRPr="00302923">
              <w:rPr>
                <w:rFonts w:ascii="Calibri" w:hAnsi="Calibri"/>
                <w:b/>
                <w:i/>
                <w:sz w:val="20"/>
                <w:szCs w:val="20"/>
              </w:rPr>
              <w:t>Ex-Post kWh savings higher by 25% of ex-ante kWh savings.</w:t>
            </w:r>
          </w:p>
        </w:tc>
      </w:tr>
      <w:tr w:rsidR="003E42C7" w:rsidRPr="00302923" w:rsidTr="003D147B">
        <w:trPr>
          <w:trHeight w:val="9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C</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LED Lamps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 </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Lighting</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Lighting Impact Evaluation and Market Research</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Jeorge</w:t>
            </w:r>
            <w:r w:rsidR="00F97012">
              <w:rPr>
                <w:rFonts w:ascii="Calibri" w:hAnsi="Calibri"/>
                <w:color w:val="000000"/>
                <w:sz w:val="20"/>
                <w:szCs w:val="20"/>
              </w:rPr>
              <w:t xml:space="preserve"> Tagnipes</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 xml:space="preserve">No update </w:t>
            </w:r>
            <w:r w:rsidR="00852114">
              <w:rPr>
                <w:rFonts w:ascii="Calibri" w:hAnsi="Calibri"/>
                <w:color w:val="000000"/>
                <w:sz w:val="20"/>
                <w:szCs w:val="20"/>
              </w:rPr>
              <w:t>for residential</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color w:val="000000"/>
                <w:sz w:val="20"/>
                <w:szCs w:val="20"/>
              </w:rPr>
            </w:pPr>
          </w:p>
        </w:tc>
      </w:tr>
      <w:tr w:rsidR="003E42C7" w:rsidRPr="00302923" w:rsidTr="003D147B">
        <w:trPr>
          <w:trHeight w:val="9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C</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LED Night Lights</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SCE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Lighting</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Lighting Impact Evaluation and Market Research</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Jeorge</w:t>
            </w:r>
            <w:r w:rsidR="00F97012">
              <w:rPr>
                <w:rFonts w:ascii="Calibri" w:hAnsi="Calibri"/>
                <w:color w:val="000000"/>
                <w:sz w:val="20"/>
                <w:szCs w:val="20"/>
              </w:rPr>
              <w:t xml:space="preserve"> Tagnipes</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 update</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color w:val="000000"/>
                <w:sz w:val="20"/>
                <w:szCs w:val="20"/>
              </w:rPr>
            </w:pPr>
          </w:p>
        </w:tc>
      </w:tr>
      <w:tr w:rsidR="003E42C7" w:rsidRPr="00302923" w:rsidTr="003D147B">
        <w:trPr>
          <w:trHeight w:val="18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D</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880B73">
            <w:pPr>
              <w:rPr>
                <w:rFonts w:ascii="Calibri" w:hAnsi="Calibri"/>
                <w:color w:val="000000"/>
                <w:sz w:val="20"/>
                <w:szCs w:val="20"/>
              </w:rPr>
            </w:pPr>
            <w:r w:rsidRPr="00302923">
              <w:rPr>
                <w:rFonts w:ascii="Calibri" w:hAnsi="Calibri"/>
                <w:color w:val="000000"/>
                <w:sz w:val="20"/>
                <w:szCs w:val="20"/>
              </w:rPr>
              <w:t xml:space="preserve">Home Upgrade Program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 SCE, SDG&amp;E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Residential</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Residential Contract Group</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Syreeta</w:t>
            </w:r>
            <w:r w:rsidR="00F97012">
              <w:rPr>
                <w:rFonts w:ascii="Calibri" w:hAnsi="Calibri"/>
                <w:color w:val="000000"/>
                <w:sz w:val="20"/>
                <w:szCs w:val="20"/>
              </w:rPr>
              <w:t xml:space="preserve"> Gibbs</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Best available information</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 xml:space="preserve">Applied results from 2010-2012 study, although the results from this study was not used for ex-ante values for 13-14.  </w:t>
            </w:r>
            <w:r w:rsidRPr="00302923">
              <w:rPr>
                <w:rFonts w:ascii="Calibri" w:hAnsi="Calibri"/>
                <w:b/>
                <w:i/>
                <w:color w:val="000000"/>
                <w:sz w:val="20"/>
                <w:szCs w:val="20"/>
              </w:rPr>
              <w:t>Ex-post realization rates of 36% (kWh), 40% (kW), and 54% (therms).</w:t>
            </w:r>
          </w:p>
        </w:tc>
      </w:tr>
      <w:tr w:rsidR="003E42C7" w:rsidRPr="00302923" w:rsidTr="003D147B">
        <w:trPr>
          <w:trHeight w:val="15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sz w:val="20"/>
                <w:szCs w:val="20"/>
              </w:rPr>
            </w:pPr>
          </w:p>
          <w:p w:rsidR="00302923" w:rsidRPr="00302923" w:rsidRDefault="00302923" w:rsidP="00302923">
            <w:pPr>
              <w:jc w:val="center"/>
              <w:rPr>
                <w:rFonts w:ascii="Calibri" w:hAnsi="Calibri"/>
                <w:sz w:val="20"/>
                <w:szCs w:val="20"/>
              </w:rPr>
            </w:pPr>
          </w:p>
          <w:p w:rsidR="00302923" w:rsidRPr="00302923" w:rsidRDefault="00302923" w:rsidP="00302923">
            <w:pPr>
              <w:jc w:val="center"/>
              <w:rPr>
                <w:rFonts w:ascii="Calibri" w:hAnsi="Calibri"/>
                <w:sz w:val="20"/>
                <w:szCs w:val="20"/>
              </w:rPr>
            </w:pPr>
          </w:p>
          <w:p w:rsidR="00302923" w:rsidRPr="00302923" w:rsidRDefault="00302923" w:rsidP="00302923">
            <w:pPr>
              <w:jc w:val="center"/>
              <w:rPr>
                <w:rFonts w:ascii="Calibri" w:hAnsi="Calibri"/>
                <w:sz w:val="20"/>
                <w:szCs w:val="20"/>
              </w:rPr>
            </w:pPr>
            <w:r w:rsidRPr="00302923">
              <w:rPr>
                <w:rFonts w:ascii="Calibri" w:hAnsi="Calibri"/>
                <w:sz w:val="20"/>
                <w:szCs w:val="20"/>
              </w:rPr>
              <w:t>E</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sz w:val="20"/>
                <w:szCs w:val="20"/>
              </w:rPr>
            </w:pPr>
            <w:r w:rsidRPr="00302923">
              <w:rPr>
                <w:rFonts w:ascii="Calibri" w:hAnsi="Calibri"/>
                <w:sz w:val="20"/>
                <w:szCs w:val="20"/>
              </w:rPr>
              <w:t>Water Savings Kits</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SDG&amp;E and SCG</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Residential</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D147B" w:rsidP="00302923">
            <w:pPr>
              <w:rPr>
                <w:rFonts w:ascii="Calibri" w:hAnsi="Calibri"/>
                <w:sz w:val="20"/>
                <w:szCs w:val="20"/>
              </w:rPr>
            </w:pPr>
            <w:r w:rsidRPr="00302923">
              <w:rPr>
                <w:rFonts w:ascii="Calibri" w:hAnsi="Calibri"/>
                <w:color w:val="000000"/>
                <w:sz w:val="20"/>
                <w:szCs w:val="20"/>
              </w:rPr>
              <w:t>Residential Contract Group</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Peter Franzese</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sz w:val="20"/>
                <w:szCs w:val="20"/>
              </w:rPr>
            </w:pPr>
          </w:p>
          <w:p w:rsidR="00302923" w:rsidRPr="00302923" w:rsidRDefault="00302923" w:rsidP="00302923">
            <w:pPr>
              <w:rPr>
                <w:rFonts w:ascii="Calibri" w:hAnsi="Calibri"/>
                <w:sz w:val="20"/>
                <w:szCs w:val="20"/>
              </w:rPr>
            </w:pPr>
          </w:p>
          <w:p w:rsidR="00302923" w:rsidRPr="00302923" w:rsidRDefault="00302923" w:rsidP="00302923">
            <w:pPr>
              <w:rPr>
                <w:rFonts w:ascii="Calibri" w:hAnsi="Calibri"/>
                <w:sz w:val="20"/>
                <w:szCs w:val="20"/>
              </w:rPr>
            </w:pPr>
          </w:p>
          <w:p w:rsidR="00302923" w:rsidRPr="00302923" w:rsidRDefault="00302923" w:rsidP="00302923">
            <w:pPr>
              <w:rPr>
                <w:rFonts w:ascii="Calibri" w:hAnsi="Calibri"/>
                <w:sz w:val="20"/>
                <w:szCs w:val="20"/>
              </w:rPr>
            </w:pPr>
            <w:r w:rsidRPr="00302923">
              <w:rPr>
                <w:rFonts w:ascii="Calibri" w:hAnsi="Calibri"/>
                <w:color w:val="000000"/>
                <w:sz w:val="20"/>
                <w:szCs w:val="20"/>
              </w:rPr>
              <w:t>Best available information</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sz w:val="20"/>
                <w:szCs w:val="20"/>
              </w:rPr>
            </w:pPr>
            <w:r w:rsidRPr="00302923">
              <w:rPr>
                <w:rFonts w:ascii="Calibri" w:hAnsi="Calibri"/>
                <w:sz w:val="20"/>
                <w:szCs w:val="20"/>
              </w:rPr>
              <w:t xml:space="preserve">Focused on water savings kits, DI faucet aerators, and DI low-flow showerheads in MF buildings for one SCG program and two SDGE programs.  Reviewed WP for UES, IR and NTG and applied these values to get ex-post results.  </w:t>
            </w:r>
            <w:r w:rsidRPr="00302923">
              <w:rPr>
                <w:rFonts w:ascii="Calibri" w:hAnsi="Calibri"/>
                <w:b/>
                <w:i/>
                <w:sz w:val="20"/>
                <w:szCs w:val="20"/>
              </w:rPr>
              <w:t>Ex-post therm savings decreased for aerators, increased for showerheads, and decreased for water saving kits.</w:t>
            </w:r>
          </w:p>
        </w:tc>
      </w:tr>
      <w:tr w:rsidR="003E42C7" w:rsidRPr="00302923" w:rsidTr="003D147B">
        <w:trPr>
          <w:trHeight w:val="6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sz w:val="20"/>
                <w:szCs w:val="20"/>
              </w:rPr>
            </w:pPr>
            <w:r w:rsidRPr="00302923">
              <w:rPr>
                <w:rFonts w:ascii="Calibri" w:hAnsi="Calibri"/>
                <w:sz w:val="20"/>
                <w:szCs w:val="20"/>
              </w:rPr>
              <w:t>F</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MF variable drive Pool Pumps</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SDG&amp;E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Residential</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D147B" w:rsidP="00302923">
            <w:pPr>
              <w:rPr>
                <w:rFonts w:ascii="Calibri" w:hAnsi="Calibri"/>
                <w:sz w:val="20"/>
                <w:szCs w:val="20"/>
              </w:rPr>
            </w:pPr>
            <w:r w:rsidRPr="00302923">
              <w:rPr>
                <w:rFonts w:ascii="Calibri" w:hAnsi="Calibri"/>
                <w:color w:val="000000"/>
                <w:sz w:val="20"/>
                <w:szCs w:val="20"/>
              </w:rPr>
              <w:t>Residential Contract Group</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Peter Franzese</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b/>
                <w:color w:val="FF0000"/>
                <w:sz w:val="20"/>
                <w:szCs w:val="20"/>
              </w:rPr>
            </w:pPr>
            <w:r w:rsidRPr="00302923">
              <w:rPr>
                <w:rFonts w:ascii="Calibri" w:hAnsi="Calibri"/>
                <w:color w:val="000000"/>
                <w:sz w:val="20"/>
                <w:szCs w:val="20"/>
              </w:rPr>
              <w:t>Best available information</w:t>
            </w:r>
          </w:p>
        </w:tc>
        <w:tc>
          <w:tcPr>
            <w:tcW w:w="1290" w:type="pct"/>
            <w:tcBorders>
              <w:top w:val="single" w:sz="4" w:space="0" w:color="auto"/>
              <w:left w:val="single" w:sz="4" w:space="0" w:color="auto"/>
              <w:bottom w:val="single" w:sz="4" w:space="0" w:color="auto"/>
              <w:right w:val="single" w:sz="4" w:space="0" w:color="auto"/>
            </w:tcBorders>
          </w:tcPr>
          <w:p w:rsidR="00302923" w:rsidRPr="00852114" w:rsidRDefault="00302923" w:rsidP="00302923">
            <w:pPr>
              <w:rPr>
                <w:rFonts w:ascii="Calibri" w:hAnsi="Calibri"/>
                <w:sz w:val="20"/>
                <w:szCs w:val="20"/>
              </w:rPr>
            </w:pPr>
            <w:r w:rsidRPr="00852114">
              <w:rPr>
                <w:rFonts w:ascii="Calibri" w:hAnsi="Calibri"/>
                <w:sz w:val="20"/>
                <w:szCs w:val="20"/>
              </w:rPr>
              <w:t>Independent review of utility work paper values</w:t>
            </w:r>
          </w:p>
        </w:tc>
      </w:tr>
      <w:tr w:rsidR="003E42C7" w:rsidRPr="00302923" w:rsidTr="003D147B">
        <w:trPr>
          <w:trHeight w:val="1200"/>
        </w:trPr>
        <w:tc>
          <w:tcPr>
            <w:tcW w:w="278" w:type="pct"/>
            <w:tcBorders>
              <w:top w:val="nil"/>
              <w:left w:val="single" w:sz="8" w:space="0" w:color="auto"/>
              <w:bottom w:val="single" w:sz="4" w:space="0" w:color="auto"/>
              <w:right w:val="single" w:sz="8" w:space="0" w:color="auto"/>
            </w:tcBorders>
          </w:tcPr>
          <w:p w:rsidR="00302923" w:rsidRPr="00302923" w:rsidRDefault="00302923" w:rsidP="00302923">
            <w:pPr>
              <w:jc w:val="center"/>
              <w:rPr>
                <w:rFonts w:ascii="Calibri" w:hAnsi="Calibri"/>
                <w:sz w:val="20"/>
                <w:szCs w:val="20"/>
              </w:rPr>
            </w:pPr>
          </w:p>
          <w:p w:rsidR="00302923" w:rsidRPr="00302923" w:rsidRDefault="00302923" w:rsidP="00302923">
            <w:pPr>
              <w:jc w:val="center"/>
              <w:rPr>
                <w:rFonts w:ascii="Calibri" w:hAnsi="Calibri"/>
                <w:sz w:val="20"/>
                <w:szCs w:val="20"/>
              </w:rPr>
            </w:pPr>
          </w:p>
          <w:p w:rsidR="00302923" w:rsidRPr="00302923" w:rsidRDefault="00302923" w:rsidP="00302923">
            <w:pPr>
              <w:jc w:val="center"/>
              <w:rPr>
                <w:rFonts w:ascii="Calibri" w:hAnsi="Calibri"/>
                <w:sz w:val="20"/>
                <w:szCs w:val="20"/>
              </w:rPr>
            </w:pPr>
            <w:r w:rsidRPr="00302923">
              <w:rPr>
                <w:rFonts w:ascii="Calibri" w:hAnsi="Calibri"/>
                <w:sz w:val="20"/>
                <w:szCs w:val="20"/>
              </w:rPr>
              <w:t>G</w:t>
            </w:r>
          </w:p>
        </w:tc>
        <w:tc>
          <w:tcPr>
            <w:tcW w:w="562" w:type="pct"/>
            <w:tcBorders>
              <w:top w:val="nil"/>
              <w:left w:val="single" w:sz="8" w:space="0" w:color="auto"/>
              <w:bottom w:val="single" w:sz="4" w:space="0" w:color="auto"/>
              <w:right w:val="single" w:sz="8" w:space="0" w:color="auto"/>
            </w:tcBorders>
            <w:shd w:val="clear" w:color="auto" w:fill="auto"/>
            <w:vAlign w:val="center"/>
            <w:hideMark/>
          </w:tcPr>
          <w:p w:rsidR="00302923" w:rsidRPr="00302923" w:rsidRDefault="00302923" w:rsidP="003D147B">
            <w:pPr>
              <w:rPr>
                <w:rFonts w:ascii="Calibri" w:hAnsi="Calibri"/>
                <w:sz w:val="20"/>
                <w:szCs w:val="20"/>
              </w:rPr>
            </w:pPr>
            <w:r w:rsidRPr="00302923">
              <w:rPr>
                <w:rFonts w:ascii="Calibri" w:hAnsi="Calibri"/>
                <w:sz w:val="20"/>
                <w:szCs w:val="20"/>
              </w:rPr>
              <w:t xml:space="preserve">Behavior Programs </w:t>
            </w:r>
          </w:p>
        </w:tc>
        <w:tc>
          <w:tcPr>
            <w:tcW w:w="560" w:type="pct"/>
            <w:tcBorders>
              <w:top w:val="nil"/>
              <w:left w:val="single" w:sz="8" w:space="0" w:color="auto"/>
              <w:bottom w:val="single" w:sz="4" w:space="0" w:color="auto"/>
              <w:right w:val="single" w:sz="8" w:space="0" w:color="auto"/>
            </w:tcBorders>
            <w:shd w:val="clear" w:color="auto" w:fill="auto"/>
            <w:vAlign w:val="center"/>
            <w:hideMark/>
          </w:tcPr>
          <w:p w:rsidR="00302923" w:rsidRPr="00302923" w:rsidRDefault="00302923" w:rsidP="00302923">
            <w:pPr>
              <w:jc w:val="center"/>
              <w:rPr>
                <w:rFonts w:ascii="Calibri" w:hAnsi="Calibri"/>
                <w:sz w:val="20"/>
                <w:szCs w:val="20"/>
              </w:rPr>
            </w:pPr>
            <w:r w:rsidRPr="00302923">
              <w:rPr>
                <w:rFonts w:ascii="Calibri" w:hAnsi="Calibri"/>
                <w:sz w:val="20"/>
                <w:szCs w:val="20"/>
              </w:rPr>
              <w:t>PG&amp;E, SCE</w:t>
            </w:r>
          </w:p>
        </w:tc>
        <w:tc>
          <w:tcPr>
            <w:tcW w:w="459" w:type="pct"/>
            <w:tcBorders>
              <w:top w:val="nil"/>
              <w:left w:val="single" w:sz="8" w:space="0" w:color="auto"/>
              <w:bottom w:val="single" w:sz="8" w:space="0" w:color="000000"/>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Residential</w:t>
            </w:r>
          </w:p>
        </w:tc>
        <w:tc>
          <w:tcPr>
            <w:tcW w:w="673" w:type="pct"/>
            <w:tcBorders>
              <w:top w:val="nil"/>
              <w:left w:val="single" w:sz="8" w:space="0" w:color="auto"/>
              <w:bottom w:val="single" w:sz="8" w:space="0" w:color="000000"/>
              <w:right w:val="single" w:sz="8" w:space="0" w:color="auto"/>
            </w:tcBorders>
            <w:shd w:val="clear" w:color="auto" w:fill="auto"/>
            <w:vAlign w:val="center"/>
            <w:hideMark/>
          </w:tcPr>
          <w:p w:rsidR="00302923" w:rsidRPr="00302923" w:rsidRDefault="003D147B" w:rsidP="003D147B">
            <w:pPr>
              <w:rPr>
                <w:rFonts w:ascii="Calibri" w:hAnsi="Calibri"/>
                <w:sz w:val="20"/>
                <w:szCs w:val="20"/>
              </w:rPr>
            </w:pPr>
            <w:r w:rsidRPr="00302923">
              <w:rPr>
                <w:rFonts w:ascii="Calibri" w:hAnsi="Calibri"/>
                <w:color w:val="000000"/>
                <w:sz w:val="20"/>
                <w:szCs w:val="20"/>
              </w:rPr>
              <w:t>Residential Contract Group</w:t>
            </w:r>
          </w:p>
        </w:tc>
        <w:tc>
          <w:tcPr>
            <w:tcW w:w="570" w:type="pct"/>
            <w:tcBorders>
              <w:top w:val="nil"/>
              <w:left w:val="single" w:sz="8" w:space="0" w:color="auto"/>
              <w:bottom w:val="single" w:sz="8" w:space="0" w:color="000000"/>
              <w:right w:val="single" w:sz="8" w:space="0" w:color="auto"/>
            </w:tcBorders>
            <w:shd w:val="clear" w:color="auto" w:fill="auto"/>
            <w:vAlign w:val="center"/>
            <w:hideMark/>
          </w:tcPr>
          <w:p w:rsidR="00302923" w:rsidRPr="00302923" w:rsidRDefault="00302923" w:rsidP="00302923">
            <w:pPr>
              <w:rPr>
                <w:rFonts w:ascii="Calibri" w:hAnsi="Calibri"/>
                <w:sz w:val="20"/>
                <w:szCs w:val="20"/>
              </w:rPr>
            </w:pPr>
            <w:r w:rsidRPr="00302923">
              <w:rPr>
                <w:rFonts w:ascii="Calibri" w:hAnsi="Calibri"/>
                <w:sz w:val="20"/>
                <w:szCs w:val="20"/>
              </w:rPr>
              <w:t>Peter Franzese</w:t>
            </w:r>
          </w:p>
        </w:tc>
        <w:tc>
          <w:tcPr>
            <w:tcW w:w="608" w:type="pct"/>
            <w:tcBorders>
              <w:top w:val="nil"/>
              <w:left w:val="single" w:sz="8" w:space="0" w:color="auto"/>
              <w:bottom w:val="single" w:sz="4" w:space="0" w:color="auto"/>
              <w:right w:val="single" w:sz="4" w:space="0" w:color="auto"/>
            </w:tcBorders>
          </w:tcPr>
          <w:p w:rsidR="00302923" w:rsidRPr="00302923" w:rsidRDefault="00302923" w:rsidP="00302923">
            <w:pPr>
              <w:rPr>
                <w:rFonts w:ascii="Calibri" w:hAnsi="Calibri"/>
                <w:sz w:val="20"/>
                <w:szCs w:val="20"/>
              </w:rPr>
            </w:pPr>
          </w:p>
          <w:p w:rsidR="00302923" w:rsidRPr="00302923" w:rsidRDefault="00302923" w:rsidP="00302923">
            <w:pPr>
              <w:rPr>
                <w:rFonts w:ascii="Calibri" w:hAnsi="Calibri"/>
                <w:sz w:val="20"/>
                <w:szCs w:val="20"/>
              </w:rPr>
            </w:pPr>
          </w:p>
          <w:p w:rsidR="00302923" w:rsidRPr="00302923" w:rsidRDefault="00302923" w:rsidP="00302923">
            <w:pPr>
              <w:rPr>
                <w:rFonts w:ascii="Calibri" w:hAnsi="Calibri"/>
                <w:sz w:val="20"/>
                <w:szCs w:val="20"/>
              </w:rPr>
            </w:pPr>
            <w:r w:rsidRPr="00302923">
              <w:rPr>
                <w:rFonts w:ascii="Calibri" w:hAnsi="Calibri"/>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sz w:val="20"/>
                <w:szCs w:val="20"/>
              </w:rPr>
            </w:pPr>
            <w:r w:rsidRPr="00302923">
              <w:rPr>
                <w:rFonts w:ascii="Calibri" w:hAnsi="Calibri"/>
                <w:sz w:val="20"/>
                <w:szCs w:val="20"/>
              </w:rPr>
              <w:t xml:space="preserve">Full ex-post verification/validation of HER claims.  There are no ex-ante claims for this program.  </w:t>
            </w:r>
            <w:r w:rsidRPr="00302923">
              <w:rPr>
                <w:rFonts w:ascii="Calibri" w:hAnsi="Calibri"/>
                <w:b/>
                <w:i/>
                <w:sz w:val="20"/>
                <w:szCs w:val="20"/>
              </w:rPr>
              <w:t>Ex-post net savings of 93 GWh statewide (80GWh from PGE alone).</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H</w:t>
            </w:r>
          </w:p>
        </w:tc>
        <w:tc>
          <w:tcPr>
            <w:tcW w:w="562" w:type="pct"/>
            <w:tcBorders>
              <w:top w:val="nil"/>
              <w:left w:val="single" w:sz="8" w:space="0" w:color="auto"/>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Custom</w:t>
            </w:r>
          </w:p>
        </w:tc>
        <w:tc>
          <w:tcPr>
            <w:tcW w:w="560" w:type="pct"/>
            <w:tcBorders>
              <w:top w:val="nil"/>
              <w:left w:val="nil"/>
              <w:bottom w:val="single" w:sz="8" w:space="0" w:color="auto"/>
              <w:right w:val="single" w:sz="8" w:space="0" w:color="auto"/>
            </w:tcBorders>
            <w:shd w:val="clear" w:color="auto" w:fill="auto"/>
            <w:vAlign w:val="center"/>
          </w:tcPr>
          <w:p w:rsidR="00302923" w:rsidRPr="00302923" w:rsidRDefault="00880B73" w:rsidP="00302923">
            <w:pPr>
              <w:rPr>
                <w:rFonts w:ascii="Calibri" w:hAnsi="Calibri"/>
                <w:color w:val="000000"/>
                <w:sz w:val="20"/>
                <w:szCs w:val="20"/>
              </w:rPr>
            </w:pPr>
            <w:r w:rsidRPr="00302923">
              <w:rPr>
                <w:rFonts w:ascii="Calibri" w:hAnsi="Calibri"/>
                <w:sz w:val="20"/>
                <w:szCs w:val="20"/>
              </w:rPr>
              <w:t>PG&amp;E, SCE</w:t>
            </w:r>
            <w:r>
              <w:rPr>
                <w:rFonts w:ascii="Calibri" w:hAnsi="Calibri"/>
                <w:sz w:val="20"/>
                <w:szCs w:val="20"/>
              </w:rPr>
              <w:t xml:space="preserve">, </w:t>
            </w:r>
            <w:r w:rsidRPr="00302923">
              <w:rPr>
                <w:rFonts w:ascii="Calibri" w:hAnsi="Calibri"/>
                <w:sz w:val="20"/>
                <w:szCs w:val="20"/>
              </w:rPr>
              <w:t>SDG&amp;E and SCG</w:t>
            </w:r>
          </w:p>
        </w:tc>
        <w:tc>
          <w:tcPr>
            <w:tcW w:w="459" w:type="pct"/>
            <w:tcBorders>
              <w:top w:val="nil"/>
              <w:left w:val="nil"/>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IALC</w:t>
            </w:r>
          </w:p>
        </w:tc>
        <w:tc>
          <w:tcPr>
            <w:tcW w:w="673" w:type="pct"/>
            <w:tcBorders>
              <w:top w:val="nil"/>
              <w:left w:val="nil"/>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IALC</w:t>
            </w:r>
          </w:p>
        </w:tc>
        <w:tc>
          <w:tcPr>
            <w:tcW w:w="570" w:type="pct"/>
            <w:tcBorders>
              <w:top w:val="nil"/>
              <w:left w:val="nil"/>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Kay Hardy</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880B73" w:rsidP="00302923">
            <w:pPr>
              <w:rPr>
                <w:rFonts w:ascii="Calibri" w:hAnsi="Calibri"/>
                <w:color w:val="000000"/>
                <w:sz w:val="20"/>
                <w:szCs w:val="20"/>
              </w:rPr>
            </w:pPr>
            <w:r>
              <w:rPr>
                <w:rFonts w:ascii="Calibri" w:hAnsi="Calibri"/>
                <w:color w:val="000000"/>
                <w:sz w:val="20"/>
                <w:szCs w:val="20"/>
              </w:rPr>
              <w:t xml:space="preserve">Based on a sample of 189 M&amp;V projects and 146 NTG surveys.  </w:t>
            </w:r>
            <w:r w:rsidRPr="00880B73">
              <w:rPr>
                <w:rFonts w:ascii="Calibri" w:hAnsi="Calibri"/>
                <w:b/>
                <w:i/>
                <w:color w:val="000000"/>
                <w:sz w:val="20"/>
                <w:szCs w:val="20"/>
              </w:rPr>
              <w:t>MMBtu gross realization rates of 75% (PGE), 54% (SCE), 75% (SDGE), and 69% (SCG).</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I</w:t>
            </w:r>
          </w:p>
        </w:tc>
        <w:tc>
          <w:tcPr>
            <w:tcW w:w="562" w:type="pct"/>
            <w:tcBorders>
              <w:top w:val="nil"/>
              <w:left w:val="single" w:sz="8" w:space="0" w:color="auto"/>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Non-res New Construction</w:t>
            </w:r>
          </w:p>
        </w:tc>
        <w:tc>
          <w:tcPr>
            <w:tcW w:w="560" w:type="pct"/>
            <w:tcBorders>
              <w:top w:val="nil"/>
              <w:left w:val="nil"/>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p>
        </w:tc>
        <w:tc>
          <w:tcPr>
            <w:tcW w:w="459" w:type="pct"/>
            <w:tcBorders>
              <w:top w:val="nil"/>
              <w:left w:val="nil"/>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IALC</w:t>
            </w:r>
          </w:p>
        </w:tc>
        <w:tc>
          <w:tcPr>
            <w:tcW w:w="673" w:type="pct"/>
            <w:tcBorders>
              <w:top w:val="nil"/>
              <w:left w:val="nil"/>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IALC</w:t>
            </w:r>
          </w:p>
        </w:tc>
        <w:tc>
          <w:tcPr>
            <w:tcW w:w="570" w:type="pct"/>
            <w:tcBorders>
              <w:top w:val="nil"/>
              <w:left w:val="nil"/>
              <w:bottom w:val="single" w:sz="8" w:space="0" w:color="auto"/>
              <w:right w:val="single" w:sz="8" w:space="0" w:color="auto"/>
            </w:tcBorders>
            <w:shd w:val="clear" w:color="auto" w:fill="auto"/>
            <w:vAlign w:val="center"/>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Kay Hardy</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 xml:space="preserve">Based on M&amp;V of 25 Savings by Design sites:  </w:t>
            </w:r>
            <w:r w:rsidRPr="00302923">
              <w:rPr>
                <w:rFonts w:ascii="Calibri" w:hAnsi="Calibri"/>
                <w:b/>
                <w:i/>
                <w:color w:val="000000"/>
                <w:sz w:val="20"/>
                <w:szCs w:val="20"/>
              </w:rPr>
              <w:t>Ex-post kWh realization rate of 86%; Ex-post therm realization rate of 51%</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J</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Sprinklers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Commercial </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Amy</w:t>
            </w:r>
            <w:r w:rsidR="00F97012">
              <w:rPr>
                <w:rFonts w:ascii="Calibri" w:hAnsi="Calibri"/>
                <w:color w:val="000000"/>
                <w:sz w:val="20"/>
                <w:szCs w:val="20"/>
              </w:rPr>
              <w:t xml:space="preserve"> Reardon</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 xml:space="preserve">Only NTG results based on a sample of 35 phone surveys (out of a population of 69) with a relative precision of 12%.  </w:t>
            </w:r>
            <w:r w:rsidRPr="00302923">
              <w:rPr>
                <w:rFonts w:ascii="Calibri" w:hAnsi="Calibri"/>
                <w:b/>
                <w:i/>
                <w:color w:val="000000"/>
                <w:sz w:val="20"/>
                <w:szCs w:val="20"/>
              </w:rPr>
              <w:t>Ex-post NTGR = 38%.</w:t>
            </w:r>
          </w:p>
        </w:tc>
      </w:tr>
      <w:tr w:rsidR="003E42C7" w:rsidRPr="00302923" w:rsidTr="003D147B">
        <w:trPr>
          <w:trHeight w:val="15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J</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Pipe insulation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SCG</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Commercial </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Amy</w:t>
            </w:r>
            <w:r w:rsidR="00F97012">
              <w:rPr>
                <w:rFonts w:ascii="Calibri" w:hAnsi="Calibri"/>
                <w:color w:val="000000"/>
                <w:sz w:val="20"/>
                <w:szCs w:val="20"/>
              </w:rPr>
              <w:t xml:space="preserve"> Reardon</w:t>
            </w:r>
          </w:p>
        </w:tc>
        <w:tc>
          <w:tcPr>
            <w:tcW w:w="608" w:type="pct"/>
            <w:tcBorders>
              <w:top w:val="nil"/>
              <w:left w:val="nil"/>
              <w:bottom w:val="single" w:sz="8" w:space="0" w:color="auto"/>
              <w:right w:val="single" w:sz="4" w:space="0" w:color="auto"/>
            </w:tcBorders>
          </w:tcPr>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p>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 xml:space="preserve">Only NTG results based on a sample of 18 phone surveys (out of a population of 103) with a relative precision of 16%.  </w:t>
            </w:r>
            <w:r w:rsidRPr="00302923">
              <w:rPr>
                <w:rFonts w:ascii="Calibri" w:hAnsi="Calibri"/>
                <w:b/>
                <w:i/>
                <w:color w:val="000000"/>
                <w:sz w:val="20"/>
                <w:szCs w:val="20"/>
              </w:rPr>
              <w:t>Ex-post NTGR = 56%</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K</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(Non-Res)Screw-in  CFL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 SCE, SDG&amp;E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Commercial</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F97012">
            <w:pPr>
              <w:rPr>
                <w:rFonts w:ascii="Calibri" w:hAnsi="Calibri"/>
                <w:color w:val="000000"/>
                <w:sz w:val="20"/>
                <w:szCs w:val="20"/>
              </w:rPr>
            </w:pPr>
            <w:r w:rsidRPr="00302923">
              <w:rPr>
                <w:rFonts w:ascii="Calibri" w:hAnsi="Calibri"/>
                <w:color w:val="000000"/>
                <w:sz w:val="20"/>
                <w:szCs w:val="20"/>
              </w:rPr>
              <w:t xml:space="preserve">Mona </w:t>
            </w:r>
            <w:r w:rsidR="00F97012">
              <w:rPr>
                <w:rFonts w:ascii="Calibri" w:hAnsi="Calibri"/>
                <w:color w:val="000000"/>
                <w:sz w:val="20"/>
                <w:szCs w:val="20"/>
              </w:rPr>
              <w:t>Dzvova</w:t>
            </w:r>
          </w:p>
        </w:tc>
        <w:tc>
          <w:tcPr>
            <w:tcW w:w="608" w:type="pct"/>
            <w:tcBorders>
              <w:top w:val="nil"/>
              <w:left w:val="nil"/>
              <w:bottom w:val="single" w:sz="8" w:space="0" w:color="auto"/>
              <w:right w:val="single" w:sz="4" w:space="0" w:color="auto"/>
            </w:tcBorders>
          </w:tcPr>
          <w:p w:rsidR="00302923" w:rsidRDefault="00302923" w:rsidP="00302923">
            <w:pPr>
              <w:rPr>
                <w:rFonts w:ascii="Calibri" w:hAnsi="Calibri"/>
                <w:color w:val="000000"/>
                <w:sz w:val="20"/>
                <w:szCs w:val="20"/>
              </w:rPr>
            </w:pPr>
          </w:p>
          <w:p w:rsidR="00852114" w:rsidRDefault="00852114" w:rsidP="00302923">
            <w:pPr>
              <w:rPr>
                <w:rFonts w:ascii="Calibri" w:hAnsi="Calibri"/>
                <w:color w:val="000000"/>
                <w:sz w:val="20"/>
                <w:szCs w:val="20"/>
              </w:rPr>
            </w:pPr>
          </w:p>
          <w:p w:rsidR="00852114" w:rsidRDefault="00852114" w:rsidP="00302923">
            <w:pPr>
              <w:rPr>
                <w:rFonts w:ascii="Calibri" w:hAnsi="Calibri"/>
                <w:color w:val="000000"/>
                <w:sz w:val="20"/>
                <w:szCs w:val="20"/>
              </w:rPr>
            </w:pPr>
          </w:p>
          <w:p w:rsidR="00852114" w:rsidRPr="00302923" w:rsidRDefault="00852114" w:rsidP="00302923">
            <w:pPr>
              <w:rPr>
                <w:rFonts w:ascii="Calibri" w:hAnsi="Calibri"/>
                <w:color w:val="000000"/>
                <w:sz w:val="20"/>
                <w:szCs w:val="20"/>
              </w:rPr>
            </w:pPr>
            <w:r>
              <w:rPr>
                <w:rFonts w:ascii="Calibri" w:hAnsi="Calibri"/>
                <w:color w:val="000000"/>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852114" w:rsidP="00302923">
            <w:pPr>
              <w:rPr>
                <w:rFonts w:ascii="Calibri" w:hAnsi="Calibri"/>
                <w:color w:val="000000"/>
                <w:sz w:val="20"/>
                <w:szCs w:val="20"/>
              </w:rPr>
            </w:pPr>
            <w:r>
              <w:rPr>
                <w:rFonts w:ascii="Calibri" w:hAnsi="Calibri"/>
                <w:color w:val="000000"/>
                <w:sz w:val="20"/>
                <w:szCs w:val="20"/>
              </w:rPr>
              <w:t xml:space="preserve">Updated NTG ratio, gross realization rate, UES, and net realization rates.  </w:t>
            </w:r>
            <w:r w:rsidRPr="00852114">
              <w:rPr>
                <w:rFonts w:ascii="Calibri" w:hAnsi="Calibri"/>
                <w:b/>
                <w:i/>
                <w:color w:val="000000"/>
                <w:sz w:val="20"/>
                <w:szCs w:val="20"/>
              </w:rPr>
              <w:t>Average ex-post kWh NTGR = 60%.  First year gross kWh realization rate = 72% (PGE), 65% (SCE), and 90% (SDGE).</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K</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(Non-Res)LED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Commercial</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F97012">
            <w:pPr>
              <w:rPr>
                <w:rFonts w:ascii="Calibri" w:hAnsi="Calibri"/>
                <w:color w:val="000000"/>
                <w:sz w:val="20"/>
                <w:szCs w:val="20"/>
              </w:rPr>
            </w:pPr>
            <w:r w:rsidRPr="00302923">
              <w:rPr>
                <w:rFonts w:ascii="Calibri" w:hAnsi="Calibri"/>
                <w:color w:val="000000"/>
                <w:sz w:val="20"/>
                <w:szCs w:val="20"/>
              </w:rPr>
              <w:t xml:space="preserve">Mona </w:t>
            </w:r>
            <w:r w:rsidR="00F97012">
              <w:rPr>
                <w:rFonts w:ascii="Calibri" w:hAnsi="Calibri"/>
                <w:color w:val="000000"/>
                <w:sz w:val="20"/>
                <w:szCs w:val="20"/>
              </w:rPr>
              <w:t>Dzvova</w:t>
            </w:r>
          </w:p>
        </w:tc>
        <w:tc>
          <w:tcPr>
            <w:tcW w:w="608" w:type="pct"/>
            <w:tcBorders>
              <w:top w:val="nil"/>
              <w:left w:val="nil"/>
              <w:bottom w:val="single" w:sz="8" w:space="0" w:color="auto"/>
              <w:right w:val="single" w:sz="4" w:space="0" w:color="auto"/>
            </w:tcBorders>
          </w:tcPr>
          <w:p w:rsidR="00302923" w:rsidRDefault="00302923" w:rsidP="00302923">
            <w:pPr>
              <w:spacing w:after="200" w:line="276" w:lineRule="auto"/>
              <w:rPr>
                <w:rFonts w:ascii="Calibri" w:hAnsi="Calibri"/>
                <w:sz w:val="20"/>
                <w:szCs w:val="20"/>
              </w:rPr>
            </w:pPr>
          </w:p>
          <w:p w:rsidR="00852114" w:rsidRPr="00302923" w:rsidRDefault="00852114" w:rsidP="00302923">
            <w:pPr>
              <w:spacing w:after="200" w:line="276" w:lineRule="auto"/>
              <w:rPr>
                <w:rFonts w:ascii="Calibri" w:hAnsi="Calibri"/>
                <w:sz w:val="20"/>
                <w:szCs w:val="20"/>
              </w:rPr>
            </w:pPr>
            <w:r>
              <w:rPr>
                <w:rFonts w:ascii="Calibri" w:hAnsi="Calibri"/>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F97012" w:rsidP="00302923">
            <w:pPr>
              <w:spacing w:after="200" w:line="276" w:lineRule="auto"/>
              <w:rPr>
                <w:rFonts w:ascii="Calibri" w:hAnsi="Calibri"/>
                <w:sz w:val="20"/>
                <w:szCs w:val="20"/>
              </w:rPr>
            </w:pPr>
            <w:r>
              <w:rPr>
                <w:rFonts w:ascii="Calibri" w:hAnsi="Calibri"/>
                <w:color w:val="000000"/>
                <w:sz w:val="20"/>
                <w:szCs w:val="20"/>
              </w:rPr>
              <w:t xml:space="preserve">Updated NTG ratio, gross realization rate, UES, and net realization rates.  </w:t>
            </w:r>
            <w:r w:rsidRPr="00852114">
              <w:rPr>
                <w:rFonts w:ascii="Calibri" w:hAnsi="Calibri"/>
                <w:b/>
                <w:i/>
                <w:color w:val="000000"/>
                <w:sz w:val="20"/>
                <w:szCs w:val="20"/>
              </w:rPr>
              <w:t xml:space="preserve">Average ex-post kWh </w:t>
            </w:r>
            <w:r>
              <w:rPr>
                <w:rFonts w:ascii="Calibri" w:hAnsi="Calibri"/>
                <w:b/>
                <w:i/>
                <w:color w:val="000000"/>
                <w:sz w:val="20"/>
                <w:szCs w:val="20"/>
              </w:rPr>
              <w:t>NTGR = 59</w:t>
            </w:r>
            <w:r w:rsidRPr="00852114">
              <w:rPr>
                <w:rFonts w:ascii="Calibri" w:hAnsi="Calibri"/>
                <w:b/>
                <w:i/>
                <w:color w:val="000000"/>
                <w:sz w:val="20"/>
                <w:szCs w:val="20"/>
              </w:rPr>
              <w:t>%.  First year</w:t>
            </w:r>
            <w:r>
              <w:rPr>
                <w:rFonts w:ascii="Calibri" w:hAnsi="Calibri"/>
                <w:b/>
                <w:i/>
                <w:color w:val="000000"/>
                <w:sz w:val="20"/>
                <w:szCs w:val="20"/>
              </w:rPr>
              <w:t xml:space="preserve"> gross kWh realization rate = 150</w:t>
            </w:r>
            <w:r w:rsidRPr="00852114">
              <w:rPr>
                <w:rFonts w:ascii="Calibri" w:hAnsi="Calibri"/>
                <w:b/>
                <w:i/>
                <w:color w:val="000000"/>
                <w:sz w:val="20"/>
                <w:szCs w:val="20"/>
              </w:rPr>
              <w:t>% (PGE)</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K</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T5 fluorescent lamps and fixtures replacing metal halides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 SCE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Commercial</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F97012">
            <w:pPr>
              <w:rPr>
                <w:rFonts w:ascii="Calibri" w:hAnsi="Calibri"/>
                <w:color w:val="000000"/>
                <w:sz w:val="20"/>
                <w:szCs w:val="20"/>
              </w:rPr>
            </w:pPr>
            <w:r w:rsidRPr="00302923">
              <w:rPr>
                <w:rFonts w:ascii="Calibri" w:hAnsi="Calibri"/>
                <w:color w:val="000000"/>
                <w:sz w:val="20"/>
                <w:szCs w:val="20"/>
              </w:rPr>
              <w:t>Mona</w:t>
            </w:r>
            <w:r w:rsidR="00F97012">
              <w:rPr>
                <w:rFonts w:ascii="Calibri" w:hAnsi="Calibri"/>
                <w:color w:val="000000"/>
                <w:sz w:val="20"/>
                <w:szCs w:val="20"/>
              </w:rPr>
              <w:t xml:space="preserve"> Dzvova</w:t>
            </w:r>
            <w:r w:rsidRPr="00302923">
              <w:rPr>
                <w:rFonts w:ascii="Calibri" w:hAnsi="Calibri"/>
                <w:color w:val="000000"/>
                <w:sz w:val="20"/>
                <w:szCs w:val="20"/>
              </w:rPr>
              <w:t xml:space="preserve"> </w:t>
            </w:r>
          </w:p>
        </w:tc>
        <w:tc>
          <w:tcPr>
            <w:tcW w:w="608" w:type="pct"/>
            <w:tcBorders>
              <w:top w:val="nil"/>
              <w:left w:val="nil"/>
              <w:bottom w:val="single" w:sz="8" w:space="0" w:color="auto"/>
              <w:right w:val="single" w:sz="4" w:space="0" w:color="auto"/>
            </w:tcBorders>
          </w:tcPr>
          <w:p w:rsidR="00302923" w:rsidRDefault="00302923" w:rsidP="00302923">
            <w:pPr>
              <w:spacing w:after="200" w:line="276" w:lineRule="auto"/>
              <w:rPr>
                <w:rFonts w:ascii="Calibri" w:hAnsi="Calibri"/>
                <w:sz w:val="20"/>
                <w:szCs w:val="20"/>
              </w:rPr>
            </w:pPr>
          </w:p>
          <w:p w:rsidR="00F97012" w:rsidRDefault="00F97012" w:rsidP="00302923">
            <w:pPr>
              <w:spacing w:after="200" w:line="276" w:lineRule="auto"/>
              <w:rPr>
                <w:rFonts w:ascii="Calibri" w:hAnsi="Calibri"/>
                <w:sz w:val="20"/>
                <w:szCs w:val="20"/>
              </w:rPr>
            </w:pPr>
          </w:p>
          <w:p w:rsidR="00F97012" w:rsidRDefault="00F97012" w:rsidP="00302923">
            <w:pPr>
              <w:spacing w:after="200" w:line="276" w:lineRule="auto"/>
              <w:rPr>
                <w:rFonts w:ascii="Calibri" w:hAnsi="Calibri"/>
                <w:sz w:val="20"/>
                <w:szCs w:val="20"/>
              </w:rPr>
            </w:pPr>
          </w:p>
          <w:p w:rsidR="00F97012" w:rsidRPr="00302923" w:rsidRDefault="00F97012" w:rsidP="00302923">
            <w:pPr>
              <w:spacing w:after="200" w:line="276" w:lineRule="auto"/>
              <w:rPr>
                <w:rFonts w:ascii="Calibri" w:hAnsi="Calibri"/>
                <w:sz w:val="20"/>
                <w:szCs w:val="20"/>
              </w:rPr>
            </w:pPr>
            <w:r>
              <w:rPr>
                <w:rFonts w:ascii="Calibri" w:hAnsi="Calibri"/>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F97012" w:rsidP="00F97012">
            <w:pPr>
              <w:spacing w:after="200" w:line="276" w:lineRule="auto"/>
              <w:rPr>
                <w:rFonts w:ascii="Calibri" w:hAnsi="Calibri"/>
                <w:sz w:val="20"/>
                <w:szCs w:val="20"/>
              </w:rPr>
            </w:pPr>
            <w:r>
              <w:rPr>
                <w:rFonts w:ascii="Calibri" w:hAnsi="Calibri"/>
                <w:color w:val="000000"/>
                <w:sz w:val="20"/>
                <w:szCs w:val="20"/>
              </w:rPr>
              <w:t xml:space="preserve">Updated NTG ratio, gross realization rate, UES, and net realization rates.  </w:t>
            </w:r>
            <w:r>
              <w:rPr>
                <w:rFonts w:ascii="Calibri" w:hAnsi="Calibri"/>
                <w:b/>
                <w:i/>
                <w:color w:val="000000"/>
                <w:sz w:val="20"/>
                <w:szCs w:val="20"/>
              </w:rPr>
              <w:t xml:space="preserve"> </w:t>
            </w:r>
            <w:r w:rsidRPr="00852114">
              <w:rPr>
                <w:rFonts w:ascii="Calibri" w:hAnsi="Calibri"/>
                <w:b/>
                <w:i/>
                <w:color w:val="000000"/>
                <w:sz w:val="20"/>
                <w:szCs w:val="20"/>
              </w:rPr>
              <w:t>Average ex-post kWh NTGR = 6</w:t>
            </w:r>
            <w:r>
              <w:rPr>
                <w:rFonts w:ascii="Calibri" w:hAnsi="Calibri"/>
                <w:b/>
                <w:i/>
                <w:color w:val="000000"/>
                <w:sz w:val="20"/>
                <w:szCs w:val="20"/>
              </w:rPr>
              <w:t>5</w:t>
            </w:r>
            <w:r w:rsidRPr="00852114">
              <w:rPr>
                <w:rFonts w:ascii="Calibri" w:hAnsi="Calibri"/>
                <w:b/>
                <w:i/>
                <w:color w:val="000000"/>
                <w:sz w:val="20"/>
                <w:szCs w:val="20"/>
              </w:rPr>
              <w:t>%.  First year</w:t>
            </w:r>
            <w:r>
              <w:rPr>
                <w:rFonts w:ascii="Calibri" w:hAnsi="Calibri"/>
                <w:b/>
                <w:i/>
                <w:color w:val="000000"/>
                <w:sz w:val="20"/>
                <w:szCs w:val="20"/>
              </w:rPr>
              <w:t xml:space="preserve"> gross kWh realization rate = 36% (PGE), 57</w:t>
            </w:r>
            <w:r w:rsidRPr="00852114">
              <w:rPr>
                <w:rFonts w:ascii="Calibri" w:hAnsi="Calibri"/>
                <w:b/>
                <w:i/>
                <w:color w:val="000000"/>
                <w:sz w:val="20"/>
                <w:szCs w:val="20"/>
              </w:rPr>
              <w:t>% (SCE)</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K</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Occupancy sensor lighting control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 SCE, SDG&amp;E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Commercial</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F97012">
            <w:pPr>
              <w:rPr>
                <w:rFonts w:ascii="Calibri" w:hAnsi="Calibri"/>
                <w:color w:val="000000"/>
                <w:sz w:val="20"/>
                <w:szCs w:val="20"/>
              </w:rPr>
            </w:pPr>
            <w:r w:rsidRPr="00302923">
              <w:rPr>
                <w:rFonts w:ascii="Calibri" w:hAnsi="Calibri"/>
                <w:color w:val="000000"/>
                <w:sz w:val="20"/>
                <w:szCs w:val="20"/>
              </w:rPr>
              <w:t xml:space="preserve">Mona </w:t>
            </w:r>
            <w:r w:rsidR="00F97012">
              <w:rPr>
                <w:rFonts w:ascii="Calibri" w:hAnsi="Calibri"/>
                <w:color w:val="000000"/>
                <w:sz w:val="20"/>
                <w:szCs w:val="20"/>
              </w:rPr>
              <w:t>Dzvova</w:t>
            </w:r>
          </w:p>
        </w:tc>
        <w:tc>
          <w:tcPr>
            <w:tcW w:w="608" w:type="pct"/>
            <w:tcBorders>
              <w:top w:val="nil"/>
              <w:left w:val="nil"/>
              <w:bottom w:val="single" w:sz="8" w:space="0" w:color="auto"/>
              <w:right w:val="single" w:sz="4" w:space="0" w:color="auto"/>
            </w:tcBorders>
          </w:tcPr>
          <w:p w:rsidR="00302923" w:rsidRDefault="00302923" w:rsidP="00302923">
            <w:pPr>
              <w:spacing w:after="200" w:line="276" w:lineRule="auto"/>
              <w:rPr>
                <w:rFonts w:ascii="Calibri" w:hAnsi="Calibri"/>
                <w:sz w:val="20"/>
                <w:szCs w:val="20"/>
              </w:rPr>
            </w:pPr>
          </w:p>
          <w:p w:rsidR="00F97012" w:rsidRDefault="00F97012" w:rsidP="00302923">
            <w:pPr>
              <w:spacing w:after="200" w:line="276" w:lineRule="auto"/>
              <w:rPr>
                <w:rFonts w:ascii="Calibri" w:hAnsi="Calibri"/>
                <w:sz w:val="20"/>
                <w:szCs w:val="20"/>
              </w:rPr>
            </w:pPr>
          </w:p>
          <w:p w:rsidR="00F97012" w:rsidRPr="00302923" w:rsidRDefault="00F97012" w:rsidP="00302923">
            <w:pPr>
              <w:spacing w:after="200" w:line="276" w:lineRule="auto"/>
              <w:rPr>
                <w:rFonts w:ascii="Calibri" w:hAnsi="Calibri"/>
                <w:sz w:val="20"/>
                <w:szCs w:val="20"/>
              </w:rPr>
            </w:pPr>
            <w:r>
              <w:rPr>
                <w:rFonts w:ascii="Calibri" w:hAnsi="Calibri"/>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F97012" w:rsidP="00F97012">
            <w:pPr>
              <w:spacing w:after="200" w:line="276" w:lineRule="auto"/>
              <w:rPr>
                <w:rFonts w:ascii="Calibri" w:hAnsi="Calibri"/>
                <w:sz w:val="20"/>
                <w:szCs w:val="20"/>
              </w:rPr>
            </w:pPr>
            <w:r>
              <w:rPr>
                <w:rFonts w:ascii="Calibri" w:hAnsi="Calibri"/>
                <w:color w:val="000000"/>
                <w:sz w:val="20"/>
                <w:szCs w:val="20"/>
              </w:rPr>
              <w:t xml:space="preserve">Updated NTG ratio, gross realization rate, UES, and net realization rates.  </w:t>
            </w:r>
            <w:r w:rsidRPr="00852114">
              <w:rPr>
                <w:rFonts w:ascii="Calibri" w:hAnsi="Calibri"/>
                <w:b/>
                <w:i/>
                <w:color w:val="000000"/>
                <w:sz w:val="20"/>
                <w:szCs w:val="20"/>
              </w:rPr>
              <w:t xml:space="preserve">Average ex-post kWh </w:t>
            </w:r>
            <w:r>
              <w:rPr>
                <w:rFonts w:ascii="Calibri" w:hAnsi="Calibri"/>
                <w:b/>
                <w:i/>
                <w:color w:val="000000"/>
                <w:sz w:val="20"/>
                <w:szCs w:val="20"/>
              </w:rPr>
              <w:t>NTGR = 61</w:t>
            </w:r>
            <w:r w:rsidRPr="00852114">
              <w:rPr>
                <w:rFonts w:ascii="Calibri" w:hAnsi="Calibri"/>
                <w:b/>
                <w:i/>
                <w:color w:val="000000"/>
                <w:sz w:val="20"/>
                <w:szCs w:val="20"/>
              </w:rPr>
              <w:t>%.  First yea</w:t>
            </w:r>
            <w:r>
              <w:rPr>
                <w:rFonts w:ascii="Calibri" w:hAnsi="Calibri"/>
                <w:b/>
                <w:i/>
                <w:color w:val="000000"/>
                <w:sz w:val="20"/>
                <w:szCs w:val="20"/>
              </w:rPr>
              <w:t>r gross kWh realization rate = 64% (PGE), 59% (SCE), and 72</w:t>
            </w:r>
            <w:r w:rsidRPr="00852114">
              <w:rPr>
                <w:rFonts w:ascii="Calibri" w:hAnsi="Calibri"/>
                <w:b/>
                <w:i/>
                <w:color w:val="000000"/>
                <w:sz w:val="20"/>
                <w:szCs w:val="20"/>
              </w:rPr>
              <w:t>% (SDGE).</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p>
          <w:p w:rsidR="00302923" w:rsidRPr="00302923" w:rsidRDefault="00302923" w:rsidP="00302923">
            <w:pPr>
              <w:jc w:val="center"/>
              <w:rPr>
                <w:rFonts w:ascii="Calibri" w:hAnsi="Calibri"/>
                <w:color w:val="000000"/>
                <w:sz w:val="20"/>
                <w:szCs w:val="20"/>
              </w:rPr>
            </w:pPr>
            <w:r w:rsidRPr="00302923">
              <w:rPr>
                <w:rFonts w:ascii="Calibri" w:hAnsi="Calibri"/>
                <w:color w:val="000000"/>
                <w:sz w:val="20"/>
                <w:szCs w:val="20"/>
              </w:rPr>
              <w:t>K</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02923" w:rsidRPr="00302923" w:rsidRDefault="00302923" w:rsidP="003D147B">
            <w:pPr>
              <w:rPr>
                <w:rFonts w:ascii="Calibri" w:hAnsi="Calibri"/>
                <w:color w:val="000000"/>
                <w:sz w:val="20"/>
                <w:szCs w:val="20"/>
              </w:rPr>
            </w:pPr>
            <w:r w:rsidRPr="00302923">
              <w:rPr>
                <w:rFonts w:ascii="Calibri" w:hAnsi="Calibri"/>
                <w:color w:val="000000"/>
                <w:sz w:val="20"/>
                <w:szCs w:val="20"/>
              </w:rPr>
              <w:t xml:space="preserve">De-lamping of T12 lamps in existing fixtures </w:t>
            </w:r>
          </w:p>
        </w:tc>
        <w:tc>
          <w:tcPr>
            <w:tcW w:w="56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PG&amp;E, SCE, SDG&amp;E</w:t>
            </w:r>
          </w:p>
        </w:tc>
        <w:tc>
          <w:tcPr>
            <w:tcW w:w="459"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Commercial</w:t>
            </w:r>
          </w:p>
        </w:tc>
        <w:tc>
          <w:tcPr>
            <w:tcW w:w="673"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hideMark/>
          </w:tcPr>
          <w:p w:rsidR="00302923" w:rsidRPr="00302923" w:rsidRDefault="00302923" w:rsidP="00302923">
            <w:pPr>
              <w:rPr>
                <w:rFonts w:ascii="Calibri" w:hAnsi="Calibri"/>
                <w:color w:val="000000"/>
                <w:sz w:val="20"/>
                <w:szCs w:val="20"/>
              </w:rPr>
            </w:pPr>
            <w:r w:rsidRPr="00302923">
              <w:rPr>
                <w:rFonts w:ascii="Calibri" w:hAnsi="Calibri"/>
                <w:color w:val="000000"/>
                <w:sz w:val="20"/>
                <w:szCs w:val="20"/>
              </w:rPr>
              <w:t xml:space="preserve">Mona </w:t>
            </w:r>
            <w:r w:rsidR="00F97012">
              <w:rPr>
                <w:rFonts w:ascii="Calibri" w:hAnsi="Calibri"/>
                <w:color w:val="000000"/>
                <w:sz w:val="20"/>
                <w:szCs w:val="20"/>
              </w:rPr>
              <w:t>Dzvova</w:t>
            </w:r>
          </w:p>
        </w:tc>
        <w:tc>
          <w:tcPr>
            <w:tcW w:w="608" w:type="pct"/>
            <w:tcBorders>
              <w:top w:val="nil"/>
              <w:left w:val="nil"/>
              <w:bottom w:val="single" w:sz="8" w:space="0" w:color="auto"/>
              <w:right w:val="single" w:sz="4" w:space="0" w:color="auto"/>
            </w:tcBorders>
          </w:tcPr>
          <w:p w:rsidR="00302923" w:rsidRPr="00302923" w:rsidRDefault="00302923" w:rsidP="00302923">
            <w:pPr>
              <w:spacing w:after="200" w:line="276" w:lineRule="auto"/>
              <w:rPr>
                <w:rFonts w:ascii="Calibri" w:hAnsi="Calibri"/>
                <w:sz w:val="20"/>
                <w:szCs w:val="20"/>
              </w:rPr>
            </w:pPr>
          </w:p>
        </w:tc>
        <w:tc>
          <w:tcPr>
            <w:tcW w:w="1290" w:type="pct"/>
            <w:tcBorders>
              <w:top w:val="single" w:sz="4" w:space="0" w:color="auto"/>
              <w:left w:val="single" w:sz="4" w:space="0" w:color="auto"/>
              <w:bottom w:val="single" w:sz="4" w:space="0" w:color="auto"/>
              <w:right w:val="single" w:sz="4" w:space="0" w:color="auto"/>
            </w:tcBorders>
          </w:tcPr>
          <w:p w:rsidR="00302923" w:rsidRPr="00302923" w:rsidRDefault="00F97012" w:rsidP="00302923">
            <w:pPr>
              <w:spacing w:after="200" w:line="276" w:lineRule="auto"/>
              <w:rPr>
                <w:rFonts w:ascii="Calibri" w:hAnsi="Calibri"/>
                <w:sz w:val="20"/>
                <w:szCs w:val="20"/>
              </w:rPr>
            </w:pPr>
            <w:r>
              <w:rPr>
                <w:rFonts w:ascii="Calibri" w:hAnsi="Calibri"/>
                <w:color w:val="000000"/>
                <w:sz w:val="20"/>
                <w:szCs w:val="20"/>
              </w:rPr>
              <w:t xml:space="preserve">Updated NTG ratio, gross realization rate, UES, and net realization rates.  </w:t>
            </w:r>
            <w:r w:rsidRPr="00852114">
              <w:rPr>
                <w:rFonts w:ascii="Calibri" w:hAnsi="Calibri"/>
                <w:b/>
                <w:i/>
                <w:color w:val="000000"/>
                <w:sz w:val="20"/>
                <w:szCs w:val="20"/>
              </w:rPr>
              <w:t xml:space="preserve">Average ex-post kWh </w:t>
            </w:r>
            <w:r>
              <w:rPr>
                <w:rFonts w:ascii="Calibri" w:hAnsi="Calibri"/>
                <w:b/>
                <w:i/>
                <w:color w:val="000000"/>
                <w:sz w:val="20"/>
                <w:szCs w:val="20"/>
              </w:rPr>
              <w:t>NTGR = 65</w:t>
            </w:r>
            <w:r w:rsidRPr="00852114">
              <w:rPr>
                <w:rFonts w:ascii="Calibri" w:hAnsi="Calibri"/>
                <w:b/>
                <w:i/>
                <w:color w:val="000000"/>
                <w:sz w:val="20"/>
                <w:szCs w:val="20"/>
              </w:rPr>
              <w:t>%.  First yea</w:t>
            </w:r>
            <w:r>
              <w:rPr>
                <w:rFonts w:ascii="Calibri" w:hAnsi="Calibri"/>
                <w:b/>
                <w:i/>
                <w:color w:val="000000"/>
                <w:sz w:val="20"/>
                <w:szCs w:val="20"/>
              </w:rPr>
              <w:t>r gross kWh realization rate = 94% (PGE), 91% (SCE), and 86</w:t>
            </w:r>
            <w:r w:rsidRPr="00852114">
              <w:rPr>
                <w:rFonts w:ascii="Calibri" w:hAnsi="Calibri"/>
                <w:b/>
                <w:i/>
                <w:color w:val="000000"/>
                <w:sz w:val="20"/>
                <w:szCs w:val="20"/>
              </w:rPr>
              <w:t>% (SDGE).</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E42C7" w:rsidRDefault="003E42C7" w:rsidP="00302923">
            <w:pPr>
              <w:jc w:val="center"/>
              <w:rPr>
                <w:rFonts w:ascii="Calibri" w:hAnsi="Calibri"/>
                <w:color w:val="000000"/>
                <w:sz w:val="20"/>
                <w:szCs w:val="20"/>
              </w:rPr>
            </w:pPr>
          </w:p>
          <w:p w:rsidR="003E42C7" w:rsidRDefault="003E42C7" w:rsidP="00302923">
            <w:pPr>
              <w:jc w:val="center"/>
              <w:rPr>
                <w:rFonts w:ascii="Calibri" w:hAnsi="Calibri"/>
                <w:color w:val="000000"/>
                <w:sz w:val="20"/>
                <w:szCs w:val="20"/>
              </w:rPr>
            </w:pPr>
          </w:p>
          <w:p w:rsidR="003E42C7" w:rsidRPr="00302923" w:rsidRDefault="003E42C7" w:rsidP="00302923">
            <w:pPr>
              <w:jc w:val="center"/>
              <w:rPr>
                <w:rFonts w:ascii="Calibri" w:hAnsi="Calibri"/>
                <w:color w:val="000000"/>
                <w:sz w:val="20"/>
                <w:szCs w:val="20"/>
              </w:rPr>
            </w:pPr>
            <w:r>
              <w:rPr>
                <w:rFonts w:ascii="Calibri" w:hAnsi="Calibri"/>
                <w:color w:val="000000"/>
                <w:sz w:val="20"/>
                <w:szCs w:val="20"/>
              </w:rPr>
              <w:t>L</w:t>
            </w:r>
          </w:p>
        </w:tc>
        <w:tc>
          <w:tcPr>
            <w:tcW w:w="562" w:type="pct"/>
            <w:tcBorders>
              <w:top w:val="nil"/>
              <w:left w:val="single" w:sz="8" w:space="0" w:color="auto"/>
              <w:bottom w:val="single" w:sz="8" w:space="0" w:color="auto"/>
              <w:right w:val="single" w:sz="8" w:space="0" w:color="auto"/>
            </w:tcBorders>
            <w:shd w:val="clear" w:color="auto" w:fill="auto"/>
            <w:vAlign w:val="center"/>
          </w:tcPr>
          <w:p w:rsidR="003E42C7" w:rsidRPr="00302923" w:rsidRDefault="003E42C7" w:rsidP="00302923">
            <w:pPr>
              <w:rPr>
                <w:rFonts w:ascii="Calibri" w:hAnsi="Calibri"/>
                <w:color w:val="000000"/>
                <w:sz w:val="20"/>
                <w:szCs w:val="20"/>
              </w:rPr>
            </w:pPr>
            <w:r>
              <w:rPr>
                <w:rFonts w:ascii="Calibri" w:hAnsi="Calibri"/>
                <w:color w:val="000000"/>
                <w:sz w:val="20"/>
                <w:szCs w:val="20"/>
              </w:rPr>
              <w:t>Custom</w:t>
            </w:r>
          </w:p>
        </w:tc>
        <w:tc>
          <w:tcPr>
            <w:tcW w:w="560" w:type="pct"/>
            <w:tcBorders>
              <w:top w:val="nil"/>
              <w:left w:val="nil"/>
              <w:bottom w:val="single" w:sz="8" w:space="0" w:color="auto"/>
              <w:right w:val="single" w:sz="8" w:space="0" w:color="auto"/>
            </w:tcBorders>
            <w:shd w:val="clear" w:color="auto" w:fill="auto"/>
            <w:vAlign w:val="center"/>
          </w:tcPr>
          <w:p w:rsidR="003E42C7" w:rsidRPr="00302923" w:rsidRDefault="003E42C7" w:rsidP="00B23EF2">
            <w:pPr>
              <w:rPr>
                <w:rFonts w:ascii="Calibri" w:hAnsi="Calibri"/>
                <w:color w:val="000000"/>
                <w:sz w:val="20"/>
                <w:szCs w:val="20"/>
              </w:rPr>
            </w:pPr>
            <w:r w:rsidRPr="00302923">
              <w:rPr>
                <w:rFonts w:ascii="Calibri" w:hAnsi="Calibri"/>
                <w:color w:val="000000"/>
                <w:sz w:val="20"/>
                <w:szCs w:val="20"/>
              </w:rPr>
              <w:t>PG&amp;E, SCE, SDG&amp;E</w:t>
            </w:r>
          </w:p>
        </w:tc>
        <w:tc>
          <w:tcPr>
            <w:tcW w:w="459" w:type="pct"/>
            <w:tcBorders>
              <w:top w:val="nil"/>
              <w:left w:val="nil"/>
              <w:bottom w:val="single" w:sz="8" w:space="0" w:color="auto"/>
              <w:right w:val="single" w:sz="8" w:space="0" w:color="auto"/>
            </w:tcBorders>
            <w:shd w:val="clear" w:color="auto" w:fill="auto"/>
            <w:vAlign w:val="center"/>
          </w:tcPr>
          <w:p w:rsidR="003E42C7" w:rsidRPr="00302923" w:rsidRDefault="003E42C7" w:rsidP="00B23EF2">
            <w:pPr>
              <w:rPr>
                <w:rFonts w:ascii="Calibri" w:hAnsi="Calibri"/>
                <w:color w:val="000000"/>
                <w:sz w:val="20"/>
                <w:szCs w:val="20"/>
              </w:rPr>
            </w:pPr>
            <w:r w:rsidRPr="00302923">
              <w:rPr>
                <w:rFonts w:ascii="Calibri" w:hAnsi="Calibri"/>
                <w:color w:val="000000"/>
                <w:sz w:val="20"/>
                <w:szCs w:val="20"/>
              </w:rPr>
              <w:t>Commercial</w:t>
            </w:r>
          </w:p>
        </w:tc>
        <w:tc>
          <w:tcPr>
            <w:tcW w:w="673" w:type="pct"/>
            <w:tcBorders>
              <w:top w:val="nil"/>
              <w:left w:val="nil"/>
              <w:bottom w:val="single" w:sz="8" w:space="0" w:color="auto"/>
              <w:right w:val="single" w:sz="8" w:space="0" w:color="auto"/>
            </w:tcBorders>
            <w:shd w:val="clear" w:color="auto" w:fill="auto"/>
            <w:vAlign w:val="center"/>
          </w:tcPr>
          <w:p w:rsidR="003E42C7" w:rsidRPr="00302923" w:rsidRDefault="003E42C7" w:rsidP="00B23EF2">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tcPr>
          <w:p w:rsidR="003E42C7" w:rsidRPr="00302923" w:rsidRDefault="003E42C7" w:rsidP="00B23EF2">
            <w:pPr>
              <w:rPr>
                <w:rFonts w:ascii="Calibri" w:hAnsi="Calibri"/>
                <w:color w:val="000000"/>
                <w:sz w:val="20"/>
                <w:szCs w:val="20"/>
              </w:rPr>
            </w:pPr>
            <w:r w:rsidRPr="00302923">
              <w:rPr>
                <w:rFonts w:ascii="Calibri" w:hAnsi="Calibri"/>
                <w:color w:val="000000"/>
                <w:sz w:val="20"/>
                <w:szCs w:val="20"/>
              </w:rPr>
              <w:t xml:space="preserve">Mona </w:t>
            </w:r>
            <w:r>
              <w:rPr>
                <w:rFonts w:ascii="Calibri" w:hAnsi="Calibri"/>
                <w:color w:val="000000"/>
                <w:sz w:val="20"/>
                <w:szCs w:val="20"/>
              </w:rPr>
              <w:t>Dzvova</w:t>
            </w:r>
          </w:p>
        </w:tc>
        <w:tc>
          <w:tcPr>
            <w:tcW w:w="608" w:type="pct"/>
            <w:tcBorders>
              <w:top w:val="nil"/>
              <w:left w:val="nil"/>
              <w:bottom w:val="single" w:sz="8" w:space="0" w:color="auto"/>
              <w:right w:val="single" w:sz="4" w:space="0" w:color="auto"/>
            </w:tcBorders>
          </w:tcPr>
          <w:p w:rsidR="003E42C7" w:rsidRDefault="003E42C7" w:rsidP="00302923">
            <w:pPr>
              <w:rPr>
                <w:rFonts w:ascii="Calibri" w:hAnsi="Calibri"/>
                <w:color w:val="000000"/>
                <w:sz w:val="20"/>
                <w:szCs w:val="20"/>
              </w:rPr>
            </w:pPr>
          </w:p>
          <w:p w:rsidR="003E42C7" w:rsidRDefault="003E42C7" w:rsidP="00302923">
            <w:pPr>
              <w:rPr>
                <w:rFonts w:ascii="Calibri" w:hAnsi="Calibri"/>
                <w:color w:val="000000"/>
                <w:sz w:val="20"/>
                <w:szCs w:val="20"/>
              </w:rPr>
            </w:pPr>
          </w:p>
          <w:p w:rsidR="003E42C7" w:rsidRPr="00302923" w:rsidRDefault="003E42C7" w:rsidP="00302923">
            <w:pPr>
              <w:rPr>
                <w:rFonts w:ascii="Calibri" w:hAnsi="Calibri"/>
                <w:color w:val="000000"/>
                <w:sz w:val="20"/>
                <w:szCs w:val="20"/>
              </w:rPr>
            </w:pPr>
            <w:r>
              <w:rPr>
                <w:rFonts w:ascii="Calibri" w:hAnsi="Calibri"/>
                <w:color w:val="000000"/>
                <w:sz w:val="20"/>
                <w:szCs w:val="20"/>
              </w:rPr>
              <w:t>Field work</w:t>
            </w:r>
          </w:p>
        </w:tc>
        <w:tc>
          <w:tcPr>
            <w:tcW w:w="1290" w:type="pct"/>
            <w:tcBorders>
              <w:top w:val="single" w:sz="4" w:space="0" w:color="auto"/>
              <w:left w:val="single" w:sz="4" w:space="0" w:color="auto"/>
              <w:bottom w:val="single" w:sz="4" w:space="0" w:color="auto"/>
              <w:right w:val="single" w:sz="4" w:space="0" w:color="auto"/>
            </w:tcBorders>
          </w:tcPr>
          <w:p w:rsidR="003E42C7" w:rsidRPr="00302923" w:rsidRDefault="00DB7A3E" w:rsidP="00302923">
            <w:pPr>
              <w:rPr>
                <w:rFonts w:ascii="Calibri" w:hAnsi="Calibri"/>
                <w:color w:val="000000"/>
                <w:sz w:val="20"/>
                <w:szCs w:val="20"/>
              </w:rPr>
            </w:pPr>
            <w:r>
              <w:rPr>
                <w:rFonts w:ascii="Calibri" w:hAnsi="Calibri"/>
                <w:color w:val="000000"/>
                <w:sz w:val="20"/>
                <w:szCs w:val="20"/>
              </w:rPr>
              <w:t xml:space="preserve">Calculated realization rates based on a sample of 44 projects statewide.  Calculated NTG ratios based on a sample of 77 surveys.  </w:t>
            </w:r>
            <w:r w:rsidRPr="00DB7A3E">
              <w:rPr>
                <w:rFonts w:ascii="Calibri" w:hAnsi="Calibri"/>
                <w:b/>
                <w:i/>
                <w:color w:val="000000"/>
                <w:sz w:val="20"/>
                <w:szCs w:val="20"/>
              </w:rPr>
              <w:t>Statewide gross kWh realization rate = 78%; statewide kWh NTG ratio = 53%.</w:t>
            </w:r>
          </w:p>
        </w:tc>
      </w:tr>
      <w:tr w:rsidR="003E42C7" w:rsidRPr="00302923" w:rsidTr="003D147B">
        <w:trPr>
          <w:trHeight w:val="1215"/>
        </w:trPr>
        <w:tc>
          <w:tcPr>
            <w:tcW w:w="278" w:type="pct"/>
            <w:tcBorders>
              <w:top w:val="nil"/>
              <w:left w:val="single" w:sz="8" w:space="0" w:color="auto"/>
              <w:bottom w:val="single" w:sz="8" w:space="0" w:color="auto"/>
              <w:right w:val="single" w:sz="8" w:space="0" w:color="auto"/>
            </w:tcBorders>
          </w:tcPr>
          <w:p w:rsidR="003E42C7" w:rsidRPr="00302923" w:rsidRDefault="003E42C7" w:rsidP="00302923">
            <w:pPr>
              <w:jc w:val="center"/>
              <w:rPr>
                <w:rFonts w:ascii="Calibri" w:hAnsi="Calibri"/>
                <w:color w:val="000000"/>
                <w:sz w:val="20"/>
                <w:szCs w:val="20"/>
              </w:rPr>
            </w:pPr>
          </w:p>
          <w:p w:rsidR="003E42C7" w:rsidRPr="00302923" w:rsidRDefault="003E42C7" w:rsidP="00302923">
            <w:pPr>
              <w:jc w:val="center"/>
              <w:rPr>
                <w:rFonts w:ascii="Calibri" w:hAnsi="Calibri"/>
                <w:color w:val="000000"/>
                <w:sz w:val="20"/>
                <w:szCs w:val="20"/>
              </w:rPr>
            </w:pPr>
            <w:r w:rsidRPr="00302923">
              <w:rPr>
                <w:rFonts w:ascii="Calibri" w:hAnsi="Calibri"/>
                <w:color w:val="000000"/>
                <w:sz w:val="20"/>
                <w:szCs w:val="20"/>
              </w:rPr>
              <w:t>N/A</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E42C7" w:rsidRPr="00302923" w:rsidRDefault="003E42C7" w:rsidP="003D147B">
            <w:pPr>
              <w:rPr>
                <w:rFonts w:ascii="Calibri" w:hAnsi="Calibri"/>
                <w:color w:val="000000"/>
                <w:sz w:val="20"/>
                <w:szCs w:val="20"/>
              </w:rPr>
            </w:pPr>
            <w:r w:rsidRPr="00302923">
              <w:rPr>
                <w:rFonts w:ascii="Calibri" w:hAnsi="Calibri"/>
                <w:color w:val="000000"/>
                <w:sz w:val="20"/>
                <w:szCs w:val="20"/>
              </w:rPr>
              <w:t xml:space="preserve">Computer network and workstation power management software </w:t>
            </w:r>
          </w:p>
        </w:tc>
        <w:tc>
          <w:tcPr>
            <w:tcW w:w="560" w:type="pct"/>
            <w:tcBorders>
              <w:top w:val="nil"/>
              <w:left w:val="nil"/>
              <w:bottom w:val="single" w:sz="8" w:space="0" w:color="auto"/>
              <w:right w:val="single" w:sz="8" w:space="0" w:color="auto"/>
            </w:tcBorders>
            <w:shd w:val="clear" w:color="auto" w:fill="auto"/>
            <w:vAlign w:val="center"/>
            <w:hideMark/>
          </w:tcPr>
          <w:p w:rsidR="003E42C7" w:rsidRPr="00302923" w:rsidRDefault="003E42C7" w:rsidP="00302923">
            <w:pPr>
              <w:rPr>
                <w:rFonts w:ascii="Calibri" w:hAnsi="Calibri"/>
                <w:color w:val="000000"/>
                <w:sz w:val="20"/>
                <w:szCs w:val="20"/>
              </w:rPr>
            </w:pPr>
            <w:r w:rsidRPr="00302923">
              <w:rPr>
                <w:rFonts w:ascii="Calibri" w:hAnsi="Calibri"/>
                <w:color w:val="000000"/>
                <w:sz w:val="20"/>
                <w:szCs w:val="20"/>
              </w:rPr>
              <w:t>PG&amp;E, SCE</w:t>
            </w:r>
          </w:p>
        </w:tc>
        <w:tc>
          <w:tcPr>
            <w:tcW w:w="459" w:type="pct"/>
            <w:tcBorders>
              <w:top w:val="nil"/>
              <w:left w:val="nil"/>
              <w:bottom w:val="single" w:sz="8" w:space="0" w:color="auto"/>
              <w:right w:val="single" w:sz="8" w:space="0" w:color="auto"/>
            </w:tcBorders>
            <w:shd w:val="clear" w:color="auto" w:fill="auto"/>
            <w:vAlign w:val="center"/>
            <w:hideMark/>
          </w:tcPr>
          <w:p w:rsidR="003E42C7" w:rsidRPr="00302923" w:rsidRDefault="003E42C7" w:rsidP="00302923">
            <w:pPr>
              <w:rPr>
                <w:rFonts w:ascii="Calibri" w:hAnsi="Calibri"/>
                <w:color w:val="000000"/>
                <w:sz w:val="20"/>
                <w:szCs w:val="20"/>
              </w:rPr>
            </w:pPr>
            <w:r w:rsidRPr="00302923">
              <w:rPr>
                <w:rFonts w:ascii="Calibri" w:hAnsi="Calibri"/>
                <w:color w:val="000000"/>
                <w:sz w:val="20"/>
                <w:szCs w:val="20"/>
              </w:rPr>
              <w:t>Commercial</w:t>
            </w:r>
          </w:p>
        </w:tc>
        <w:tc>
          <w:tcPr>
            <w:tcW w:w="673" w:type="pct"/>
            <w:tcBorders>
              <w:top w:val="nil"/>
              <w:left w:val="nil"/>
              <w:bottom w:val="single" w:sz="8" w:space="0" w:color="auto"/>
              <w:right w:val="single" w:sz="8" w:space="0" w:color="auto"/>
            </w:tcBorders>
            <w:shd w:val="clear" w:color="auto" w:fill="auto"/>
            <w:vAlign w:val="center"/>
            <w:hideMark/>
          </w:tcPr>
          <w:p w:rsidR="003E42C7" w:rsidRPr="00302923" w:rsidRDefault="003E42C7" w:rsidP="00302923">
            <w:pPr>
              <w:rPr>
                <w:rFonts w:ascii="Calibri" w:hAnsi="Calibri"/>
                <w:color w:val="000000"/>
                <w:sz w:val="20"/>
                <w:szCs w:val="20"/>
              </w:rPr>
            </w:pPr>
            <w:r w:rsidRPr="00302923">
              <w:rPr>
                <w:rFonts w:ascii="Calibri" w:hAnsi="Calibri"/>
                <w:color w:val="000000"/>
                <w:sz w:val="20"/>
                <w:szCs w:val="20"/>
              </w:rPr>
              <w:t>Non-Residential Downstream Deemed Impact Evaluation</w:t>
            </w:r>
          </w:p>
        </w:tc>
        <w:tc>
          <w:tcPr>
            <w:tcW w:w="570" w:type="pct"/>
            <w:tcBorders>
              <w:top w:val="nil"/>
              <w:left w:val="nil"/>
              <w:bottom w:val="single" w:sz="8" w:space="0" w:color="auto"/>
              <w:right w:val="single" w:sz="8" w:space="0" w:color="auto"/>
            </w:tcBorders>
            <w:shd w:val="clear" w:color="auto" w:fill="auto"/>
            <w:vAlign w:val="center"/>
            <w:hideMark/>
          </w:tcPr>
          <w:p w:rsidR="003E42C7" w:rsidRPr="00302923" w:rsidRDefault="003E42C7" w:rsidP="00302923">
            <w:pPr>
              <w:rPr>
                <w:rFonts w:ascii="Calibri" w:hAnsi="Calibri"/>
                <w:color w:val="000000"/>
                <w:sz w:val="20"/>
                <w:szCs w:val="20"/>
              </w:rPr>
            </w:pPr>
            <w:r w:rsidRPr="00302923">
              <w:rPr>
                <w:rFonts w:ascii="Calibri" w:hAnsi="Calibri"/>
                <w:color w:val="000000"/>
                <w:sz w:val="20"/>
                <w:szCs w:val="20"/>
              </w:rPr>
              <w:t>Amy</w:t>
            </w:r>
            <w:r>
              <w:rPr>
                <w:rFonts w:ascii="Calibri" w:hAnsi="Calibri"/>
                <w:color w:val="000000"/>
                <w:sz w:val="20"/>
                <w:szCs w:val="20"/>
              </w:rPr>
              <w:t xml:space="preserve"> Reardon</w:t>
            </w:r>
          </w:p>
        </w:tc>
        <w:tc>
          <w:tcPr>
            <w:tcW w:w="608" w:type="pct"/>
            <w:tcBorders>
              <w:top w:val="nil"/>
              <w:left w:val="nil"/>
              <w:bottom w:val="single" w:sz="8" w:space="0" w:color="auto"/>
              <w:right w:val="single" w:sz="4" w:space="0" w:color="auto"/>
            </w:tcBorders>
          </w:tcPr>
          <w:p w:rsidR="003E42C7" w:rsidRPr="00302923" w:rsidRDefault="003E42C7" w:rsidP="00302923">
            <w:pPr>
              <w:rPr>
                <w:rFonts w:ascii="Calibri" w:hAnsi="Calibri"/>
                <w:color w:val="000000"/>
                <w:sz w:val="20"/>
                <w:szCs w:val="20"/>
              </w:rPr>
            </w:pPr>
          </w:p>
          <w:p w:rsidR="003E42C7" w:rsidRPr="00302923" w:rsidRDefault="003E42C7" w:rsidP="00302923">
            <w:pPr>
              <w:rPr>
                <w:rFonts w:ascii="Calibri" w:hAnsi="Calibri"/>
                <w:color w:val="000000"/>
                <w:sz w:val="20"/>
                <w:szCs w:val="20"/>
              </w:rPr>
            </w:pPr>
          </w:p>
          <w:p w:rsidR="003E42C7" w:rsidRPr="00302923" w:rsidRDefault="003E42C7" w:rsidP="00302923">
            <w:pPr>
              <w:rPr>
                <w:rFonts w:ascii="Calibri" w:hAnsi="Calibri"/>
                <w:color w:val="000000"/>
                <w:sz w:val="20"/>
                <w:szCs w:val="20"/>
              </w:rPr>
            </w:pPr>
          </w:p>
          <w:p w:rsidR="003E42C7" w:rsidRPr="00302923" w:rsidRDefault="003E42C7" w:rsidP="00302923">
            <w:pPr>
              <w:rPr>
                <w:rFonts w:ascii="Calibri" w:hAnsi="Calibri"/>
                <w:color w:val="000000"/>
                <w:sz w:val="20"/>
                <w:szCs w:val="20"/>
              </w:rPr>
            </w:pPr>
            <w:r w:rsidRPr="00302923">
              <w:rPr>
                <w:rFonts w:ascii="Calibri" w:hAnsi="Calibri"/>
                <w:color w:val="000000"/>
                <w:sz w:val="20"/>
                <w:szCs w:val="20"/>
              </w:rPr>
              <w:t>No update</w:t>
            </w:r>
          </w:p>
        </w:tc>
        <w:tc>
          <w:tcPr>
            <w:tcW w:w="1290" w:type="pct"/>
            <w:tcBorders>
              <w:top w:val="single" w:sz="4" w:space="0" w:color="auto"/>
              <w:left w:val="single" w:sz="4" w:space="0" w:color="auto"/>
              <w:bottom w:val="single" w:sz="4" w:space="0" w:color="auto"/>
              <w:right w:val="single" w:sz="4" w:space="0" w:color="auto"/>
            </w:tcBorders>
          </w:tcPr>
          <w:p w:rsidR="003E42C7" w:rsidRPr="00302923" w:rsidRDefault="003E42C7" w:rsidP="00302923">
            <w:pPr>
              <w:rPr>
                <w:rFonts w:ascii="Calibri" w:hAnsi="Calibri"/>
                <w:color w:val="000000"/>
                <w:sz w:val="20"/>
                <w:szCs w:val="20"/>
              </w:rPr>
            </w:pPr>
          </w:p>
        </w:tc>
      </w:tr>
      <w:tr w:rsidR="003E42C7" w:rsidRPr="00302923" w:rsidTr="003D147B">
        <w:trPr>
          <w:trHeight w:val="915"/>
        </w:trPr>
        <w:tc>
          <w:tcPr>
            <w:tcW w:w="278" w:type="pct"/>
            <w:tcBorders>
              <w:top w:val="nil"/>
              <w:left w:val="single" w:sz="8" w:space="0" w:color="auto"/>
              <w:bottom w:val="single" w:sz="8" w:space="0" w:color="auto"/>
              <w:right w:val="single" w:sz="8" w:space="0" w:color="auto"/>
            </w:tcBorders>
          </w:tcPr>
          <w:p w:rsidR="003E42C7" w:rsidRPr="00302923" w:rsidRDefault="003E42C7" w:rsidP="00302923">
            <w:pPr>
              <w:rPr>
                <w:rFonts w:ascii="Calibri" w:hAnsi="Calibri"/>
                <w:sz w:val="20"/>
                <w:szCs w:val="20"/>
              </w:rPr>
            </w:pPr>
            <w:r w:rsidRPr="00302923">
              <w:rPr>
                <w:rFonts w:ascii="Calibri" w:hAnsi="Calibri"/>
                <w:sz w:val="20"/>
                <w:szCs w:val="20"/>
              </w:rPr>
              <w:t>N/A</w:t>
            </w:r>
          </w:p>
        </w:tc>
        <w:tc>
          <w:tcPr>
            <w:tcW w:w="562" w:type="pct"/>
            <w:tcBorders>
              <w:top w:val="nil"/>
              <w:left w:val="single" w:sz="8" w:space="0" w:color="auto"/>
              <w:bottom w:val="single" w:sz="8" w:space="0" w:color="auto"/>
              <w:right w:val="single" w:sz="8" w:space="0" w:color="auto"/>
            </w:tcBorders>
            <w:shd w:val="clear" w:color="auto" w:fill="auto"/>
            <w:vAlign w:val="center"/>
            <w:hideMark/>
          </w:tcPr>
          <w:p w:rsidR="003E42C7" w:rsidRPr="00302923" w:rsidRDefault="003E42C7" w:rsidP="00302923">
            <w:pPr>
              <w:rPr>
                <w:rFonts w:ascii="Calibri" w:hAnsi="Calibri"/>
                <w:sz w:val="20"/>
                <w:szCs w:val="20"/>
              </w:rPr>
            </w:pPr>
            <w:r w:rsidRPr="00302923">
              <w:rPr>
                <w:rFonts w:ascii="Calibri" w:hAnsi="Calibri"/>
                <w:sz w:val="20"/>
                <w:szCs w:val="20"/>
              </w:rPr>
              <w:t>Finance</w:t>
            </w:r>
          </w:p>
        </w:tc>
        <w:tc>
          <w:tcPr>
            <w:tcW w:w="560" w:type="pct"/>
            <w:tcBorders>
              <w:top w:val="nil"/>
              <w:left w:val="nil"/>
              <w:bottom w:val="single" w:sz="8" w:space="0" w:color="auto"/>
              <w:right w:val="single" w:sz="8" w:space="0" w:color="auto"/>
            </w:tcBorders>
            <w:shd w:val="clear" w:color="auto" w:fill="auto"/>
            <w:vAlign w:val="center"/>
            <w:hideMark/>
          </w:tcPr>
          <w:p w:rsidR="003E42C7" w:rsidRPr="00302923" w:rsidRDefault="003E42C7" w:rsidP="00302923">
            <w:pPr>
              <w:rPr>
                <w:rFonts w:ascii="Calibri" w:hAnsi="Calibri"/>
                <w:sz w:val="20"/>
                <w:szCs w:val="20"/>
              </w:rPr>
            </w:pPr>
            <w:r w:rsidRPr="00302923">
              <w:rPr>
                <w:rFonts w:ascii="Calibri" w:hAnsi="Calibri"/>
                <w:sz w:val="20"/>
                <w:szCs w:val="20"/>
              </w:rPr>
              <w:t>PG&amp;E, SCE, SDG&amp;E, SCG</w:t>
            </w:r>
          </w:p>
        </w:tc>
        <w:tc>
          <w:tcPr>
            <w:tcW w:w="459" w:type="pct"/>
            <w:tcBorders>
              <w:top w:val="nil"/>
              <w:left w:val="nil"/>
              <w:bottom w:val="single" w:sz="8" w:space="0" w:color="auto"/>
              <w:right w:val="single" w:sz="8" w:space="0" w:color="auto"/>
            </w:tcBorders>
            <w:shd w:val="clear" w:color="auto" w:fill="auto"/>
            <w:vAlign w:val="center"/>
            <w:hideMark/>
          </w:tcPr>
          <w:p w:rsidR="003E42C7" w:rsidRPr="00302923" w:rsidRDefault="003E42C7" w:rsidP="00302923">
            <w:pPr>
              <w:rPr>
                <w:rFonts w:ascii="Calibri" w:hAnsi="Calibri"/>
                <w:sz w:val="20"/>
                <w:szCs w:val="20"/>
              </w:rPr>
            </w:pPr>
            <w:r w:rsidRPr="00302923">
              <w:rPr>
                <w:rFonts w:ascii="Calibri" w:hAnsi="Calibri"/>
                <w:sz w:val="20"/>
                <w:szCs w:val="20"/>
              </w:rPr>
              <w:t>Residential and Commercial</w:t>
            </w:r>
          </w:p>
        </w:tc>
        <w:tc>
          <w:tcPr>
            <w:tcW w:w="673" w:type="pct"/>
            <w:tcBorders>
              <w:top w:val="nil"/>
              <w:left w:val="nil"/>
              <w:bottom w:val="single" w:sz="8" w:space="0" w:color="auto"/>
              <w:right w:val="single" w:sz="8" w:space="0" w:color="auto"/>
            </w:tcBorders>
            <w:shd w:val="clear" w:color="auto" w:fill="auto"/>
            <w:vAlign w:val="center"/>
            <w:hideMark/>
          </w:tcPr>
          <w:p w:rsidR="003E42C7" w:rsidRPr="00302923" w:rsidRDefault="003E42C7" w:rsidP="00302923">
            <w:pPr>
              <w:rPr>
                <w:rFonts w:ascii="Calibri" w:hAnsi="Calibri"/>
                <w:sz w:val="20"/>
                <w:szCs w:val="20"/>
              </w:rPr>
            </w:pPr>
            <w:r w:rsidRPr="00302923">
              <w:rPr>
                <w:rFonts w:ascii="Calibri" w:hAnsi="Calibri"/>
                <w:sz w:val="20"/>
                <w:szCs w:val="20"/>
              </w:rPr>
              <w:t> </w:t>
            </w:r>
          </w:p>
        </w:tc>
        <w:tc>
          <w:tcPr>
            <w:tcW w:w="570" w:type="pct"/>
            <w:tcBorders>
              <w:top w:val="nil"/>
              <w:left w:val="nil"/>
              <w:bottom w:val="single" w:sz="8" w:space="0" w:color="auto"/>
              <w:right w:val="single" w:sz="8" w:space="0" w:color="auto"/>
            </w:tcBorders>
            <w:shd w:val="clear" w:color="auto" w:fill="auto"/>
            <w:vAlign w:val="center"/>
            <w:hideMark/>
          </w:tcPr>
          <w:p w:rsidR="003E42C7" w:rsidRPr="00302923" w:rsidRDefault="003E42C7" w:rsidP="00F97012">
            <w:pPr>
              <w:rPr>
                <w:rFonts w:ascii="Calibri" w:hAnsi="Calibri"/>
                <w:sz w:val="20"/>
                <w:szCs w:val="20"/>
              </w:rPr>
            </w:pPr>
          </w:p>
        </w:tc>
        <w:tc>
          <w:tcPr>
            <w:tcW w:w="608" w:type="pct"/>
            <w:tcBorders>
              <w:top w:val="nil"/>
              <w:left w:val="nil"/>
              <w:bottom w:val="single" w:sz="8" w:space="0" w:color="auto"/>
              <w:right w:val="single" w:sz="4" w:space="0" w:color="auto"/>
            </w:tcBorders>
          </w:tcPr>
          <w:p w:rsidR="003E42C7" w:rsidRPr="00302923" w:rsidRDefault="003E42C7" w:rsidP="00302923">
            <w:pPr>
              <w:rPr>
                <w:rFonts w:ascii="Calibri" w:hAnsi="Calibri"/>
                <w:sz w:val="20"/>
                <w:szCs w:val="20"/>
              </w:rPr>
            </w:pPr>
          </w:p>
          <w:p w:rsidR="003E42C7" w:rsidRPr="00302923" w:rsidRDefault="003E42C7" w:rsidP="00302923">
            <w:pPr>
              <w:rPr>
                <w:rFonts w:ascii="Calibri" w:hAnsi="Calibri"/>
                <w:sz w:val="20"/>
                <w:szCs w:val="20"/>
              </w:rPr>
            </w:pPr>
            <w:r w:rsidRPr="00302923">
              <w:rPr>
                <w:rFonts w:ascii="Calibri" w:hAnsi="Calibri"/>
                <w:sz w:val="20"/>
                <w:szCs w:val="20"/>
              </w:rPr>
              <w:t>No update</w:t>
            </w:r>
          </w:p>
        </w:tc>
        <w:tc>
          <w:tcPr>
            <w:tcW w:w="1290" w:type="pct"/>
            <w:tcBorders>
              <w:top w:val="single" w:sz="4" w:space="0" w:color="auto"/>
              <w:left w:val="single" w:sz="4" w:space="0" w:color="auto"/>
              <w:bottom w:val="single" w:sz="4" w:space="0" w:color="auto"/>
              <w:right w:val="single" w:sz="4" w:space="0" w:color="auto"/>
            </w:tcBorders>
          </w:tcPr>
          <w:p w:rsidR="003E42C7" w:rsidRPr="00302923" w:rsidRDefault="003E42C7" w:rsidP="00302923">
            <w:pPr>
              <w:rPr>
                <w:rFonts w:ascii="Calibri" w:hAnsi="Calibri"/>
                <w:sz w:val="20"/>
                <w:szCs w:val="20"/>
              </w:rPr>
            </w:pPr>
          </w:p>
        </w:tc>
      </w:tr>
    </w:tbl>
    <w:p w:rsidR="000A5A9A" w:rsidRDefault="000A5A9A" w:rsidP="00902C49">
      <w:pPr>
        <w:jc w:val="both"/>
      </w:pPr>
      <w:r>
        <w:br w:type="page"/>
      </w:r>
      <w:bookmarkStart w:id="1" w:name="_Toc412798440"/>
    </w:p>
    <w:p w:rsidR="00F8161D" w:rsidRDefault="00F8161D" w:rsidP="00F8161D">
      <w:pPr>
        <w:jc w:val="center"/>
      </w:pPr>
      <w:r>
        <w:t>ATTACHMENT 1</w:t>
      </w:r>
    </w:p>
    <w:p w:rsidR="00F8161D" w:rsidRPr="00B527E1" w:rsidRDefault="00F8161D" w:rsidP="00F8161D">
      <w:pPr>
        <w:jc w:val="center"/>
        <w:rPr>
          <w:b/>
          <w:color w:val="FF0000"/>
        </w:rPr>
      </w:pPr>
    </w:p>
    <w:bookmarkEnd w:id="1"/>
    <w:p w:rsidR="000A5A9A" w:rsidRDefault="000A5A9A" w:rsidP="000A5A9A">
      <w:pPr>
        <w:numPr>
          <w:ilvl w:val="0"/>
          <w:numId w:val="11"/>
        </w:numPr>
        <w:spacing w:after="200" w:line="276" w:lineRule="auto"/>
        <w:rPr>
          <w:b/>
          <w:color w:val="FF0000"/>
        </w:rPr>
      </w:pPr>
      <w:r>
        <w:rPr>
          <w:b/>
          <w:color w:val="FF0000"/>
        </w:rPr>
        <w:t>HVAC Quality Maintenance</w:t>
      </w:r>
    </w:p>
    <w:bookmarkStart w:id="2" w:name="_MON_1487425515"/>
    <w:bookmarkEnd w:id="2"/>
    <w:p w:rsidR="000A5A9A" w:rsidRDefault="00AA6D04" w:rsidP="000A5A9A">
      <w:pPr>
        <w:ind w:left="720"/>
        <w:rPr>
          <w:b/>
          <w:color w:val="FF0000"/>
        </w:rPr>
      </w:pPr>
      <w:r>
        <w:rPr>
          <w:b/>
          <w:color w:val="FF000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Word.Document.12" ShapeID="_x0000_i1025" DrawAspect="Icon" ObjectID="_1508142070" r:id="rId12">
            <o:FieldCodes>\s</o:FieldCodes>
          </o:OLEObject>
        </w:object>
      </w:r>
    </w:p>
    <w:p w:rsidR="000A5A9A" w:rsidRDefault="000A5A9A" w:rsidP="000A5A9A">
      <w:pPr>
        <w:numPr>
          <w:ilvl w:val="0"/>
          <w:numId w:val="11"/>
        </w:numPr>
        <w:spacing w:after="200" w:line="276" w:lineRule="auto"/>
        <w:rPr>
          <w:b/>
          <w:color w:val="FF0000"/>
        </w:rPr>
      </w:pPr>
      <w:r w:rsidRPr="00B527E1">
        <w:rPr>
          <w:b/>
          <w:color w:val="FF0000"/>
        </w:rPr>
        <w:t>HVAC Mini-split</w:t>
      </w:r>
    </w:p>
    <w:bookmarkStart w:id="3" w:name="_MON_1486819201"/>
    <w:bookmarkEnd w:id="3"/>
    <w:p w:rsidR="000A5A9A" w:rsidRDefault="000A5A9A" w:rsidP="000A5A9A">
      <w:pPr>
        <w:ind w:left="720"/>
        <w:rPr>
          <w:b/>
          <w:color w:val="FF0000"/>
        </w:rPr>
      </w:pPr>
      <w:r>
        <w:rPr>
          <w:b/>
          <w:color w:val="FF0000"/>
        </w:rPr>
        <w:object w:dxaOrig="1550" w:dyaOrig="991">
          <v:shape id="_x0000_i1026" type="#_x0000_t75" style="width:77.25pt;height:49.5pt" o:ole="">
            <v:imagedata r:id="rId13" o:title=""/>
          </v:shape>
          <o:OLEObject Type="Embed" ProgID="Word.Document.12" ShapeID="_x0000_i1026" DrawAspect="Icon" ObjectID="_1508142071" r:id="rId14">
            <o:FieldCodes>\s</o:FieldCodes>
          </o:OLEObject>
        </w:object>
      </w:r>
    </w:p>
    <w:p w:rsidR="000A5A9A" w:rsidRDefault="000A5A9A" w:rsidP="000A5A9A">
      <w:pPr>
        <w:numPr>
          <w:ilvl w:val="0"/>
          <w:numId w:val="11"/>
        </w:numPr>
        <w:spacing w:after="200" w:line="276" w:lineRule="auto"/>
        <w:rPr>
          <w:b/>
          <w:color w:val="FF0000"/>
        </w:rPr>
      </w:pPr>
      <w:r w:rsidRPr="00B527E1">
        <w:rPr>
          <w:b/>
          <w:color w:val="FF0000"/>
        </w:rPr>
        <w:t>Residential Upstream Lighting</w:t>
      </w:r>
    </w:p>
    <w:bookmarkStart w:id="4" w:name="_MON_1486819456"/>
    <w:bookmarkEnd w:id="4"/>
    <w:p w:rsidR="000A5A9A" w:rsidRDefault="000A5A9A" w:rsidP="000A5A9A">
      <w:pPr>
        <w:ind w:left="360" w:firstLine="360"/>
        <w:rPr>
          <w:b/>
          <w:color w:val="FF0000"/>
        </w:rPr>
      </w:pPr>
      <w:r>
        <w:rPr>
          <w:b/>
          <w:color w:val="FF0000"/>
        </w:rPr>
        <w:object w:dxaOrig="1550" w:dyaOrig="991">
          <v:shape id="_x0000_i1027" type="#_x0000_t75" style="width:77.25pt;height:49.5pt" o:ole="">
            <v:imagedata r:id="rId15" o:title=""/>
          </v:shape>
          <o:OLEObject Type="Embed" ProgID="Word.Document.12" ShapeID="_x0000_i1027" DrawAspect="Icon" ObjectID="_1508142072" r:id="rId16">
            <o:FieldCodes>\s</o:FieldCodes>
          </o:OLEObject>
        </w:object>
      </w:r>
    </w:p>
    <w:p w:rsidR="000A5A9A" w:rsidRDefault="000A5A9A" w:rsidP="000A5A9A">
      <w:pPr>
        <w:numPr>
          <w:ilvl w:val="0"/>
          <w:numId w:val="11"/>
        </w:numPr>
        <w:spacing w:after="200" w:line="276" w:lineRule="auto"/>
        <w:rPr>
          <w:b/>
          <w:color w:val="FF0000"/>
        </w:rPr>
      </w:pPr>
      <w:r w:rsidRPr="00B527E1">
        <w:rPr>
          <w:b/>
          <w:color w:val="FF0000"/>
        </w:rPr>
        <w:t>Home Upgrade Program (formerly Energy Upgrade California program)</w:t>
      </w:r>
    </w:p>
    <w:bookmarkStart w:id="5" w:name="_MON_1487423465"/>
    <w:bookmarkEnd w:id="5"/>
    <w:p w:rsidR="00DD54E2" w:rsidRDefault="00F97012" w:rsidP="00DD54E2">
      <w:pPr>
        <w:spacing w:after="200" w:line="276" w:lineRule="auto"/>
        <w:ind w:left="720"/>
        <w:rPr>
          <w:b/>
          <w:color w:val="FF0000"/>
        </w:rPr>
      </w:pPr>
      <w:r>
        <w:rPr>
          <w:b/>
          <w:color w:val="FF0000"/>
        </w:rPr>
        <w:object w:dxaOrig="1550" w:dyaOrig="991">
          <v:shape id="_x0000_i1028" type="#_x0000_t75" style="width:77.25pt;height:49.5pt" o:ole="">
            <v:imagedata r:id="rId17" o:title=""/>
          </v:shape>
          <o:OLEObject Type="Embed" ProgID="Word.Document.12" ShapeID="_x0000_i1028" DrawAspect="Icon" ObjectID="_1508142073" r:id="rId18">
            <o:FieldCodes>\s</o:FieldCodes>
          </o:OLEObject>
        </w:object>
      </w:r>
    </w:p>
    <w:p w:rsidR="000A5A9A" w:rsidRDefault="000A5A9A" w:rsidP="000A5A9A">
      <w:pPr>
        <w:numPr>
          <w:ilvl w:val="0"/>
          <w:numId w:val="11"/>
        </w:numPr>
        <w:spacing w:after="200" w:line="276" w:lineRule="auto"/>
        <w:rPr>
          <w:b/>
          <w:color w:val="FF0000"/>
        </w:rPr>
      </w:pPr>
      <w:r w:rsidRPr="00B527E1">
        <w:rPr>
          <w:b/>
          <w:color w:val="FF0000"/>
        </w:rPr>
        <w:t>Water Kits</w:t>
      </w:r>
    </w:p>
    <w:bookmarkStart w:id="6" w:name="_MON_1486819476"/>
    <w:bookmarkEnd w:id="6"/>
    <w:p w:rsidR="000A5A9A" w:rsidRDefault="000A5A9A" w:rsidP="000A5A9A">
      <w:pPr>
        <w:ind w:left="360" w:firstLine="360"/>
        <w:rPr>
          <w:b/>
          <w:color w:val="FF0000"/>
        </w:rPr>
      </w:pPr>
      <w:r>
        <w:rPr>
          <w:b/>
          <w:color w:val="FF0000"/>
        </w:rPr>
        <w:object w:dxaOrig="1550" w:dyaOrig="991">
          <v:shape id="_x0000_i1029" type="#_x0000_t75" style="width:77.25pt;height:49.5pt" o:ole="">
            <v:imagedata r:id="rId19" o:title=""/>
          </v:shape>
          <o:OLEObject Type="Embed" ProgID="Word.Document.12" ShapeID="_x0000_i1029" DrawAspect="Icon" ObjectID="_1508142074" r:id="rId20">
            <o:FieldCodes>\s</o:FieldCodes>
          </o:OLEObject>
        </w:object>
      </w:r>
    </w:p>
    <w:p w:rsidR="000A5A9A" w:rsidRDefault="000A5A9A" w:rsidP="000A5A9A">
      <w:pPr>
        <w:numPr>
          <w:ilvl w:val="0"/>
          <w:numId w:val="11"/>
        </w:numPr>
        <w:spacing w:after="200" w:line="276" w:lineRule="auto"/>
        <w:rPr>
          <w:b/>
          <w:color w:val="FF0000"/>
        </w:rPr>
      </w:pPr>
      <w:r w:rsidRPr="00B527E1">
        <w:rPr>
          <w:b/>
          <w:color w:val="FF0000"/>
        </w:rPr>
        <w:t>Pools Pumps</w:t>
      </w:r>
    </w:p>
    <w:bookmarkStart w:id="7" w:name="_MON_1486819494"/>
    <w:bookmarkEnd w:id="7"/>
    <w:p w:rsidR="000A5A9A" w:rsidRPr="00B527E1" w:rsidRDefault="000A5A9A" w:rsidP="000A5A9A">
      <w:pPr>
        <w:ind w:left="360" w:firstLine="360"/>
        <w:rPr>
          <w:b/>
          <w:color w:val="FF0000"/>
        </w:rPr>
      </w:pPr>
      <w:r>
        <w:rPr>
          <w:b/>
          <w:color w:val="FF0000"/>
        </w:rPr>
        <w:object w:dxaOrig="1550" w:dyaOrig="991">
          <v:shape id="_x0000_i1030" type="#_x0000_t75" style="width:77.25pt;height:49.5pt" o:ole="">
            <v:imagedata r:id="rId21" o:title=""/>
          </v:shape>
          <o:OLEObject Type="Embed" ProgID="Word.Document.12" ShapeID="_x0000_i1030" DrawAspect="Icon" ObjectID="_1508142075" r:id="rId22">
            <o:FieldCodes>\s</o:FieldCodes>
          </o:OLEObject>
        </w:object>
      </w:r>
    </w:p>
    <w:p w:rsidR="000A5A9A" w:rsidRDefault="000A5A9A" w:rsidP="000A5A9A">
      <w:pPr>
        <w:numPr>
          <w:ilvl w:val="0"/>
          <w:numId w:val="11"/>
        </w:numPr>
        <w:spacing w:after="200" w:line="276" w:lineRule="auto"/>
        <w:rPr>
          <w:b/>
          <w:color w:val="FF0000"/>
        </w:rPr>
      </w:pPr>
      <w:r w:rsidRPr="00B527E1">
        <w:rPr>
          <w:b/>
          <w:color w:val="FF0000"/>
        </w:rPr>
        <w:t>Behavior</w:t>
      </w:r>
    </w:p>
    <w:p w:rsidR="000A5A9A" w:rsidRDefault="00607079" w:rsidP="000A5A9A">
      <w:pPr>
        <w:ind w:left="360"/>
        <w:rPr>
          <w:b/>
          <w:color w:val="FF0000"/>
        </w:rPr>
      </w:pPr>
      <w:r>
        <w:rPr>
          <w:b/>
          <w:color w:val="FF0000"/>
        </w:rPr>
        <w:object w:dxaOrig="2069" w:dyaOrig="1320">
          <v:shape id="_x0000_i1031" type="#_x0000_t75" style="width:103.45pt;height:66pt" o:ole="">
            <v:imagedata r:id="rId23" o:title=""/>
          </v:shape>
          <o:OLEObject Type="Embed" ProgID="AcroExch.Document.7" ShapeID="_x0000_i1031" DrawAspect="Icon" ObjectID="_1508142076" r:id="rId24"/>
        </w:object>
      </w:r>
      <w:r w:rsidR="000A5A9A">
        <w:rPr>
          <w:b/>
          <w:color w:val="FF0000"/>
        </w:rPr>
        <w:object w:dxaOrig="1550" w:dyaOrig="991">
          <v:shape id="_x0000_i1032" type="#_x0000_t75" style="width:77.25pt;height:49.5pt" o:ole="">
            <v:imagedata r:id="rId25" o:title=""/>
          </v:shape>
          <o:OLEObject Type="Embed" ProgID="AcroExch.Document.7" ShapeID="_x0000_i1032" DrawAspect="Icon" ObjectID="_1508142077" r:id="rId26"/>
        </w:object>
      </w:r>
      <w:r w:rsidR="000A5A9A">
        <w:rPr>
          <w:b/>
          <w:color w:val="FF0000"/>
        </w:rPr>
        <w:object w:dxaOrig="1550" w:dyaOrig="991">
          <v:shape id="_x0000_i1033" type="#_x0000_t75" style="width:77.25pt;height:49.5pt" o:ole="">
            <v:imagedata r:id="rId27" o:title=""/>
          </v:shape>
          <o:OLEObject Type="Embed" ProgID="AcroExch.Document.7" ShapeID="_x0000_i1033" DrawAspect="Icon" ObjectID="_1508142078" r:id="rId28"/>
        </w:object>
      </w:r>
    </w:p>
    <w:p w:rsidR="000A5A9A" w:rsidRDefault="00AC591C" w:rsidP="000A5A9A">
      <w:pPr>
        <w:numPr>
          <w:ilvl w:val="0"/>
          <w:numId w:val="11"/>
        </w:numPr>
        <w:spacing w:after="200" w:line="276" w:lineRule="auto"/>
        <w:rPr>
          <w:b/>
          <w:color w:val="FF0000"/>
        </w:rPr>
      </w:pPr>
      <w:r>
        <w:rPr>
          <w:b/>
          <w:color w:val="FF0000"/>
        </w:rPr>
        <w:t>Custom Projects</w:t>
      </w:r>
    </w:p>
    <w:p w:rsidR="00AC591C" w:rsidRDefault="00ED4168" w:rsidP="00AC591C">
      <w:pPr>
        <w:spacing w:after="200" w:line="276" w:lineRule="auto"/>
        <w:ind w:left="720"/>
        <w:rPr>
          <w:b/>
          <w:color w:val="FF0000"/>
        </w:rP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2127885</wp:posOffset>
                </wp:positionH>
                <wp:positionV relativeFrom="paragraph">
                  <wp:posOffset>-344170</wp:posOffset>
                </wp:positionV>
                <wp:extent cx="2421255" cy="266700"/>
                <wp:effectExtent l="381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234" w:rsidRDefault="003E42C7">
                            <w:r>
                              <w:t>ATTACHMENT 1 (CONTINUED)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7.55pt;margin-top:-27.1pt;width:190.65pt;height:2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" stroked="f">
                <v:textbox style="mso-fit-shape-to-text:t">
                  <w:txbxContent>
                    <w:p w:rsidR="00C15234" w:rsidRDefault="003E42C7">
                      <w:r>
                        <w:t>ATTACHMENT 1 (CONTINUED)</w:t>
                      </w:r>
                    </w:p>
                  </w:txbxContent>
                </v:textbox>
              </v:shape>
            </w:pict>
          </mc:Fallback>
        </mc:AlternateContent>
      </w:r>
      <w:bookmarkStart w:id="8" w:name="_MON_1487009825"/>
      <w:bookmarkEnd w:id="8"/>
      <w:r w:rsidR="00AC591C">
        <w:rPr>
          <w:b/>
          <w:color w:val="FF0000"/>
        </w:rPr>
        <w:object w:dxaOrig="1531" w:dyaOrig="990">
          <v:shape id="_x0000_i1034" type="#_x0000_t75" style="width:76.45pt;height:49.5pt" o:ole="">
            <v:imagedata r:id="rId29" o:title=""/>
          </v:shape>
          <o:OLEObject Type="Embed" ProgID="Word.Document.12" ShapeID="_x0000_i1034" DrawAspect="Icon" ObjectID="_1508142079" r:id="rId30">
            <o:FieldCodes>\s</o:FieldCodes>
          </o:OLEObject>
        </w:object>
      </w:r>
    </w:p>
    <w:p w:rsidR="000A5A9A" w:rsidRDefault="00AC591C" w:rsidP="000A5A9A">
      <w:pPr>
        <w:numPr>
          <w:ilvl w:val="0"/>
          <w:numId w:val="11"/>
        </w:numPr>
        <w:spacing w:after="200" w:line="276" w:lineRule="auto"/>
        <w:rPr>
          <w:b/>
          <w:color w:val="FF0000"/>
        </w:rPr>
      </w:pPr>
      <w:r>
        <w:rPr>
          <w:b/>
          <w:color w:val="FF0000"/>
        </w:rPr>
        <w:t>Non-res New Construction</w:t>
      </w:r>
    </w:p>
    <w:bookmarkStart w:id="9" w:name="_MON_1487010392"/>
    <w:bookmarkEnd w:id="9"/>
    <w:p w:rsidR="00AC591C" w:rsidRDefault="00753CBA" w:rsidP="00AC591C">
      <w:pPr>
        <w:spacing w:after="200" w:line="276" w:lineRule="auto"/>
        <w:ind w:left="720"/>
        <w:rPr>
          <w:b/>
          <w:color w:val="FF0000"/>
        </w:rPr>
      </w:pPr>
      <w:r>
        <w:rPr>
          <w:b/>
          <w:color w:val="FF0000"/>
        </w:rPr>
        <w:object w:dxaOrig="1531" w:dyaOrig="990">
          <v:shape id="_x0000_i1035" type="#_x0000_t75" style="width:76.45pt;height:49.5pt" o:ole="">
            <v:imagedata r:id="rId31" o:title=""/>
          </v:shape>
          <o:OLEObject Type="Embed" ProgID="Word.Document.12" ShapeID="_x0000_i1035" DrawAspect="Icon" ObjectID="_1508142080" r:id="rId32">
            <o:FieldCodes>\s</o:FieldCodes>
          </o:OLEObject>
        </w:object>
      </w:r>
    </w:p>
    <w:p w:rsidR="000A5A9A" w:rsidRDefault="00753CBA" w:rsidP="000A5A9A">
      <w:pPr>
        <w:numPr>
          <w:ilvl w:val="0"/>
          <w:numId w:val="11"/>
        </w:numPr>
        <w:spacing w:after="200" w:line="276" w:lineRule="auto"/>
        <w:rPr>
          <w:b/>
          <w:color w:val="FF0000"/>
        </w:rPr>
      </w:pPr>
      <w:r>
        <w:rPr>
          <w:b/>
          <w:color w:val="FF0000"/>
        </w:rPr>
        <w:t>Net-To-Gross Memo for Sprinklers and Pipe Insulation</w:t>
      </w:r>
    </w:p>
    <w:bookmarkStart w:id="10" w:name="_MON_1487423498"/>
    <w:bookmarkEnd w:id="10"/>
    <w:p w:rsidR="00753CBA" w:rsidRDefault="00F97012" w:rsidP="00753CBA">
      <w:pPr>
        <w:spacing w:after="200" w:line="276" w:lineRule="auto"/>
        <w:ind w:left="720"/>
        <w:rPr>
          <w:b/>
          <w:color w:val="FF0000"/>
        </w:rPr>
      </w:pPr>
      <w:r>
        <w:rPr>
          <w:b/>
          <w:color w:val="FF0000"/>
        </w:rPr>
        <w:object w:dxaOrig="1550" w:dyaOrig="991">
          <v:shape id="_x0000_i1036" type="#_x0000_t75" style="width:77.25pt;height:49.5pt" o:ole="">
            <v:imagedata r:id="rId33" o:title=""/>
          </v:shape>
          <o:OLEObject Type="Embed" ProgID="Word.Document.12" ShapeID="_x0000_i1036" DrawAspect="Icon" ObjectID="_1508142081" r:id="rId34">
            <o:FieldCodes>\s</o:FieldCodes>
          </o:OLEObject>
        </w:object>
      </w:r>
    </w:p>
    <w:p w:rsidR="000A5A9A" w:rsidRDefault="00753CBA" w:rsidP="000A5A9A">
      <w:pPr>
        <w:numPr>
          <w:ilvl w:val="0"/>
          <w:numId w:val="11"/>
        </w:numPr>
        <w:spacing w:after="200" w:line="276" w:lineRule="auto"/>
        <w:rPr>
          <w:b/>
          <w:color w:val="FF0000"/>
        </w:rPr>
      </w:pPr>
      <w:r>
        <w:rPr>
          <w:b/>
          <w:color w:val="FF0000"/>
        </w:rPr>
        <w:t xml:space="preserve">Non-res downstream lighting </w:t>
      </w:r>
    </w:p>
    <w:bookmarkStart w:id="11" w:name="_MON_1487422544"/>
    <w:bookmarkEnd w:id="11"/>
    <w:p w:rsidR="00852114" w:rsidRDefault="00852114" w:rsidP="00852114">
      <w:pPr>
        <w:spacing w:after="200" w:line="276" w:lineRule="auto"/>
        <w:ind w:left="720"/>
        <w:rPr>
          <w:b/>
          <w:color w:val="FF0000"/>
        </w:rPr>
      </w:pPr>
      <w:r>
        <w:rPr>
          <w:b/>
          <w:color w:val="FF0000"/>
        </w:rPr>
        <w:object w:dxaOrig="1550" w:dyaOrig="991">
          <v:shape id="_x0000_i1037" type="#_x0000_t75" style="width:77.25pt;height:49.5pt" o:ole="">
            <v:imagedata r:id="rId35" o:title=""/>
          </v:shape>
          <o:OLEObject Type="Embed" ProgID="Word.Document.12" ShapeID="_x0000_i1037" DrawAspect="Icon" ObjectID="_1508142082" r:id="rId36">
            <o:FieldCodes>\s</o:FieldCodes>
          </o:OLEObject>
        </w:object>
      </w:r>
    </w:p>
    <w:p w:rsidR="00852114" w:rsidRDefault="00852114" w:rsidP="000A5A9A">
      <w:pPr>
        <w:numPr>
          <w:ilvl w:val="0"/>
          <w:numId w:val="11"/>
        </w:numPr>
        <w:spacing w:after="200" w:line="276" w:lineRule="auto"/>
        <w:rPr>
          <w:b/>
          <w:color w:val="FF0000"/>
        </w:rPr>
      </w:pPr>
      <w:r>
        <w:rPr>
          <w:b/>
          <w:color w:val="FF0000"/>
        </w:rPr>
        <w:t>Custom lighting</w:t>
      </w:r>
    </w:p>
    <w:bookmarkStart w:id="12" w:name="_MON_1487423318"/>
    <w:bookmarkEnd w:id="12"/>
    <w:p w:rsidR="003608B2" w:rsidRDefault="00F97012" w:rsidP="00F97012">
      <w:pPr>
        <w:ind w:left="720"/>
      </w:pPr>
      <w:r>
        <w:object w:dxaOrig="1550" w:dyaOrig="991">
          <v:shape id="_x0000_i1038" type="#_x0000_t75" style="width:77.25pt;height:49.5pt" o:ole="">
            <v:imagedata r:id="rId37" o:title=""/>
          </v:shape>
          <o:OLEObject Type="Embed" ProgID="Word.Document.12" ShapeID="_x0000_i1038" DrawAspect="Icon" ObjectID="_1508142083" r:id="rId38">
            <o:FieldCodes>\s</o:FieldCodes>
          </o:OLEObject>
        </w:object>
      </w:r>
    </w:p>
    <w:p w:rsidR="005C4D6A" w:rsidRDefault="00C15234" w:rsidP="003E42C7">
      <w:pPr>
        <w:ind w:left="720"/>
        <w:jc w:val="center"/>
      </w:pPr>
      <w:r>
        <w:br w:type="page"/>
      </w:r>
      <w:r w:rsidR="003E42C7">
        <w:lastRenderedPageBreak/>
        <w:t>ATTACHMENT 2</w:t>
      </w:r>
    </w:p>
    <w:p w:rsidR="005C4D6A" w:rsidRPr="005C4D6A" w:rsidRDefault="005C4D6A" w:rsidP="005C4D6A"/>
    <w:p w:rsidR="005C4D6A" w:rsidRDefault="005C4D6A" w:rsidP="005C4D6A"/>
    <w:p w:rsidR="00C15234" w:rsidRDefault="005C4D6A" w:rsidP="005C4D6A">
      <w:r>
        <w:t>This spreadsheet includes a tab for each ESPI measure grouping and provides each ESPI measure along with the ex-ante values as well as the updated ex-post parameters.  Each tab has different column headings, so please review the spreadsheet carefully to make sure you are looking at the correct ex-post values for comparison.</w:t>
      </w:r>
    </w:p>
    <w:p w:rsidR="005C4D6A" w:rsidRDefault="005C4D6A" w:rsidP="005C4D6A"/>
    <w:bookmarkStart w:id="13" w:name="_MON_1487428195"/>
    <w:bookmarkEnd w:id="13"/>
    <w:p w:rsidR="005C4D6A" w:rsidRPr="005C4D6A" w:rsidRDefault="00E85FA8" w:rsidP="005C4D6A">
      <w:r>
        <w:object w:dxaOrig="1550" w:dyaOrig="991">
          <v:shape id="_x0000_i1039" type="#_x0000_t75" style="width:77.25pt;height:49.5pt" o:ole="">
            <v:imagedata r:id="rId39" o:title=""/>
          </v:shape>
          <o:OLEObject Type="Embed" ProgID="Excel.Sheet.12" ShapeID="_x0000_i1039" DrawAspect="Icon" ObjectID="_1508142084" r:id="rId40"/>
        </w:object>
      </w:r>
    </w:p>
    <w:sectPr w:rsidR="005C4D6A" w:rsidRPr="005C4D6A">
      <w:headerReference w:type="even" r:id="rId41"/>
      <w:headerReference w:type="default" r:id="rId42"/>
      <w:footerReference w:type="even" r:id="rId43"/>
      <w:footerReference w:type="default" r:id="rId44"/>
      <w:headerReference w:type="first" r:id="rId45"/>
      <w:footerReference w:type="first" r:id="rId46"/>
      <w:type w:val="continuous"/>
      <w:pgSz w:w="12240" w:h="15840" w:code="1"/>
      <w:pgMar w:top="720" w:right="1440" w:bottom="1152" w:left="1440" w:header="720" w:footer="1008" w:gutter="0"/>
      <w:cols w:space="720"/>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E28" w:rsidRDefault="007B0E28">
      <w:r>
        <w:separator/>
      </w:r>
    </w:p>
  </w:endnote>
  <w:endnote w:type="continuationSeparator" w:id="0">
    <w:p w:rsidR="007B0E28" w:rsidRDefault="007B0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79" w:rsidRDefault="006070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07079" w:rsidRDefault="006070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79" w:rsidRDefault="00607079">
    <w:pPr>
      <w:pStyle w:val="Footer"/>
      <w:framePr w:wrap="around" w:vAnchor="text" w:hAnchor="margin" w:xAlign="center" w:y="1"/>
      <w:rPr>
        <w:rStyle w:val="PageNumber"/>
      </w:rPr>
    </w:pPr>
    <w:r>
      <w:rPr>
        <w:rStyle w:val="PageNumber"/>
      </w:rPr>
      <w:tab/>
    </w:r>
  </w:p>
  <w:p w:rsidR="00607079" w:rsidRDefault="00607079">
    <w:pPr>
      <w:pStyle w:val="Footer"/>
      <w:framePr w:wrap="around" w:vAnchor="text" w:hAnchor="margin" w:xAlign="center" w:y="1"/>
      <w:rPr>
        <w:rStyle w:val="PageNumber"/>
      </w:rPr>
    </w:pPr>
  </w:p>
  <w:p w:rsidR="00607079" w:rsidRDefault="00607079">
    <w:pPr>
      <w:pStyle w:val="Footer"/>
      <w:jc w:val="cente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507" w:rsidRDefault="008015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E28" w:rsidRDefault="007B0E28">
      <w:r>
        <w:separator/>
      </w:r>
    </w:p>
  </w:footnote>
  <w:footnote w:type="continuationSeparator" w:id="0">
    <w:p w:rsidR="007B0E28" w:rsidRDefault="007B0E28">
      <w:r>
        <w:continuationSeparator/>
      </w:r>
    </w:p>
  </w:footnote>
  <w:footnote w:id="1">
    <w:p w:rsidR="00B41AFF" w:rsidRDefault="00B41AFF">
      <w:pPr>
        <w:pStyle w:val="FootnoteText"/>
      </w:pPr>
      <w:r>
        <w:rPr>
          <w:rStyle w:val="FootnoteReference"/>
        </w:rPr>
        <w:footnoteRef/>
      </w:r>
      <w:r>
        <w:t xml:space="preserve"> This does not necessarily mean that the actual updates (or records touched) represent 36% of the 2013 first year kWh savings.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507" w:rsidRDefault="008015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79" w:rsidRPr="000A5A9A" w:rsidRDefault="00607079" w:rsidP="000A5A9A">
    <w:pPr>
      <w:rPr>
        <w:rFonts w:ascii="Verdana" w:eastAsia="SimSun" w:hAnsi="Verdana" w:cs="Verdana"/>
        <w:noProof/>
        <w:sz w:val="18"/>
        <w:szCs w:val="18"/>
        <w:lang w:eastAsia="zh-CN"/>
      </w:rPr>
    </w:pPr>
    <w:r w:rsidRPr="000A5A9A">
      <w:rPr>
        <w:rFonts w:ascii="Verdana" w:eastAsia="SimSun" w:hAnsi="Verdana" w:cs="Verdana"/>
        <w:noProof/>
        <w:sz w:val="18"/>
        <w:szCs w:val="18"/>
        <w:lang w:eastAsia="zh-CN"/>
      </w:rPr>
      <w:t>2013 ESPI Memo</w:t>
    </w:r>
  </w:p>
  <w:p w:rsidR="00607079" w:rsidRPr="000A5A9A" w:rsidRDefault="00607079" w:rsidP="000A5A9A">
    <w:pPr>
      <w:rPr>
        <w:rFonts w:ascii="Verdana" w:eastAsia="SimSun" w:hAnsi="Verdana" w:cs="Verdana"/>
        <w:noProof/>
        <w:sz w:val="18"/>
        <w:szCs w:val="18"/>
        <w:lang w:eastAsia="zh-CN"/>
      </w:rPr>
    </w:pPr>
    <w:r w:rsidRPr="000A5A9A">
      <w:rPr>
        <w:rFonts w:ascii="Verdana" w:eastAsia="SimSun" w:hAnsi="Verdana" w:cs="Verdana"/>
        <w:noProof/>
        <w:sz w:val="18"/>
        <w:szCs w:val="18"/>
        <w:lang w:eastAsia="zh-CN"/>
      </w:rPr>
      <w:t xml:space="preserve">March </w:t>
    </w:r>
    <w:r w:rsidR="00F8161D">
      <w:rPr>
        <w:rFonts w:ascii="Verdana" w:eastAsia="SimSun" w:hAnsi="Verdana" w:cs="Verdana"/>
        <w:noProof/>
        <w:sz w:val="18"/>
        <w:szCs w:val="18"/>
        <w:lang w:eastAsia="zh-CN"/>
      </w:rPr>
      <w:t>9</w:t>
    </w:r>
    <w:r w:rsidRPr="000A5A9A">
      <w:rPr>
        <w:rFonts w:ascii="Verdana" w:eastAsia="SimSun" w:hAnsi="Verdana" w:cs="Verdana"/>
        <w:noProof/>
        <w:sz w:val="18"/>
        <w:szCs w:val="18"/>
        <w:lang w:eastAsia="zh-CN"/>
      </w:rPr>
      <w:t>, 2015</w:t>
    </w:r>
  </w:p>
  <w:p w:rsidR="00607079" w:rsidRPr="000A5A9A" w:rsidRDefault="00607079" w:rsidP="000A5A9A">
    <w:pPr>
      <w:rPr>
        <w:rFonts w:ascii="Verdana" w:eastAsia="SimSun" w:hAnsi="Verdana" w:cs="Verdana"/>
        <w:noProof/>
        <w:sz w:val="18"/>
        <w:szCs w:val="18"/>
        <w:lang w:eastAsia="zh-CN"/>
      </w:rPr>
    </w:pPr>
    <w:r w:rsidRPr="000A5A9A">
      <w:rPr>
        <w:rFonts w:ascii="Verdana" w:eastAsia="SimSun" w:hAnsi="Verdana" w:cs="Verdana"/>
        <w:noProof/>
        <w:sz w:val="18"/>
        <w:szCs w:val="18"/>
        <w:lang w:eastAsia="zh-CN"/>
      </w:rPr>
      <w:t xml:space="preserve">Page </w:t>
    </w:r>
    <w:r w:rsidRPr="000A5A9A">
      <w:rPr>
        <w:rFonts w:ascii="Verdana" w:eastAsia="SimSun" w:hAnsi="Verdana" w:cs="Verdana"/>
        <w:b/>
        <w:noProof/>
        <w:sz w:val="18"/>
        <w:szCs w:val="18"/>
        <w:lang w:eastAsia="zh-CN"/>
      </w:rPr>
      <w:fldChar w:fldCharType="begin"/>
    </w:r>
    <w:r w:rsidRPr="000A5A9A">
      <w:rPr>
        <w:rFonts w:ascii="Verdana" w:eastAsia="SimSun" w:hAnsi="Verdana" w:cs="Verdana"/>
        <w:b/>
        <w:noProof/>
        <w:sz w:val="18"/>
        <w:szCs w:val="18"/>
        <w:lang w:eastAsia="zh-CN"/>
      </w:rPr>
      <w:instrText xml:space="preserve"> PAGE  \* Arabic  \* MERGEFORMAT </w:instrText>
    </w:r>
    <w:r w:rsidRPr="000A5A9A">
      <w:rPr>
        <w:rFonts w:ascii="Verdana" w:eastAsia="SimSun" w:hAnsi="Verdana" w:cs="Verdana"/>
        <w:b/>
        <w:noProof/>
        <w:sz w:val="18"/>
        <w:szCs w:val="18"/>
        <w:lang w:eastAsia="zh-CN"/>
      </w:rPr>
      <w:fldChar w:fldCharType="separate"/>
    </w:r>
    <w:r w:rsidR="00ED4168">
      <w:rPr>
        <w:rFonts w:ascii="Verdana" w:eastAsia="SimSun" w:hAnsi="Verdana" w:cs="Verdana"/>
        <w:b/>
        <w:noProof/>
        <w:sz w:val="18"/>
        <w:szCs w:val="18"/>
        <w:lang w:eastAsia="zh-CN"/>
      </w:rPr>
      <w:t>2</w:t>
    </w:r>
    <w:r w:rsidRPr="000A5A9A">
      <w:rPr>
        <w:rFonts w:ascii="Verdana" w:eastAsia="SimSun" w:hAnsi="Verdana" w:cs="Verdana"/>
        <w:b/>
        <w:noProof/>
        <w:sz w:val="18"/>
        <w:szCs w:val="18"/>
        <w:lang w:eastAsia="zh-CN"/>
      </w:rPr>
      <w:fldChar w:fldCharType="end"/>
    </w:r>
    <w:r w:rsidRPr="000A5A9A">
      <w:rPr>
        <w:rFonts w:ascii="Verdana" w:eastAsia="SimSun" w:hAnsi="Verdana" w:cs="Verdana"/>
        <w:noProof/>
        <w:sz w:val="18"/>
        <w:szCs w:val="18"/>
        <w:lang w:eastAsia="zh-CN"/>
      </w:rPr>
      <w:t xml:space="preserve"> of </w:t>
    </w:r>
    <w:r w:rsidRPr="000A5A9A">
      <w:rPr>
        <w:rFonts w:ascii="Verdana" w:eastAsia="SimSun" w:hAnsi="Verdana" w:cs="Verdana"/>
        <w:b/>
        <w:noProof/>
        <w:sz w:val="18"/>
        <w:szCs w:val="18"/>
        <w:lang w:eastAsia="zh-CN"/>
      </w:rPr>
      <w:fldChar w:fldCharType="begin"/>
    </w:r>
    <w:r w:rsidRPr="000A5A9A">
      <w:rPr>
        <w:rFonts w:ascii="Verdana" w:eastAsia="SimSun" w:hAnsi="Verdana" w:cs="Verdana"/>
        <w:b/>
        <w:noProof/>
        <w:sz w:val="18"/>
        <w:szCs w:val="18"/>
        <w:lang w:eastAsia="zh-CN"/>
      </w:rPr>
      <w:instrText xml:space="preserve"> NUMPAGES  \* Arabic  \* MERGEFORMAT </w:instrText>
    </w:r>
    <w:r w:rsidRPr="000A5A9A">
      <w:rPr>
        <w:rFonts w:ascii="Verdana" w:eastAsia="SimSun" w:hAnsi="Verdana" w:cs="Verdana"/>
        <w:b/>
        <w:noProof/>
        <w:sz w:val="18"/>
        <w:szCs w:val="18"/>
        <w:lang w:eastAsia="zh-CN"/>
      </w:rPr>
      <w:fldChar w:fldCharType="separate"/>
    </w:r>
    <w:r w:rsidR="00ED4168">
      <w:rPr>
        <w:rFonts w:ascii="Verdana" w:eastAsia="SimSun" w:hAnsi="Verdana" w:cs="Verdana"/>
        <w:b/>
        <w:noProof/>
        <w:sz w:val="18"/>
        <w:szCs w:val="18"/>
        <w:lang w:eastAsia="zh-CN"/>
      </w:rPr>
      <w:t>9</w:t>
    </w:r>
    <w:r w:rsidRPr="000A5A9A">
      <w:rPr>
        <w:rFonts w:ascii="Verdana" w:eastAsia="SimSun" w:hAnsi="Verdana" w:cs="Verdana"/>
        <w:b/>
        <w:noProof/>
        <w:sz w:val="18"/>
        <w:szCs w:val="18"/>
        <w:lang w:eastAsia="zh-CN"/>
      </w:rPr>
      <w:fldChar w:fldCharType="end"/>
    </w:r>
  </w:p>
  <w:p w:rsidR="00607079" w:rsidRDefault="006070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79" w:rsidRDefault="00607079" w:rsidP="00C25FC9">
    <w:pPr>
      <w:pBdr>
        <w:bottom w:val="double" w:sz="6" w:space="1" w:color="auto"/>
      </w:pBdr>
      <w:tabs>
        <w:tab w:val="right" w:pos="11070"/>
      </w:tabs>
      <w:rPr>
        <w:rFonts w:ascii="Arial" w:hAnsi="Arial"/>
        <w:i/>
      </w:rPr>
    </w:pPr>
    <w:r>
      <w:rPr>
        <w:rFonts w:ascii="Arial" w:hAnsi="Arial"/>
        <w:sz w:val="16"/>
      </w:rPr>
      <w:t>STATE OF CALIFORNIA                                                                                                           EDMUND G. BROWN JR.,</w:t>
    </w:r>
    <w:r>
      <w:rPr>
        <w:rFonts w:ascii="Arial" w:hAnsi="Arial"/>
      </w:rPr>
      <w:t xml:space="preserve"> </w:t>
    </w:r>
    <w:r>
      <w:rPr>
        <w:rFonts w:ascii="Arial" w:hAnsi="Arial"/>
        <w:i/>
        <w:sz w:val="16"/>
      </w:rPr>
      <w:t>Governor</w:t>
    </w:r>
  </w:p>
  <w:p w:rsidR="00607079" w:rsidRDefault="00ED4168" w:rsidP="00C25FC9">
    <w:pPr>
      <w:framePr w:hSpace="180" w:wrap="around" w:vAnchor="text" w:hAnchor="page" w:x="9637" w:y="173"/>
    </w:pPr>
    <w:r>
      <w:rPr>
        <w:noProof/>
      </w:rPr>
      <w:drawing>
        <wp:inline distT="0" distB="0" distL="0" distR="0">
          <wp:extent cx="6667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p>
  <w:p w:rsidR="00607079" w:rsidRDefault="00607079" w:rsidP="00C25FC9">
    <w:pPr>
      <w:tabs>
        <w:tab w:val="right" w:pos="11070"/>
      </w:tabs>
      <w:spacing w:before="80"/>
      <w:rPr>
        <w:rFonts w:ascii="Arial" w:hAnsi="Arial"/>
      </w:rPr>
    </w:pPr>
    <w:r>
      <w:rPr>
        <w:rFonts w:ascii="Arial" w:hAnsi="Arial"/>
      </w:rPr>
      <w:t>PUBLIC UTILITIES COMMISSION</w:t>
    </w:r>
  </w:p>
  <w:p w:rsidR="00607079" w:rsidRDefault="00607079" w:rsidP="00C25FC9">
    <w:pPr>
      <w:tabs>
        <w:tab w:val="right" w:pos="11070"/>
      </w:tabs>
      <w:spacing w:before="80"/>
      <w:rPr>
        <w:rFonts w:ascii="Arial" w:hAnsi="Arial"/>
        <w:sz w:val="12"/>
      </w:rPr>
    </w:pPr>
    <w:r>
      <w:rPr>
        <w:rFonts w:ascii="Arial" w:hAnsi="Arial"/>
        <w:sz w:val="12"/>
      </w:rPr>
      <w:t>505 VAN NESS AVENUE</w:t>
    </w:r>
  </w:p>
  <w:p w:rsidR="00607079" w:rsidRDefault="00607079" w:rsidP="00C25FC9">
    <w:pPr>
      <w:tabs>
        <w:tab w:val="right" w:pos="11070"/>
      </w:tabs>
      <w:spacing w:before="80"/>
      <w:rPr>
        <w:rFonts w:ascii="Arial" w:hAnsi="Arial"/>
        <w:sz w:val="12"/>
      </w:rPr>
    </w:pPr>
    <w:r>
      <w:rPr>
        <w:rFonts w:ascii="Arial" w:hAnsi="Arial"/>
        <w:sz w:val="12"/>
      </w:rPr>
      <w:t>SAN FRANCISCO, CA  94102-3298</w:t>
    </w:r>
  </w:p>
  <w:p w:rsidR="00607079" w:rsidRDefault="00607079" w:rsidP="00C25FC9">
    <w:pPr>
      <w:rPr>
        <w:sz w:val="26"/>
      </w:rPr>
    </w:pPr>
  </w:p>
  <w:p w:rsidR="00607079" w:rsidRDefault="006070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2E3F"/>
    <w:multiLevelType w:val="hybridMultilevel"/>
    <w:tmpl w:val="945E6D0A"/>
    <w:lvl w:ilvl="0" w:tplc="9B0A3DA0">
      <w:start w:val="1"/>
      <w:numFmt w:val="decimal"/>
      <w:lvlText w:val="%1."/>
      <w:lvlJc w:val="left"/>
      <w:pPr>
        <w:tabs>
          <w:tab w:val="num" w:pos="1770"/>
        </w:tabs>
        <w:ind w:left="1770" w:hanging="99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
    <w:nsid w:val="2D1C4B45"/>
    <w:multiLevelType w:val="hybridMultilevel"/>
    <w:tmpl w:val="CA581060"/>
    <w:lvl w:ilvl="0" w:tplc="2D2C6290">
      <w:start w:val="1"/>
      <w:numFmt w:val="decimal"/>
      <w:lvlText w:val="(%1)"/>
      <w:lvlJc w:val="left"/>
      <w:pPr>
        <w:tabs>
          <w:tab w:val="num" w:pos="1815"/>
        </w:tabs>
        <w:ind w:left="1815" w:hanging="37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56775629"/>
    <w:multiLevelType w:val="hybridMultilevel"/>
    <w:tmpl w:val="D4CA05E4"/>
    <w:lvl w:ilvl="0" w:tplc="ACFCDCF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nsid w:val="58225FEC"/>
    <w:multiLevelType w:val="hybridMultilevel"/>
    <w:tmpl w:val="81C606E6"/>
    <w:lvl w:ilvl="0" w:tplc="8CB0C79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5B395B06"/>
    <w:multiLevelType w:val="hybridMultilevel"/>
    <w:tmpl w:val="AE7658E2"/>
    <w:lvl w:ilvl="0" w:tplc="B9CC5E4A">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65C91F52"/>
    <w:multiLevelType w:val="hybridMultilevel"/>
    <w:tmpl w:val="6CEC03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791851"/>
    <w:multiLevelType w:val="hybridMultilevel"/>
    <w:tmpl w:val="8CE800B0"/>
    <w:lvl w:ilvl="0" w:tplc="BD8AE8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8077B25"/>
    <w:multiLevelType w:val="hybridMultilevel"/>
    <w:tmpl w:val="FB8236FE"/>
    <w:lvl w:ilvl="0" w:tplc="36F81DFC">
      <w:start w:val="1"/>
      <w:numFmt w:val="upperLetter"/>
      <w:pStyle w:val="Heading3"/>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97F496E"/>
    <w:multiLevelType w:val="hybridMultilevel"/>
    <w:tmpl w:val="736EC62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7E60797A"/>
    <w:multiLevelType w:val="hybridMultilevel"/>
    <w:tmpl w:val="A3D82722"/>
    <w:lvl w:ilvl="0" w:tplc="DCB6F6FC">
      <w:start w:val="1"/>
      <w:numFmt w:val="decimal"/>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num w:numId="1">
    <w:abstractNumId w:val="1"/>
  </w:num>
  <w:num w:numId="2">
    <w:abstractNumId w:val="7"/>
  </w:num>
  <w:num w:numId="3">
    <w:abstractNumId w:val="7"/>
    <w:lvlOverride w:ilvl="0">
      <w:startOverride w:val="4"/>
    </w:lvlOverride>
  </w:num>
  <w:num w:numId="4">
    <w:abstractNumId w:val="4"/>
  </w:num>
  <w:num w:numId="5">
    <w:abstractNumId w:val="0"/>
  </w:num>
  <w:num w:numId="6">
    <w:abstractNumId w:val="6"/>
  </w:num>
  <w:num w:numId="7">
    <w:abstractNumId w:val="8"/>
  </w:num>
  <w:num w:numId="8">
    <w:abstractNumId w:val="3"/>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9A"/>
    <w:rsid w:val="00036C68"/>
    <w:rsid w:val="000A525D"/>
    <w:rsid w:val="000A5A9A"/>
    <w:rsid w:val="00183B3A"/>
    <w:rsid w:val="00302923"/>
    <w:rsid w:val="003608B2"/>
    <w:rsid w:val="003B6E87"/>
    <w:rsid w:val="003D147B"/>
    <w:rsid w:val="003E164D"/>
    <w:rsid w:val="003E42C7"/>
    <w:rsid w:val="004A3158"/>
    <w:rsid w:val="005A4AF4"/>
    <w:rsid w:val="005C4D6A"/>
    <w:rsid w:val="0060124C"/>
    <w:rsid w:val="00607079"/>
    <w:rsid w:val="006650A8"/>
    <w:rsid w:val="006A5388"/>
    <w:rsid w:val="006F4262"/>
    <w:rsid w:val="00712856"/>
    <w:rsid w:val="00753CBA"/>
    <w:rsid w:val="007B0E28"/>
    <w:rsid w:val="007B4FEE"/>
    <w:rsid w:val="007D0B24"/>
    <w:rsid w:val="00801507"/>
    <w:rsid w:val="008372EE"/>
    <w:rsid w:val="00852114"/>
    <w:rsid w:val="00880B73"/>
    <w:rsid w:val="008E297F"/>
    <w:rsid w:val="00902C49"/>
    <w:rsid w:val="00A57E0E"/>
    <w:rsid w:val="00AA6D04"/>
    <w:rsid w:val="00AC591C"/>
    <w:rsid w:val="00B22DA1"/>
    <w:rsid w:val="00B41AFF"/>
    <w:rsid w:val="00C15234"/>
    <w:rsid w:val="00C25FC9"/>
    <w:rsid w:val="00CA698A"/>
    <w:rsid w:val="00D76000"/>
    <w:rsid w:val="00D9581A"/>
    <w:rsid w:val="00DB7A3E"/>
    <w:rsid w:val="00DD54E2"/>
    <w:rsid w:val="00E03BAA"/>
    <w:rsid w:val="00E85FA8"/>
    <w:rsid w:val="00EC1CE2"/>
    <w:rsid w:val="00ED4168"/>
    <w:rsid w:val="00EE5431"/>
    <w:rsid w:val="00F252FA"/>
    <w:rsid w:val="00F8161D"/>
    <w:rsid w:val="00F9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6"/>
      <w:u w:val="single"/>
    </w:rPr>
  </w:style>
  <w:style w:type="paragraph" w:styleId="Heading2">
    <w:name w:val="heading 2"/>
    <w:basedOn w:val="Normal"/>
    <w:next w:val="Normal"/>
    <w:qFormat/>
    <w:pPr>
      <w:keepNext/>
      <w:outlineLvl w:val="1"/>
    </w:pPr>
    <w:rPr>
      <w:b/>
      <w:bCs/>
      <w:sz w:val="26"/>
    </w:rPr>
  </w:style>
  <w:style w:type="paragraph" w:styleId="Heading3">
    <w:name w:val="heading 3"/>
    <w:basedOn w:val="Normal"/>
    <w:next w:val="Normal"/>
    <w:qFormat/>
    <w:pPr>
      <w:keepNext/>
      <w:numPr>
        <w:numId w:val="2"/>
      </w:numPr>
      <w:outlineLvl w:val="2"/>
    </w:pPr>
    <w:rPr>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pPr>
      <w:spacing w:after="480"/>
    </w:pPr>
    <w:rPr>
      <w:sz w:val="26"/>
      <w:szCs w:val="20"/>
    </w:r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2">
    <w:name w:val="Body Text 2"/>
    <w:basedOn w:val="Normal"/>
    <w:pPr>
      <w:tabs>
        <w:tab w:val="left" w:pos="10098"/>
      </w:tabs>
      <w:ind w:right="-74"/>
    </w:pPr>
    <w:rPr>
      <w:sz w:val="26"/>
    </w:rPr>
  </w:style>
  <w:style w:type="paragraph" w:styleId="BalloonText">
    <w:name w:val="Balloon Text"/>
    <w:basedOn w:val="Normal"/>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rPr>
      <w:color w:val="0000FF"/>
      <w:u w:val="single"/>
    </w:rPr>
  </w:style>
  <w:style w:type="table" w:styleId="TableGrid">
    <w:name w:val="Table Grid"/>
    <w:basedOn w:val="TableNormal"/>
    <w:rsid w:val="0060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0292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6"/>
      <w:u w:val="single"/>
    </w:rPr>
  </w:style>
  <w:style w:type="paragraph" w:styleId="Heading2">
    <w:name w:val="heading 2"/>
    <w:basedOn w:val="Normal"/>
    <w:next w:val="Normal"/>
    <w:qFormat/>
    <w:pPr>
      <w:keepNext/>
      <w:outlineLvl w:val="1"/>
    </w:pPr>
    <w:rPr>
      <w:b/>
      <w:bCs/>
      <w:sz w:val="26"/>
    </w:rPr>
  </w:style>
  <w:style w:type="paragraph" w:styleId="Heading3">
    <w:name w:val="heading 3"/>
    <w:basedOn w:val="Normal"/>
    <w:next w:val="Normal"/>
    <w:qFormat/>
    <w:pPr>
      <w:keepNext/>
      <w:numPr>
        <w:numId w:val="2"/>
      </w:numPr>
      <w:outlineLvl w:val="2"/>
    </w:pPr>
    <w:rPr>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pPr>
      <w:spacing w:after="480"/>
    </w:pPr>
    <w:rPr>
      <w:sz w:val="26"/>
      <w:szCs w:val="20"/>
    </w:r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2">
    <w:name w:val="Body Text 2"/>
    <w:basedOn w:val="Normal"/>
    <w:pPr>
      <w:tabs>
        <w:tab w:val="left" w:pos="10098"/>
      </w:tabs>
      <w:ind w:right="-74"/>
    </w:pPr>
    <w:rPr>
      <w:sz w:val="26"/>
    </w:rPr>
  </w:style>
  <w:style w:type="paragraph" w:styleId="BalloonText">
    <w:name w:val="Balloon Text"/>
    <w:basedOn w:val="Normal"/>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rPr>
      <w:color w:val="0000FF"/>
      <w:u w:val="single"/>
    </w:rPr>
  </w:style>
  <w:style w:type="table" w:styleId="TableGrid">
    <w:name w:val="Table Grid"/>
    <w:basedOn w:val="TableNormal"/>
    <w:rsid w:val="0060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029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09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oleObject" Target="embeddings/oleObject2.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package" Target="embeddings/Microsoft_Word_Document9.docx"/><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1.docx"/><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oleObject" Target="embeddings/oleObject1.bin"/><Relationship Id="rId32" Type="http://schemas.openxmlformats.org/officeDocument/2006/relationships/package" Target="embeddings/Microsoft_Word_Document8.docx"/><Relationship Id="rId37" Type="http://schemas.openxmlformats.org/officeDocument/2006/relationships/image" Target="media/image14.emf"/><Relationship Id="rId40" Type="http://schemas.openxmlformats.org/officeDocument/2006/relationships/package" Target="embeddings/Microsoft_Excel_Worksheet12.xlsx"/><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package" Target="embeddings/Microsoft_Word_Document10.docx"/><Relationship Id="rId10" Type="http://schemas.openxmlformats.org/officeDocument/2006/relationships/hyperlink" Target="mailto:Jeorge.tagnipes@cpuc.ca.gov"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energydataweb.com/cpuc/search.asp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7.docx"/><Relationship Id="rId35" Type="http://schemas.openxmlformats.org/officeDocument/2006/relationships/image" Target="media/image13.emf"/><Relationship Id="rId43" Type="http://schemas.openxmlformats.org/officeDocument/2006/relationships/footer" Target="foot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884D8-49DC-4B73-8FE1-03D1E9675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1482</Words>
  <Characters>8450</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2015-11-04T19:35:00Z</dcterms:created>
  <dcterms:modified xsi:type="dcterms:W3CDTF">2015-11-04T19:35:00Z</dcterms:modified>
</cp:coreProperties>
</file>