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C033A" w14:textId="1B2C05BC" w:rsidR="00EE6508" w:rsidRDefault="00EE6508" w:rsidP="00EE6508">
      <w:pPr>
        <w:jc w:val="center"/>
        <w:rPr>
          <w:b/>
        </w:rPr>
      </w:pPr>
      <w:r w:rsidRPr="00EE6508">
        <w:rPr>
          <w:b/>
        </w:rPr>
        <w:t>Existing or Pending IOU Integration Efforts (by IOU)</w:t>
      </w:r>
    </w:p>
    <w:p w14:paraId="02E4B246" w14:textId="1A97EB05" w:rsidR="00EE6508" w:rsidRPr="00EE6508" w:rsidRDefault="00EE6508" w:rsidP="00EE6508">
      <w:pPr>
        <w:jc w:val="center"/>
      </w:pPr>
      <w:r>
        <w:t>June 2017</w:t>
      </w:r>
    </w:p>
    <w:p w14:paraId="11677267" w14:textId="4B17EE55" w:rsidR="00C66035" w:rsidRPr="00EE6508" w:rsidRDefault="00C66035">
      <w:pPr>
        <w:rPr>
          <w:b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448"/>
        <w:gridCol w:w="2790"/>
        <w:gridCol w:w="1710"/>
        <w:gridCol w:w="1800"/>
        <w:gridCol w:w="1530"/>
        <w:gridCol w:w="3600"/>
      </w:tblGrid>
      <w:tr w:rsidR="00EE6508" w:rsidRPr="00E41478" w14:paraId="57C15667" w14:textId="77777777" w:rsidTr="006A2466">
        <w:trPr>
          <w:trHeight w:val="440"/>
        </w:trPr>
        <w:tc>
          <w:tcPr>
            <w:tcW w:w="13878" w:type="dxa"/>
            <w:gridSpan w:val="6"/>
            <w:shd w:val="clear" w:color="auto" w:fill="EEECE1" w:themeFill="background2"/>
          </w:tcPr>
          <w:p w14:paraId="438B72D6" w14:textId="0CAA392E" w:rsidR="00EE6508" w:rsidRPr="006A2466" w:rsidRDefault="00EE6508" w:rsidP="006A2466">
            <w:pPr>
              <w:jc w:val="center"/>
              <w:rPr>
                <w:b/>
                <w:sz w:val="32"/>
                <w:szCs w:val="32"/>
              </w:rPr>
            </w:pPr>
            <w:r w:rsidRPr="00EE6508">
              <w:rPr>
                <w:b/>
                <w:sz w:val="32"/>
                <w:szCs w:val="32"/>
              </w:rPr>
              <w:t>Southern California Edison</w:t>
            </w:r>
          </w:p>
        </w:tc>
      </w:tr>
      <w:tr w:rsidR="00FA7208" w:rsidRPr="00E41478" w14:paraId="517A3150" w14:textId="77777777" w:rsidTr="00E41478">
        <w:tc>
          <w:tcPr>
            <w:tcW w:w="2448" w:type="dxa"/>
            <w:shd w:val="clear" w:color="auto" w:fill="EEECE1" w:themeFill="background2"/>
          </w:tcPr>
          <w:p w14:paraId="489C97E8" w14:textId="77777777" w:rsidR="00C66035" w:rsidRPr="00E41478" w:rsidRDefault="00772E8B">
            <w:pPr>
              <w:rPr>
                <w:b/>
              </w:rPr>
            </w:pPr>
            <w:r w:rsidRPr="00E41478">
              <w:rPr>
                <w:b/>
              </w:rPr>
              <w:t>Integration E</w:t>
            </w:r>
            <w:r w:rsidR="00C66035" w:rsidRPr="00E41478">
              <w:rPr>
                <w:b/>
              </w:rPr>
              <w:t>ffort</w:t>
            </w:r>
          </w:p>
        </w:tc>
        <w:tc>
          <w:tcPr>
            <w:tcW w:w="2790" w:type="dxa"/>
            <w:shd w:val="clear" w:color="auto" w:fill="EEECE1" w:themeFill="background2"/>
          </w:tcPr>
          <w:p w14:paraId="3A7C8BDA" w14:textId="77777777" w:rsidR="00C66035" w:rsidRPr="00E41478" w:rsidRDefault="00C66035">
            <w:pPr>
              <w:rPr>
                <w:b/>
              </w:rPr>
            </w:pPr>
            <w:r w:rsidRPr="00E41478">
              <w:rPr>
                <w:b/>
              </w:rPr>
              <w:t>EE Program</w:t>
            </w:r>
          </w:p>
        </w:tc>
        <w:tc>
          <w:tcPr>
            <w:tcW w:w="1710" w:type="dxa"/>
            <w:shd w:val="clear" w:color="auto" w:fill="EEECE1" w:themeFill="background2"/>
          </w:tcPr>
          <w:p w14:paraId="570E0B9A" w14:textId="77777777" w:rsidR="00C66035" w:rsidRPr="00E41478" w:rsidRDefault="00C66035">
            <w:pPr>
              <w:rPr>
                <w:b/>
              </w:rPr>
            </w:pPr>
            <w:r w:rsidRPr="00E41478">
              <w:rPr>
                <w:b/>
              </w:rPr>
              <w:t>EE End Use</w:t>
            </w:r>
          </w:p>
        </w:tc>
        <w:tc>
          <w:tcPr>
            <w:tcW w:w="1800" w:type="dxa"/>
            <w:shd w:val="clear" w:color="auto" w:fill="EEECE1" w:themeFill="background2"/>
          </w:tcPr>
          <w:p w14:paraId="50DFF1E1" w14:textId="77777777" w:rsidR="00C66035" w:rsidRPr="00E41478" w:rsidRDefault="00FA7208">
            <w:pPr>
              <w:rPr>
                <w:b/>
              </w:rPr>
            </w:pPr>
            <w:r w:rsidRPr="00E41478">
              <w:rPr>
                <w:b/>
              </w:rPr>
              <w:t xml:space="preserve">EE/DR </w:t>
            </w:r>
            <w:r w:rsidR="00C66035" w:rsidRPr="00E41478">
              <w:rPr>
                <w:b/>
              </w:rPr>
              <w:t>Control</w:t>
            </w:r>
          </w:p>
        </w:tc>
        <w:tc>
          <w:tcPr>
            <w:tcW w:w="1530" w:type="dxa"/>
            <w:shd w:val="clear" w:color="auto" w:fill="EEECE1" w:themeFill="background2"/>
          </w:tcPr>
          <w:p w14:paraId="3A4F23E6" w14:textId="77777777" w:rsidR="00C66035" w:rsidRPr="00E41478" w:rsidRDefault="00C66035">
            <w:pPr>
              <w:rPr>
                <w:b/>
              </w:rPr>
            </w:pPr>
            <w:r w:rsidRPr="00E41478">
              <w:rPr>
                <w:b/>
              </w:rPr>
              <w:t>Timing</w:t>
            </w:r>
          </w:p>
        </w:tc>
        <w:tc>
          <w:tcPr>
            <w:tcW w:w="3600" w:type="dxa"/>
            <w:shd w:val="clear" w:color="auto" w:fill="EEECE1" w:themeFill="background2"/>
          </w:tcPr>
          <w:p w14:paraId="0920FC42" w14:textId="77777777" w:rsidR="00C66035" w:rsidRPr="00E41478" w:rsidRDefault="00C66035">
            <w:pPr>
              <w:rPr>
                <w:b/>
              </w:rPr>
            </w:pPr>
            <w:r w:rsidRPr="00E41478">
              <w:rPr>
                <w:b/>
              </w:rPr>
              <w:t>DR Program(s) Connection</w:t>
            </w:r>
          </w:p>
        </w:tc>
      </w:tr>
      <w:tr w:rsidR="00C00575" w:rsidRPr="00E41478" w14:paraId="2F5252D0" w14:textId="77777777" w:rsidTr="00E41478">
        <w:trPr>
          <w:trHeight w:val="1790"/>
        </w:trPr>
        <w:tc>
          <w:tcPr>
            <w:tcW w:w="2448" w:type="dxa"/>
          </w:tcPr>
          <w:p w14:paraId="57C2B2E3" w14:textId="77777777" w:rsidR="002E3DAB" w:rsidRPr="00E41478" w:rsidRDefault="002E3DAB" w:rsidP="002E3DAB">
            <w:r w:rsidRPr="00E41478">
              <w:t xml:space="preserve">Joint incentive in the form of a bill credit ($50 EE + </w:t>
            </w:r>
            <w:r w:rsidR="00FA7208" w:rsidRPr="00E41478">
              <w:t xml:space="preserve">$75 DR) </w:t>
            </w:r>
            <w:r w:rsidRPr="00E41478">
              <w:t>for residential customers</w:t>
            </w:r>
          </w:p>
          <w:p w14:paraId="63558CB9" w14:textId="77777777" w:rsidR="002E3DAB" w:rsidRPr="00E41478" w:rsidRDefault="002E3DAB" w:rsidP="002E3DAB"/>
          <w:p w14:paraId="64048260" w14:textId="77777777" w:rsidR="00C66035" w:rsidRPr="00E41478" w:rsidRDefault="002E3DAB" w:rsidP="002E3DAB">
            <w:r w:rsidRPr="00E41478">
              <w:t xml:space="preserve">($50 </w:t>
            </w:r>
            <w:proofErr w:type="spellStart"/>
            <w:r w:rsidRPr="00E41478">
              <w:t>SoCalGas</w:t>
            </w:r>
            <w:proofErr w:type="spellEnd"/>
            <w:r w:rsidRPr="00E41478">
              <w:t xml:space="preserve">) </w:t>
            </w:r>
            <w:r w:rsidR="00FA7208" w:rsidRPr="00E41478">
              <w:t>*</w:t>
            </w:r>
          </w:p>
        </w:tc>
        <w:tc>
          <w:tcPr>
            <w:tcW w:w="2790" w:type="dxa"/>
          </w:tcPr>
          <w:p w14:paraId="1C0A8FAB" w14:textId="77777777" w:rsidR="00FA7208" w:rsidRPr="00E41478" w:rsidRDefault="00FA7208" w:rsidP="00FA7208">
            <w:pPr>
              <w:pStyle w:val="ListParagraph"/>
              <w:numPr>
                <w:ilvl w:val="0"/>
                <w:numId w:val="1"/>
              </w:numPr>
            </w:pPr>
            <w:r w:rsidRPr="00E41478">
              <w:t>Residential plug load and appliance program</w:t>
            </w:r>
          </w:p>
          <w:p w14:paraId="5C365116" w14:textId="77777777" w:rsidR="00C66035" w:rsidRPr="00E41478" w:rsidRDefault="00FA7208" w:rsidP="00FA7208">
            <w:pPr>
              <w:pStyle w:val="ListParagraph"/>
              <w:numPr>
                <w:ilvl w:val="0"/>
                <w:numId w:val="1"/>
              </w:numPr>
            </w:pPr>
            <w:r w:rsidRPr="00E41478">
              <w:t xml:space="preserve">possible midstream incentive </w:t>
            </w:r>
            <w:r w:rsidR="002E3DAB" w:rsidRPr="00E41478">
              <w:t xml:space="preserve">via </w:t>
            </w:r>
            <w:r w:rsidRPr="00E41478">
              <w:t>contractors</w:t>
            </w:r>
          </w:p>
          <w:p w14:paraId="2AD19B26" w14:textId="77777777" w:rsidR="00FA7208" w:rsidRPr="00E41478" w:rsidRDefault="002E3DAB" w:rsidP="00FA7208">
            <w:pPr>
              <w:pStyle w:val="ListParagraph"/>
              <w:numPr>
                <w:ilvl w:val="0"/>
                <w:numId w:val="1"/>
              </w:numPr>
            </w:pPr>
            <w:r w:rsidRPr="00E41478">
              <w:t xml:space="preserve">Possible </w:t>
            </w:r>
            <w:r w:rsidR="00FA7208" w:rsidRPr="00E41478">
              <w:t xml:space="preserve">measure in whole house </w:t>
            </w:r>
            <w:r w:rsidRPr="00E41478">
              <w:t xml:space="preserve">retro </w:t>
            </w:r>
            <w:r w:rsidR="00FA7208" w:rsidRPr="00E41478">
              <w:t>program</w:t>
            </w:r>
          </w:p>
        </w:tc>
        <w:tc>
          <w:tcPr>
            <w:tcW w:w="1710" w:type="dxa"/>
          </w:tcPr>
          <w:p w14:paraId="4639D8B2" w14:textId="77777777" w:rsidR="00C66035" w:rsidRPr="00E41478" w:rsidRDefault="00FA7208">
            <w:r w:rsidRPr="00E41478">
              <w:t>Air Conditioning</w:t>
            </w:r>
          </w:p>
        </w:tc>
        <w:tc>
          <w:tcPr>
            <w:tcW w:w="1800" w:type="dxa"/>
          </w:tcPr>
          <w:p w14:paraId="343B00FA" w14:textId="77777777" w:rsidR="00C66035" w:rsidRPr="00E41478" w:rsidRDefault="00FA7208">
            <w:r w:rsidRPr="00E41478">
              <w:t>Smart Communicating Thermostat</w:t>
            </w:r>
            <w:r w:rsidR="002E3DAB" w:rsidRPr="00E41478">
              <w:t xml:space="preserve"> (T-stat)</w:t>
            </w:r>
          </w:p>
        </w:tc>
        <w:tc>
          <w:tcPr>
            <w:tcW w:w="1530" w:type="dxa"/>
          </w:tcPr>
          <w:p w14:paraId="56A14844" w14:textId="77777777" w:rsidR="00C66035" w:rsidRPr="00E41478" w:rsidRDefault="00FA7208">
            <w:r w:rsidRPr="00E41478">
              <w:t>Late 2017</w:t>
            </w:r>
          </w:p>
        </w:tc>
        <w:tc>
          <w:tcPr>
            <w:tcW w:w="3600" w:type="dxa"/>
          </w:tcPr>
          <w:p w14:paraId="045E438E" w14:textId="4E2DC7B4" w:rsidR="00C66035" w:rsidRPr="00E41478" w:rsidRDefault="002E3DAB" w:rsidP="009542B0">
            <w:r w:rsidRPr="00E41478">
              <w:t xml:space="preserve">EE program markets </w:t>
            </w:r>
            <w:r w:rsidR="009542B0" w:rsidRPr="00E41478">
              <w:t>PTR-ET-DLC</w:t>
            </w:r>
            <w:r w:rsidRPr="00E41478">
              <w:t xml:space="preserve"> to customer. Customer signs up and gets $75 DR incentive. Also pay-for-performance in DR events</w:t>
            </w:r>
          </w:p>
        </w:tc>
      </w:tr>
      <w:tr w:rsidR="0029250F" w:rsidRPr="00E41478" w14:paraId="29A099F3" w14:textId="77777777" w:rsidTr="00E41478">
        <w:trPr>
          <w:trHeight w:val="1655"/>
        </w:trPr>
        <w:tc>
          <w:tcPr>
            <w:tcW w:w="2448" w:type="dxa"/>
          </w:tcPr>
          <w:p w14:paraId="043FC032" w14:textId="77777777" w:rsidR="0029250F" w:rsidRPr="00E41478" w:rsidRDefault="0029250F" w:rsidP="002E3DAB">
            <w:r w:rsidRPr="00E41478">
              <w:t>Non-residential retrofit vendors with DR experience follow EE retrofit with DR control upgrade</w:t>
            </w:r>
          </w:p>
        </w:tc>
        <w:tc>
          <w:tcPr>
            <w:tcW w:w="2790" w:type="dxa"/>
          </w:tcPr>
          <w:p w14:paraId="1CBCEE58" w14:textId="77777777" w:rsidR="0029250F" w:rsidRPr="00E41478" w:rsidRDefault="0029250F" w:rsidP="0029250F">
            <w:pPr>
              <w:pStyle w:val="ListParagraph"/>
              <w:ind w:left="0"/>
            </w:pPr>
            <w:r w:rsidRPr="00E41478">
              <w:t>Retro-commissioning program</w:t>
            </w:r>
          </w:p>
        </w:tc>
        <w:tc>
          <w:tcPr>
            <w:tcW w:w="1710" w:type="dxa"/>
          </w:tcPr>
          <w:p w14:paraId="171077F1" w14:textId="77777777" w:rsidR="0029250F" w:rsidRPr="00E41478" w:rsidRDefault="0029250F">
            <w:r w:rsidRPr="00E41478">
              <w:t>HVAC, lighting</w:t>
            </w:r>
          </w:p>
        </w:tc>
        <w:tc>
          <w:tcPr>
            <w:tcW w:w="1800" w:type="dxa"/>
          </w:tcPr>
          <w:p w14:paraId="6DD62773" w14:textId="77777777" w:rsidR="0029250F" w:rsidRPr="00E41478" w:rsidRDefault="0029250F">
            <w:r w:rsidRPr="00E41478">
              <w:t>Energy management system</w:t>
            </w:r>
          </w:p>
        </w:tc>
        <w:tc>
          <w:tcPr>
            <w:tcW w:w="1530" w:type="dxa"/>
          </w:tcPr>
          <w:p w14:paraId="4BB44AE2" w14:textId="77777777" w:rsidR="0029250F" w:rsidRPr="00E41478" w:rsidRDefault="0029250F">
            <w:r w:rsidRPr="00E41478">
              <w:t>Ongoing on a case-by-case basis</w:t>
            </w:r>
          </w:p>
        </w:tc>
        <w:tc>
          <w:tcPr>
            <w:tcW w:w="3600" w:type="dxa"/>
          </w:tcPr>
          <w:p w14:paraId="5EA98D5A" w14:textId="4D5320ED" w:rsidR="0029250F" w:rsidRPr="00E41478" w:rsidRDefault="0029250F" w:rsidP="009542B0">
            <w:r w:rsidRPr="00E41478">
              <w:t>Auto</w:t>
            </w:r>
            <w:r w:rsidR="00E51841" w:rsidRPr="00E41478">
              <w:t>mated</w:t>
            </w:r>
            <w:r w:rsidRPr="00E41478">
              <w:t xml:space="preserve"> Demand Response </w:t>
            </w:r>
            <w:r w:rsidR="00E51841" w:rsidRPr="00E41478">
              <w:t>(</w:t>
            </w:r>
            <w:proofErr w:type="spellStart"/>
            <w:r w:rsidR="00E51841" w:rsidRPr="00E41478">
              <w:t>AutoDR</w:t>
            </w:r>
            <w:proofErr w:type="spellEnd"/>
            <w:r w:rsidR="00E51841" w:rsidRPr="00E41478">
              <w:t xml:space="preserve">) </w:t>
            </w:r>
            <w:r w:rsidRPr="00E41478">
              <w:t xml:space="preserve">technology incentive program </w:t>
            </w:r>
            <w:r w:rsidR="00E51841" w:rsidRPr="00E41478">
              <w:t xml:space="preserve">provided </w:t>
            </w:r>
            <w:r w:rsidRPr="00E41478">
              <w:t>when EE retrofit is complete</w:t>
            </w:r>
            <w:r w:rsidR="00E51841" w:rsidRPr="00E41478">
              <w:t xml:space="preserve">.  </w:t>
            </w:r>
            <w:proofErr w:type="spellStart"/>
            <w:r w:rsidR="00E51841" w:rsidRPr="00E41478">
              <w:t>AutoDR</w:t>
            </w:r>
            <w:proofErr w:type="spellEnd"/>
            <w:r w:rsidR="00E51841" w:rsidRPr="00E41478">
              <w:t xml:space="preserve"> requires customer to enroll and participate in</w:t>
            </w:r>
            <w:r w:rsidR="009542B0" w:rsidRPr="00E41478">
              <w:t xml:space="preserve"> Qualifying</w:t>
            </w:r>
            <w:r w:rsidR="00E51841" w:rsidRPr="00E41478">
              <w:t xml:space="preserve"> DR </w:t>
            </w:r>
            <w:r w:rsidR="009542B0" w:rsidRPr="00E41478">
              <w:t>P</w:t>
            </w:r>
            <w:r w:rsidR="00E51841" w:rsidRPr="00E41478">
              <w:t>rogram for at least 36-months.</w:t>
            </w:r>
          </w:p>
        </w:tc>
      </w:tr>
      <w:tr w:rsidR="00E41478" w:rsidRPr="00E41478" w14:paraId="42E66635" w14:textId="77777777" w:rsidTr="00EE6508">
        <w:trPr>
          <w:trHeight w:val="1700"/>
        </w:trPr>
        <w:tc>
          <w:tcPr>
            <w:tcW w:w="2448" w:type="dxa"/>
          </w:tcPr>
          <w:p w14:paraId="099E4BA4" w14:textId="265B7BA0" w:rsidR="00E41478" w:rsidRPr="00E41478" w:rsidRDefault="00EE6508" w:rsidP="002E3DAB">
            <w:r w:rsidRPr="00D05A17">
              <w:t>Online energy technology marketplace</w:t>
            </w:r>
          </w:p>
        </w:tc>
        <w:tc>
          <w:tcPr>
            <w:tcW w:w="2790" w:type="dxa"/>
          </w:tcPr>
          <w:p w14:paraId="18C88EAC" w14:textId="626CBE41" w:rsidR="00E41478" w:rsidRPr="00E41478" w:rsidRDefault="00EE6508" w:rsidP="0029250F">
            <w:pPr>
              <w:pStyle w:val="ListParagraph"/>
              <w:ind w:left="0"/>
            </w:pPr>
            <w:r>
              <w:t>NA</w:t>
            </w:r>
          </w:p>
        </w:tc>
        <w:tc>
          <w:tcPr>
            <w:tcW w:w="1710" w:type="dxa"/>
          </w:tcPr>
          <w:p w14:paraId="611629E2" w14:textId="3D356BBE" w:rsidR="00E41478" w:rsidRPr="00E41478" w:rsidRDefault="00EE6508">
            <w:r>
              <w:t>HVAC, plug loads,</w:t>
            </w:r>
            <w:r w:rsidRPr="00D05A17">
              <w:t xml:space="preserve"> water heaters, pool pumps, hot tubs, EVs and more</w:t>
            </w:r>
          </w:p>
        </w:tc>
        <w:tc>
          <w:tcPr>
            <w:tcW w:w="1800" w:type="dxa"/>
          </w:tcPr>
          <w:p w14:paraId="0B69FD3A" w14:textId="45732580" w:rsidR="00EE6508" w:rsidRPr="00D05A17" w:rsidRDefault="00EE6508" w:rsidP="00EE6508">
            <w:r w:rsidRPr="00D05A17">
              <w:t>Smart thermostats</w:t>
            </w:r>
            <w:r>
              <w:t>,</w:t>
            </w:r>
          </w:p>
          <w:p w14:paraId="7C245077" w14:textId="5A979C6F" w:rsidR="00EE6508" w:rsidRPr="00D05A17" w:rsidRDefault="00EE6508" w:rsidP="00EE6508">
            <w:r>
              <w:t>a</w:t>
            </w:r>
            <w:r w:rsidRPr="00D05A17">
              <w:t>dvanced power strips, 220V load timers</w:t>
            </w:r>
          </w:p>
          <w:p w14:paraId="2A51B54B" w14:textId="77777777" w:rsidR="00E41478" w:rsidRPr="00E41478" w:rsidRDefault="00E41478"/>
        </w:tc>
        <w:tc>
          <w:tcPr>
            <w:tcW w:w="1530" w:type="dxa"/>
          </w:tcPr>
          <w:p w14:paraId="1BA4D132" w14:textId="7FC3ED9A" w:rsidR="00E41478" w:rsidRPr="00E41478" w:rsidRDefault="00EE6508">
            <w:r w:rsidRPr="00D05A17">
              <w:t>4Q 2017 as required by Res. E-4820</w:t>
            </w:r>
          </w:p>
        </w:tc>
        <w:tc>
          <w:tcPr>
            <w:tcW w:w="3600" w:type="dxa"/>
          </w:tcPr>
          <w:p w14:paraId="1CFA2191" w14:textId="3FF3112B" w:rsidR="00E41478" w:rsidRPr="00E41478" w:rsidRDefault="00EE6508" w:rsidP="009542B0">
            <w:r w:rsidRPr="00D05A17">
              <w:t>Connected devices can be used for BYO device DR programs</w:t>
            </w:r>
          </w:p>
        </w:tc>
      </w:tr>
      <w:tr w:rsidR="002E3DAB" w:rsidRPr="00E41478" w14:paraId="334FE33E" w14:textId="77777777" w:rsidTr="00E41478">
        <w:tc>
          <w:tcPr>
            <w:tcW w:w="13878" w:type="dxa"/>
            <w:gridSpan w:val="6"/>
            <w:shd w:val="clear" w:color="auto" w:fill="EEECE1" w:themeFill="background2"/>
          </w:tcPr>
          <w:p w14:paraId="113EDA78" w14:textId="77777777" w:rsidR="002E3DAB" w:rsidRPr="00E41478" w:rsidRDefault="002E3DAB" w:rsidP="002E3DAB">
            <w:pPr>
              <w:jc w:val="center"/>
              <w:rPr>
                <w:b/>
              </w:rPr>
            </w:pPr>
            <w:r w:rsidRPr="00E41478">
              <w:rPr>
                <w:b/>
              </w:rPr>
              <w:t>Under Consideration or Study</w:t>
            </w:r>
          </w:p>
        </w:tc>
      </w:tr>
      <w:tr w:rsidR="00C00575" w:rsidRPr="00E41478" w14:paraId="21B8C8A8" w14:textId="77777777" w:rsidTr="00E41478">
        <w:tc>
          <w:tcPr>
            <w:tcW w:w="2448" w:type="dxa"/>
          </w:tcPr>
          <w:p w14:paraId="1ACD9D77" w14:textId="77777777" w:rsidR="00C66035" w:rsidRPr="00E41478" w:rsidRDefault="002E3DAB" w:rsidP="002E3DAB">
            <w:r w:rsidRPr="00E41478">
              <w:t>Joint incentive for small and medium businesses</w:t>
            </w:r>
          </w:p>
        </w:tc>
        <w:tc>
          <w:tcPr>
            <w:tcW w:w="2790" w:type="dxa"/>
          </w:tcPr>
          <w:p w14:paraId="5D1E8CD6" w14:textId="77777777" w:rsidR="00C66035" w:rsidRPr="00E41478" w:rsidRDefault="002E3DAB">
            <w:r w:rsidRPr="00E41478">
              <w:t>Commercial deemed program</w:t>
            </w:r>
          </w:p>
        </w:tc>
        <w:tc>
          <w:tcPr>
            <w:tcW w:w="1710" w:type="dxa"/>
          </w:tcPr>
          <w:p w14:paraId="780DC6D4" w14:textId="77777777" w:rsidR="00C66035" w:rsidRPr="00E41478" w:rsidRDefault="002E3DAB">
            <w:r w:rsidRPr="00E41478">
              <w:t>Air conditioning</w:t>
            </w:r>
          </w:p>
        </w:tc>
        <w:tc>
          <w:tcPr>
            <w:tcW w:w="1800" w:type="dxa"/>
          </w:tcPr>
          <w:p w14:paraId="4391B218" w14:textId="77777777" w:rsidR="00C66035" w:rsidRPr="00E41478" w:rsidRDefault="002E3DAB">
            <w:r w:rsidRPr="00E41478">
              <w:t>Smart communicating thermostat for non-residential</w:t>
            </w:r>
          </w:p>
        </w:tc>
        <w:tc>
          <w:tcPr>
            <w:tcW w:w="1530" w:type="dxa"/>
          </w:tcPr>
          <w:p w14:paraId="476A1EF5" w14:textId="77777777" w:rsidR="00C66035" w:rsidRPr="00E41478" w:rsidRDefault="002E3DAB">
            <w:r w:rsidRPr="00E41478">
              <w:t>No work paper for T-stat</w:t>
            </w:r>
          </w:p>
        </w:tc>
        <w:tc>
          <w:tcPr>
            <w:tcW w:w="3600" w:type="dxa"/>
          </w:tcPr>
          <w:p w14:paraId="4D32677B" w14:textId="77777777" w:rsidR="00E51841" w:rsidRPr="00E41478" w:rsidRDefault="00B004C1" w:rsidP="00E51841">
            <w:r w:rsidRPr="00E41478">
              <w:t>Capacity Bidding Program</w:t>
            </w:r>
            <w:r w:rsidR="00E51841" w:rsidRPr="00E41478">
              <w:t xml:space="preserve"> (CBP), Critical Peak Pricing (CPP), or Demand Response Auction Mechanism (DRAM)</w:t>
            </w:r>
          </w:p>
        </w:tc>
      </w:tr>
      <w:tr w:rsidR="00C00575" w:rsidRPr="00E41478" w14:paraId="7497DEAF" w14:textId="77777777" w:rsidTr="00E41478">
        <w:tc>
          <w:tcPr>
            <w:tcW w:w="2448" w:type="dxa"/>
          </w:tcPr>
          <w:p w14:paraId="48F688E2" w14:textId="77777777" w:rsidR="00C66035" w:rsidRPr="00E41478" w:rsidRDefault="00B004C1" w:rsidP="00B004C1">
            <w:r w:rsidRPr="00E41478">
              <w:t>Study of adding DR capabilities to new building controls</w:t>
            </w:r>
          </w:p>
        </w:tc>
        <w:tc>
          <w:tcPr>
            <w:tcW w:w="2790" w:type="dxa"/>
          </w:tcPr>
          <w:p w14:paraId="34EE1441" w14:textId="77777777" w:rsidR="00C66035" w:rsidRPr="00E41478" w:rsidRDefault="00B004C1">
            <w:r w:rsidRPr="00E41478">
              <w:t>Non-residential New Construction and Savings by Design program</w:t>
            </w:r>
          </w:p>
        </w:tc>
        <w:tc>
          <w:tcPr>
            <w:tcW w:w="1710" w:type="dxa"/>
          </w:tcPr>
          <w:p w14:paraId="2C8BC666" w14:textId="77777777" w:rsidR="00C66035" w:rsidRPr="00E41478" w:rsidRDefault="00B004C1">
            <w:r w:rsidRPr="00E41478">
              <w:t>HVAC and lighting</w:t>
            </w:r>
          </w:p>
        </w:tc>
        <w:tc>
          <w:tcPr>
            <w:tcW w:w="1800" w:type="dxa"/>
          </w:tcPr>
          <w:p w14:paraId="09470728" w14:textId="77777777" w:rsidR="00C66035" w:rsidRPr="00E41478" w:rsidRDefault="00B004C1">
            <w:r w:rsidRPr="00E41478">
              <w:t>Energy management system for new building with no energy use history</w:t>
            </w:r>
          </w:p>
        </w:tc>
        <w:tc>
          <w:tcPr>
            <w:tcW w:w="1530" w:type="dxa"/>
          </w:tcPr>
          <w:p w14:paraId="04EA43AE" w14:textId="77777777" w:rsidR="00C66035" w:rsidRPr="00E41478" w:rsidRDefault="00B004C1">
            <w:r w:rsidRPr="00E41478">
              <w:t xml:space="preserve">Small study currently underway </w:t>
            </w:r>
          </w:p>
        </w:tc>
        <w:tc>
          <w:tcPr>
            <w:tcW w:w="3600" w:type="dxa"/>
          </w:tcPr>
          <w:p w14:paraId="2A331BE4" w14:textId="77777777" w:rsidR="00E51841" w:rsidRDefault="00B004C1">
            <w:r w:rsidRPr="00E41478">
              <w:t xml:space="preserve">Automated </w:t>
            </w:r>
            <w:proofErr w:type="spellStart"/>
            <w:r w:rsidRPr="00E41478">
              <w:t>dispatchable</w:t>
            </w:r>
            <w:proofErr w:type="spellEnd"/>
            <w:r w:rsidRPr="00E41478">
              <w:t xml:space="preserve"> lighting and HVAC</w:t>
            </w:r>
          </w:p>
          <w:p w14:paraId="491875CF" w14:textId="77777777" w:rsidR="0000455E" w:rsidRPr="00E41478" w:rsidRDefault="0000455E"/>
          <w:p w14:paraId="05C1BDB8" w14:textId="6510985E" w:rsidR="00E51841" w:rsidRPr="00E41478" w:rsidRDefault="00E51841" w:rsidP="00EA099E">
            <w:r w:rsidRPr="00E41478">
              <w:t>May be able to participate in CBP, CPP, or DRAM</w:t>
            </w:r>
          </w:p>
        </w:tc>
      </w:tr>
      <w:tr w:rsidR="00C00575" w:rsidRPr="00E41478" w14:paraId="3AECAF44" w14:textId="77777777" w:rsidTr="00E41478">
        <w:tc>
          <w:tcPr>
            <w:tcW w:w="2448" w:type="dxa"/>
          </w:tcPr>
          <w:p w14:paraId="0146CB2D" w14:textId="77777777" w:rsidR="00C66035" w:rsidRPr="00E41478" w:rsidRDefault="00B004C1">
            <w:r w:rsidRPr="00E41478">
              <w:t>Integrate DR into Energy Upgrade California</w:t>
            </w:r>
          </w:p>
        </w:tc>
        <w:tc>
          <w:tcPr>
            <w:tcW w:w="2790" w:type="dxa"/>
          </w:tcPr>
          <w:p w14:paraId="13ED2A88" w14:textId="77777777" w:rsidR="00C66035" w:rsidRPr="00E41478" w:rsidRDefault="00B004C1">
            <w:r w:rsidRPr="00E41478">
              <w:t xml:space="preserve">Energy Upgrade California third party contractors who </w:t>
            </w:r>
            <w:r w:rsidRPr="00E41478">
              <w:lastRenderedPageBreak/>
              <w:t>include this in their bids</w:t>
            </w:r>
          </w:p>
        </w:tc>
        <w:tc>
          <w:tcPr>
            <w:tcW w:w="1710" w:type="dxa"/>
          </w:tcPr>
          <w:p w14:paraId="0C856B31" w14:textId="77777777" w:rsidR="00C66035" w:rsidRPr="00E41478" w:rsidRDefault="00B004C1">
            <w:r w:rsidRPr="00E41478">
              <w:lastRenderedPageBreak/>
              <w:t xml:space="preserve">HVAC, possibly other end uses </w:t>
            </w:r>
            <w:r w:rsidRPr="00E41478">
              <w:lastRenderedPageBreak/>
              <w:t>such as pool pump</w:t>
            </w:r>
          </w:p>
        </w:tc>
        <w:tc>
          <w:tcPr>
            <w:tcW w:w="1800" w:type="dxa"/>
          </w:tcPr>
          <w:p w14:paraId="756DF63A" w14:textId="77777777" w:rsidR="00C66035" w:rsidRPr="00E41478" w:rsidRDefault="00B004C1">
            <w:r w:rsidRPr="00E41478">
              <w:lastRenderedPageBreak/>
              <w:t xml:space="preserve">Thermostats and other home </w:t>
            </w:r>
            <w:r w:rsidRPr="00E41478">
              <w:lastRenderedPageBreak/>
              <w:t>controls</w:t>
            </w:r>
          </w:p>
        </w:tc>
        <w:tc>
          <w:tcPr>
            <w:tcW w:w="1530" w:type="dxa"/>
          </w:tcPr>
          <w:p w14:paraId="168BF2D7" w14:textId="77777777" w:rsidR="00C66035" w:rsidRPr="00E41478" w:rsidRDefault="00C66035"/>
        </w:tc>
        <w:tc>
          <w:tcPr>
            <w:tcW w:w="3600" w:type="dxa"/>
          </w:tcPr>
          <w:p w14:paraId="11EFE339" w14:textId="77777777" w:rsidR="00C66035" w:rsidRPr="00E41478" w:rsidRDefault="00E51841">
            <w:r w:rsidRPr="00E41478">
              <w:t xml:space="preserve">Customers could participate in </w:t>
            </w:r>
            <w:r w:rsidR="009542B0" w:rsidRPr="00E41478">
              <w:t xml:space="preserve">PTR-ET-DLC program with eligible </w:t>
            </w:r>
            <w:r w:rsidR="009542B0" w:rsidRPr="00E41478">
              <w:lastRenderedPageBreak/>
              <w:t>devices/equipment</w:t>
            </w:r>
          </w:p>
        </w:tc>
      </w:tr>
      <w:tr w:rsidR="00C00575" w:rsidRPr="00E41478" w14:paraId="2180E86F" w14:textId="77777777" w:rsidTr="00E41478">
        <w:tc>
          <w:tcPr>
            <w:tcW w:w="2448" w:type="dxa"/>
          </w:tcPr>
          <w:p w14:paraId="250C87F7" w14:textId="77777777" w:rsidR="00C66035" w:rsidRPr="00E41478" w:rsidRDefault="00B004C1">
            <w:r w:rsidRPr="00E41478">
              <w:lastRenderedPageBreak/>
              <w:t xml:space="preserve">Integrate behavioral messaging </w:t>
            </w:r>
          </w:p>
        </w:tc>
        <w:tc>
          <w:tcPr>
            <w:tcW w:w="2790" w:type="dxa"/>
          </w:tcPr>
          <w:p w14:paraId="6CC8D469" w14:textId="77777777" w:rsidR="00C66035" w:rsidRPr="00E41478" w:rsidRDefault="00B004C1">
            <w:r w:rsidRPr="00E41478">
              <w:t>Home energy reports for EE and DR events</w:t>
            </w:r>
          </w:p>
        </w:tc>
        <w:tc>
          <w:tcPr>
            <w:tcW w:w="1710" w:type="dxa"/>
          </w:tcPr>
          <w:p w14:paraId="6F89BD7F" w14:textId="77777777" w:rsidR="00C66035" w:rsidRPr="00E41478" w:rsidRDefault="00C66035"/>
        </w:tc>
        <w:tc>
          <w:tcPr>
            <w:tcW w:w="1800" w:type="dxa"/>
          </w:tcPr>
          <w:p w14:paraId="1237ACFF" w14:textId="77777777" w:rsidR="00C66035" w:rsidRPr="00E41478" w:rsidRDefault="00C66035"/>
        </w:tc>
        <w:tc>
          <w:tcPr>
            <w:tcW w:w="1530" w:type="dxa"/>
          </w:tcPr>
          <w:p w14:paraId="7CF46FDA" w14:textId="77777777" w:rsidR="00C66035" w:rsidRPr="00E41478" w:rsidRDefault="00C66035"/>
        </w:tc>
        <w:tc>
          <w:tcPr>
            <w:tcW w:w="3600" w:type="dxa"/>
          </w:tcPr>
          <w:p w14:paraId="4873E765" w14:textId="77777777" w:rsidR="00C66035" w:rsidRPr="00E41478" w:rsidRDefault="00C66035"/>
        </w:tc>
      </w:tr>
      <w:tr w:rsidR="00C00575" w:rsidRPr="00E41478" w14:paraId="5E19E687" w14:textId="77777777" w:rsidTr="00E41478">
        <w:tc>
          <w:tcPr>
            <w:tcW w:w="2448" w:type="dxa"/>
          </w:tcPr>
          <w:p w14:paraId="69619C86" w14:textId="1984E25C" w:rsidR="00C66035" w:rsidRPr="00E41478" w:rsidRDefault="00B004C1" w:rsidP="003B63DC">
            <w:r w:rsidRPr="00E41478">
              <w:t xml:space="preserve">Cloud-based control of multiple non-residential </w:t>
            </w:r>
            <w:r w:rsidR="0000455E">
              <w:t>T</w:t>
            </w:r>
            <w:r w:rsidR="003B63DC" w:rsidRPr="00E41478">
              <w:t>-stats</w:t>
            </w:r>
          </w:p>
        </w:tc>
        <w:tc>
          <w:tcPr>
            <w:tcW w:w="2790" w:type="dxa"/>
          </w:tcPr>
          <w:p w14:paraId="60BEB557" w14:textId="77777777" w:rsidR="00C66035" w:rsidRPr="00E41478" w:rsidRDefault="003B63DC">
            <w:r w:rsidRPr="00E41478">
              <w:t>Commercial Direct Install</w:t>
            </w:r>
          </w:p>
        </w:tc>
        <w:tc>
          <w:tcPr>
            <w:tcW w:w="1710" w:type="dxa"/>
          </w:tcPr>
          <w:p w14:paraId="0F3FC3B1" w14:textId="76F9B7F7" w:rsidR="00C66035" w:rsidRPr="00E41478" w:rsidRDefault="00B004C1">
            <w:r w:rsidRPr="00E41478">
              <w:t>HVAC units on separate T-stats</w:t>
            </w:r>
          </w:p>
        </w:tc>
        <w:tc>
          <w:tcPr>
            <w:tcW w:w="1800" w:type="dxa"/>
          </w:tcPr>
          <w:p w14:paraId="1C432529" w14:textId="1EF1CE7E" w:rsidR="00C66035" w:rsidRPr="00E41478" w:rsidRDefault="00B004C1" w:rsidP="00E41478">
            <w:r w:rsidRPr="00E41478">
              <w:t xml:space="preserve">Control via a portal </w:t>
            </w:r>
            <w:r w:rsidR="0029250F" w:rsidRPr="00E41478">
              <w:t xml:space="preserve">based on schedule or occupancy sensors </w:t>
            </w:r>
            <w:r w:rsidR="003B63DC" w:rsidRPr="00E41478">
              <w:t xml:space="preserve">(cloud platform serves as an </w:t>
            </w:r>
            <w:r w:rsidR="0000455E">
              <w:t>“EMS-Lite” system but only for T</w:t>
            </w:r>
            <w:r w:rsidR="003B63DC" w:rsidRPr="00E41478">
              <w:t>-stats)</w:t>
            </w:r>
          </w:p>
        </w:tc>
        <w:tc>
          <w:tcPr>
            <w:tcW w:w="1530" w:type="dxa"/>
          </w:tcPr>
          <w:p w14:paraId="56F550C9" w14:textId="10288A3E" w:rsidR="00C66035" w:rsidRPr="00E41478" w:rsidRDefault="003B63DC" w:rsidP="00E41478">
            <w:r w:rsidRPr="00E41478">
              <w:t>TBD (depend</w:t>
            </w:r>
            <w:r w:rsidR="00E41478" w:rsidRPr="00E41478">
              <w:t xml:space="preserve">ing </w:t>
            </w:r>
            <w:r w:rsidR="0000455E">
              <w:t>on CPUC guidance on To-</w:t>
            </w:r>
            <w:r w:rsidRPr="00E41478">
              <w:t>Code Pilot)</w:t>
            </w:r>
          </w:p>
        </w:tc>
        <w:tc>
          <w:tcPr>
            <w:tcW w:w="3600" w:type="dxa"/>
          </w:tcPr>
          <w:p w14:paraId="1C292662" w14:textId="7E4C1D99" w:rsidR="00C66035" w:rsidRPr="00E41478" w:rsidRDefault="003B63DC">
            <w:r w:rsidRPr="00E41478">
              <w:t xml:space="preserve">N/A - </w:t>
            </w:r>
            <w:r w:rsidR="0029250F" w:rsidRPr="00E41478">
              <w:t xml:space="preserve">Part of the </w:t>
            </w:r>
            <w:r w:rsidRPr="00E41478">
              <w:t xml:space="preserve">EE </w:t>
            </w:r>
            <w:r w:rsidR="0029250F" w:rsidRPr="00E41478">
              <w:t>To-code Pilot</w:t>
            </w:r>
            <w:r w:rsidR="0000455E">
              <w:t>.</w:t>
            </w:r>
          </w:p>
          <w:p w14:paraId="71B23EA3" w14:textId="7D918B34" w:rsidR="009542B0" w:rsidRPr="00E41478" w:rsidRDefault="009542B0" w:rsidP="00EA099E">
            <w:r w:rsidRPr="00E41478">
              <w:t>Customer could also participate and earn DR program incentives if enrolled in the CBP, CPP, or DRAM</w:t>
            </w:r>
          </w:p>
        </w:tc>
      </w:tr>
      <w:tr w:rsidR="0029250F" w:rsidRPr="00E41478" w14:paraId="7C880BC3" w14:textId="77777777" w:rsidTr="00E41478">
        <w:tc>
          <w:tcPr>
            <w:tcW w:w="2448" w:type="dxa"/>
          </w:tcPr>
          <w:p w14:paraId="22ADB7DD" w14:textId="77777777" w:rsidR="0029250F" w:rsidRPr="00E41478" w:rsidRDefault="0029250F">
            <w:r w:rsidRPr="00E41478">
              <w:t>Cloud-based platforms and controls</w:t>
            </w:r>
          </w:p>
        </w:tc>
        <w:tc>
          <w:tcPr>
            <w:tcW w:w="2790" w:type="dxa"/>
          </w:tcPr>
          <w:p w14:paraId="7D73658F" w14:textId="77777777" w:rsidR="0029250F" w:rsidRPr="00E41478" w:rsidRDefault="0029250F">
            <w:r w:rsidRPr="00E41478">
              <w:t>N/A</w:t>
            </w:r>
          </w:p>
        </w:tc>
        <w:tc>
          <w:tcPr>
            <w:tcW w:w="1710" w:type="dxa"/>
          </w:tcPr>
          <w:p w14:paraId="4F0C1BB4" w14:textId="77777777" w:rsidR="0029250F" w:rsidRPr="00E41478" w:rsidRDefault="0029250F">
            <w:r w:rsidRPr="00E41478">
              <w:t>HVAC, lighting</w:t>
            </w:r>
          </w:p>
        </w:tc>
        <w:tc>
          <w:tcPr>
            <w:tcW w:w="1800" w:type="dxa"/>
          </w:tcPr>
          <w:p w14:paraId="1E8FB2DE" w14:textId="77777777" w:rsidR="0029250F" w:rsidRPr="00E41478" w:rsidRDefault="0029250F">
            <w:r w:rsidRPr="00E41478">
              <w:t>Cloud-based platform</w:t>
            </w:r>
          </w:p>
        </w:tc>
        <w:tc>
          <w:tcPr>
            <w:tcW w:w="1530" w:type="dxa"/>
          </w:tcPr>
          <w:p w14:paraId="09CDA666" w14:textId="77777777" w:rsidR="0029250F" w:rsidRPr="00E41478" w:rsidRDefault="0029250F"/>
        </w:tc>
        <w:tc>
          <w:tcPr>
            <w:tcW w:w="3600" w:type="dxa"/>
          </w:tcPr>
          <w:p w14:paraId="31754FED" w14:textId="3EFAA437" w:rsidR="0029250F" w:rsidRPr="00E41478" w:rsidRDefault="009542B0" w:rsidP="00EA099E">
            <w:r w:rsidRPr="00E41478">
              <w:t>Customer could also participate and earn DR program incentives if enrolled in the CBP, CPP, or DRAM</w:t>
            </w:r>
          </w:p>
        </w:tc>
      </w:tr>
    </w:tbl>
    <w:p w14:paraId="0A3841C9" w14:textId="77777777" w:rsidR="00C66035" w:rsidRDefault="00FA7208">
      <w:r w:rsidRPr="00E41478">
        <w:t>*</w:t>
      </w:r>
      <w:proofErr w:type="spellStart"/>
      <w:r w:rsidRPr="00E41478">
        <w:t>SoCalGas</w:t>
      </w:r>
      <w:proofErr w:type="spellEnd"/>
      <w:r w:rsidRPr="00E41478">
        <w:t xml:space="preserve"> incentive integrated into SCE incentive is ending at the end of 2017. T</w:t>
      </w:r>
      <w:r w:rsidR="002E3DAB" w:rsidRPr="00E41478">
        <w:t>his proposal is part of an AB 793 advice letter. It has t</w:t>
      </w:r>
      <w:r w:rsidRPr="00E41478">
        <w:t>emporary approval pending further Energy Division work paper review for the residential thermostat</w:t>
      </w:r>
    </w:p>
    <w:p w14:paraId="2CE69861" w14:textId="77777777" w:rsidR="00EE6508" w:rsidRDefault="00EE6508"/>
    <w:p w14:paraId="1488160D" w14:textId="77777777" w:rsidR="004F7FD1" w:rsidRDefault="004F7FD1"/>
    <w:p w14:paraId="3A1A4B5A" w14:textId="77777777" w:rsidR="00857FDD" w:rsidRDefault="00857FDD"/>
    <w:p w14:paraId="534A95B0" w14:textId="77777777" w:rsidR="00EB77D7" w:rsidRDefault="00EB77D7"/>
    <w:p w14:paraId="6F5D705A" w14:textId="77777777" w:rsidR="00EB77D7" w:rsidRDefault="00EB77D7"/>
    <w:p w14:paraId="6EAC30B7" w14:textId="77777777" w:rsidR="00EB77D7" w:rsidRDefault="00EB77D7"/>
    <w:p w14:paraId="5ED5DEC7" w14:textId="77777777" w:rsidR="00EB77D7" w:rsidRDefault="00EB77D7"/>
    <w:p w14:paraId="4DD073B3" w14:textId="77777777" w:rsidR="00EB77D7" w:rsidRDefault="00EB77D7"/>
    <w:p w14:paraId="50F37A16" w14:textId="77777777" w:rsidR="00EB77D7" w:rsidRDefault="00EB77D7"/>
    <w:p w14:paraId="279F7297" w14:textId="77777777" w:rsidR="00EB77D7" w:rsidRDefault="00EB77D7"/>
    <w:p w14:paraId="2AFBC11B" w14:textId="77777777" w:rsidR="00EB77D7" w:rsidRDefault="00EB77D7"/>
    <w:p w14:paraId="172BEFC5" w14:textId="77777777" w:rsidR="00EB77D7" w:rsidRDefault="00EB77D7"/>
    <w:p w14:paraId="1DC986DA" w14:textId="77777777" w:rsidR="00857FDD" w:rsidRDefault="00857FDD"/>
    <w:p w14:paraId="574713CA" w14:textId="77777777" w:rsidR="00857FDD" w:rsidRDefault="00857FDD"/>
    <w:p w14:paraId="5CCF07DE" w14:textId="77777777" w:rsidR="00857FDD" w:rsidRDefault="00857FDD"/>
    <w:p w14:paraId="0D6DC78A" w14:textId="77777777" w:rsidR="00857FDD" w:rsidRDefault="00857FDD"/>
    <w:p w14:paraId="478C9E39" w14:textId="77777777" w:rsidR="00857FDD" w:rsidRDefault="00857FDD"/>
    <w:p w14:paraId="789EC72C" w14:textId="77777777" w:rsidR="00857FDD" w:rsidRDefault="00857FDD"/>
    <w:p w14:paraId="43C2BC40" w14:textId="77777777" w:rsidR="004F7FD1" w:rsidRDefault="004F7FD1"/>
    <w:p w14:paraId="620CF81F" w14:textId="77777777" w:rsidR="00857FDD" w:rsidRPr="00857FDD" w:rsidRDefault="00857FDD" w:rsidP="00857FDD">
      <w:pPr>
        <w:jc w:val="center"/>
        <w:rPr>
          <w:sz w:val="32"/>
          <w:szCs w:val="32"/>
        </w:rPr>
      </w:pP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2448"/>
        <w:gridCol w:w="2790"/>
        <w:gridCol w:w="1710"/>
        <w:gridCol w:w="1655"/>
        <w:gridCol w:w="1675"/>
        <w:gridCol w:w="3600"/>
      </w:tblGrid>
      <w:tr w:rsidR="00857FDD" w:rsidRPr="00857FDD" w14:paraId="02787382" w14:textId="77777777" w:rsidTr="00116E06">
        <w:tc>
          <w:tcPr>
            <w:tcW w:w="13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94B1DF" w14:textId="174574CB" w:rsidR="00857FDD" w:rsidRPr="00857FDD" w:rsidRDefault="00857FDD" w:rsidP="00857FDD">
            <w:pPr>
              <w:jc w:val="center"/>
              <w:rPr>
                <w:b/>
                <w:sz w:val="32"/>
                <w:szCs w:val="32"/>
              </w:rPr>
            </w:pPr>
            <w:r w:rsidRPr="00857FDD">
              <w:rPr>
                <w:b/>
                <w:sz w:val="32"/>
                <w:szCs w:val="32"/>
              </w:rPr>
              <w:lastRenderedPageBreak/>
              <w:t>Pacific Gas &amp; Electric</w:t>
            </w:r>
          </w:p>
        </w:tc>
      </w:tr>
      <w:tr w:rsidR="00857FDD" w14:paraId="41D7A6A4" w14:textId="77777777" w:rsidTr="00857F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697B4A0" w14:textId="77777777" w:rsidR="00857FDD" w:rsidRDefault="00857FDD">
            <w:pPr>
              <w:rPr>
                <w:b/>
              </w:rPr>
            </w:pPr>
            <w:r>
              <w:rPr>
                <w:b/>
              </w:rPr>
              <w:t>Integration Effort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F91F2A" w14:textId="77777777" w:rsidR="00857FDD" w:rsidRDefault="00857FDD">
            <w:pPr>
              <w:rPr>
                <w:b/>
              </w:rPr>
            </w:pPr>
            <w:r>
              <w:rPr>
                <w:b/>
              </w:rPr>
              <w:t>EE Program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2D5B37" w14:textId="77777777" w:rsidR="00857FDD" w:rsidRDefault="00857FDD">
            <w:pPr>
              <w:rPr>
                <w:b/>
              </w:rPr>
            </w:pPr>
            <w:r>
              <w:rPr>
                <w:b/>
              </w:rPr>
              <w:t>EE End Use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10EEFF" w14:textId="77777777" w:rsidR="00857FDD" w:rsidRDefault="00857FDD">
            <w:pPr>
              <w:rPr>
                <w:b/>
              </w:rPr>
            </w:pPr>
            <w:r>
              <w:rPr>
                <w:b/>
              </w:rPr>
              <w:t>EE Control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AD984F" w14:textId="77777777" w:rsidR="00857FDD" w:rsidRDefault="00857FDD">
            <w:pPr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5B8E937" w14:textId="77777777" w:rsidR="00857FDD" w:rsidRDefault="00857FDD">
            <w:pPr>
              <w:rPr>
                <w:b/>
              </w:rPr>
            </w:pPr>
            <w:r>
              <w:rPr>
                <w:b/>
              </w:rPr>
              <w:t>DR Program(s) Connection</w:t>
            </w:r>
          </w:p>
        </w:tc>
      </w:tr>
      <w:tr w:rsidR="00857FDD" w14:paraId="14C78766" w14:textId="77777777" w:rsidTr="00857F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BC3F" w14:textId="77777777" w:rsidR="00857FDD" w:rsidRDefault="00857FDD">
            <w:r>
              <w:t>Online integrated energy audits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681F" w14:textId="77777777" w:rsidR="00857FDD" w:rsidRDefault="00857FDD">
            <w:r>
              <w:t>Home Energy Checkup; Business Energy Checkup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3FAF" w14:textId="77777777" w:rsidR="00857FDD" w:rsidRDefault="00857FDD">
            <w:r>
              <w:t>Whole home or whole business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EEEC" w14:textId="77777777" w:rsidR="00857FDD" w:rsidRDefault="00857FDD">
            <w:r>
              <w:t>Various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9F1D" w14:textId="77777777" w:rsidR="00857FDD" w:rsidRDefault="00857FDD">
            <w:r>
              <w:t xml:space="preserve">Ongoing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EB0A" w14:textId="6B25D867" w:rsidR="00857FDD" w:rsidRDefault="00857FDD">
            <w:r>
              <w:t>Refe</w:t>
            </w:r>
            <w:r w:rsidR="0000455E">
              <w:t>rral to applicable DR programs</w:t>
            </w:r>
          </w:p>
        </w:tc>
      </w:tr>
      <w:tr w:rsidR="00857FDD" w14:paraId="43F085E7" w14:textId="77777777" w:rsidTr="00857FDD">
        <w:trPr>
          <w:trHeight w:val="6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0056" w14:textId="77777777" w:rsidR="00857FDD" w:rsidRDefault="00857FDD">
            <w:r>
              <w:t>On-site Integrated Energy Audits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CA7E" w14:textId="77777777" w:rsidR="00857FDD" w:rsidRDefault="00857FDD">
            <w:r>
              <w:t>Integrated Demand Side Management (IDSM)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2928" w14:textId="77777777" w:rsidR="00857FDD" w:rsidRDefault="00857FDD">
            <w:r>
              <w:t>Whole home or whole business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8DDE" w14:textId="77777777" w:rsidR="00857FDD" w:rsidRDefault="00857FDD">
            <w:r>
              <w:t>Various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492E" w14:textId="77777777" w:rsidR="00857FDD" w:rsidRDefault="00857FDD">
            <w:r>
              <w:t xml:space="preserve">Ongoing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20C9" w14:textId="75362932" w:rsidR="00857FDD" w:rsidRDefault="00857FDD">
            <w:r>
              <w:t>Refe</w:t>
            </w:r>
            <w:r w:rsidR="0000455E">
              <w:t>rral to applicable DR programs</w:t>
            </w:r>
          </w:p>
        </w:tc>
      </w:tr>
      <w:tr w:rsidR="00857FDD" w14:paraId="275ACCEA" w14:textId="77777777" w:rsidTr="008637E0">
        <w:trPr>
          <w:trHeight w:val="141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C24F" w14:textId="66B6ED32" w:rsidR="00857FDD" w:rsidRPr="002256A6" w:rsidRDefault="0000455E">
            <w:r w:rsidRPr="002256A6">
              <w:t>Small-</w:t>
            </w:r>
            <w:r w:rsidR="00857FDD" w:rsidRPr="002256A6">
              <w:t>scale field study of EMTs combined with a Residential Mobile App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5746" w14:textId="77777777" w:rsidR="00857FDD" w:rsidRPr="002256A6" w:rsidRDefault="00857FDD">
            <w:r w:rsidRPr="002256A6">
              <w:t>EE funding contributed to DR Emerging Tech program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D499" w14:textId="77777777" w:rsidR="00857FDD" w:rsidRPr="002256A6" w:rsidRDefault="00857FDD">
            <w:r w:rsidRPr="002256A6">
              <w:t>Lighting, air conditioning, HVAC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C5F5" w14:textId="77777777" w:rsidR="00857FDD" w:rsidRPr="002256A6" w:rsidRDefault="00857FDD">
            <w:r w:rsidRPr="002256A6">
              <w:t>Mobile App, various EMTs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E959" w14:textId="7CA9BE91" w:rsidR="00857FDD" w:rsidRPr="002256A6" w:rsidRDefault="00857FDD">
            <w:r w:rsidRPr="002256A6">
              <w:t>Pending AB 793 advice</w:t>
            </w:r>
            <w:r w:rsidR="0000455E" w:rsidRPr="002256A6">
              <w:t xml:space="preserve"> letter approval, late 2017 RFP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CEA7" w14:textId="58CB5EC5" w:rsidR="00857FDD" w:rsidRPr="002256A6" w:rsidRDefault="0000455E" w:rsidP="00C535F2">
            <w:r w:rsidRPr="002256A6">
              <w:t>Combined EE and DR study</w:t>
            </w:r>
            <w:r w:rsidR="00C535F2">
              <w:t>. Could in future enable</w:t>
            </w:r>
            <w:r w:rsidR="00FA7595" w:rsidRPr="002256A6">
              <w:t xml:space="preserve"> participation in DR</w:t>
            </w:r>
            <w:r w:rsidR="002256A6" w:rsidRPr="002256A6">
              <w:t xml:space="preserve"> </w:t>
            </w:r>
            <w:r w:rsidR="00C535F2">
              <w:t xml:space="preserve">programs </w:t>
            </w:r>
            <w:r w:rsidR="002256A6" w:rsidRPr="002256A6">
              <w:t xml:space="preserve">alongside EE savings. </w:t>
            </w:r>
          </w:p>
        </w:tc>
      </w:tr>
      <w:tr w:rsidR="00857FDD" w:rsidRPr="00180D9A" w14:paraId="51023C14" w14:textId="77777777" w:rsidTr="00B463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E43A" w14:textId="77777777" w:rsidR="00857FDD" w:rsidRPr="00180D9A" w:rsidRDefault="00857FDD">
            <w:bookmarkStart w:id="0" w:name="_GoBack"/>
            <w:bookmarkEnd w:id="0"/>
            <w:r w:rsidRPr="00180D9A">
              <w:t>Automated demand response for commercial customers with EMTs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8041" w14:textId="6CD9E78D" w:rsidR="00857FDD" w:rsidRPr="00180D9A" w:rsidRDefault="00007F2D" w:rsidP="00007F2D">
            <w:r w:rsidRPr="00180D9A">
              <w:t>Coordinates with the Commercial Calculated EE program with the vendor performing the EE retrofit has DR experience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D008C4" w14:textId="610D85FB" w:rsidR="00857FDD" w:rsidRPr="00180D9A" w:rsidRDefault="00B4639A">
            <w:r w:rsidRPr="00180D9A">
              <w:t>Various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2829" w14:textId="08F75F04" w:rsidR="00857FDD" w:rsidRPr="00180D9A" w:rsidRDefault="00857FDD">
            <w:r w:rsidRPr="00180D9A">
              <w:t>Automated e</w:t>
            </w:r>
            <w:r w:rsidR="0000455E" w:rsidRPr="00180D9A">
              <w:t>lectric controls and strategies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8863" w14:textId="77777777" w:rsidR="00857FDD" w:rsidRPr="00180D9A" w:rsidRDefault="00857FDD">
            <w:r w:rsidRPr="00180D9A">
              <w:t>Ongoing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E91F" w14:textId="7F798277" w:rsidR="00857FDD" w:rsidRPr="00180D9A" w:rsidRDefault="00007F2D">
            <w:r w:rsidRPr="00180D9A">
              <w:t>Enables participation in</w:t>
            </w:r>
            <w:r w:rsidR="00857FDD" w:rsidRPr="00180D9A">
              <w:t xml:space="preserve"> DR prog</w:t>
            </w:r>
            <w:r w:rsidRPr="00180D9A">
              <w:t>rams such as PDP, DRAM and CBP</w:t>
            </w:r>
          </w:p>
        </w:tc>
      </w:tr>
      <w:tr w:rsidR="00857FDD" w:rsidRPr="00180D9A" w14:paraId="32D950EF" w14:textId="77777777" w:rsidTr="00863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1BB" w14:textId="77777777" w:rsidR="00857FDD" w:rsidRPr="00180D9A" w:rsidRDefault="00857FDD">
            <w:r w:rsidRPr="00180D9A">
              <w:t>Energy Management Systems Assessment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744D" w14:textId="77777777" w:rsidR="00857FDD" w:rsidRPr="00180D9A" w:rsidRDefault="00857FDD">
            <w:r w:rsidRPr="00180D9A">
              <w:t>Emerging Technologies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80FF" w14:textId="77777777" w:rsidR="00857FDD" w:rsidRPr="00180D9A" w:rsidRDefault="00857FDD">
            <w:r w:rsidRPr="00180D9A">
              <w:t>HVAC, Lighting, Plug Load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7400" w14:textId="77777777" w:rsidR="00857FDD" w:rsidRPr="00180D9A" w:rsidRDefault="00857FDD">
            <w:r w:rsidRPr="00180D9A">
              <w:t>Integrated control systems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1B24" w14:textId="77777777" w:rsidR="00857FDD" w:rsidRPr="00180D9A" w:rsidRDefault="00857FDD">
            <w:r w:rsidRPr="00180D9A">
              <w:t>Currently in recruiting phase (10 SMB customers)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E036" w14:textId="77777777" w:rsidR="00857FDD" w:rsidRPr="00180D9A" w:rsidRDefault="00857FDD">
            <w:r w:rsidRPr="00180D9A">
              <w:t xml:space="preserve">Assessment will also allow for potential applications in DR of control systems. </w:t>
            </w:r>
          </w:p>
        </w:tc>
      </w:tr>
      <w:tr w:rsidR="00857FDD" w:rsidRPr="00180D9A" w14:paraId="7FF93C8A" w14:textId="77777777" w:rsidTr="008637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A814" w14:textId="77777777" w:rsidR="00857FDD" w:rsidRPr="00180D9A" w:rsidRDefault="00857FDD">
            <w:r w:rsidRPr="00180D9A">
              <w:t>Automated demand response for residential customers with EMTs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FD81" w14:textId="1CEC78BE" w:rsidR="00857FDD" w:rsidRPr="00180D9A" w:rsidRDefault="00C535F2">
            <w:r w:rsidRPr="00180D9A">
              <w:t>Residential plug load and appliance program, or Pay-for-Performance Program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0978" w14:textId="36E0E47F" w:rsidR="00857FDD" w:rsidRPr="00180D9A" w:rsidRDefault="00857FDD">
            <w:r w:rsidRPr="00180D9A">
              <w:t>Various</w:t>
            </w:r>
            <w:r w:rsidR="00C535F2" w:rsidRPr="00180D9A">
              <w:t xml:space="preserve"> (Pool pump, EV charging station, electric water heater, battery, air conditioning)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FEA2" w14:textId="77777777" w:rsidR="00857FDD" w:rsidRPr="00180D9A" w:rsidRDefault="00857FDD">
            <w:r w:rsidRPr="00180D9A">
              <w:t>Automated electric controls and strategies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75FA" w14:textId="5983D242" w:rsidR="00857FDD" w:rsidRPr="00180D9A" w:rsidRDefault="00857FDD">
            <w:r w:rsidRPr="00180D9A">
              <w:t>Late 2017</w:t>
            </w:r>
            <w:r w:rsidR="00C535F2" w:rsidRPr="00180D9A">
              <w:t xml:space="preserve"> start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CB97" w14:textId="77DED8AE" w:rsidR="00857FDD" w:rsidRPr="00180D9A" w:rsidRDefault="00857FDD" w:rsidP="00C535F2">
            <w:r w:rsidRPr="00180D9A">
              <w:t xml:space="preserve">Integrates with </w:t>
            </w:r>
            <w:r w:rsidR="00C535F2" w:rsidRPr="00180D9A">
              <w:t>DRAM, and SSII, XSP pilots</w:t>
            </w:r>
          </w:p>
        </w:tc>
      </w:tr>
      <w:tr w:rsidR="00857FDD" w:rsidRPr="00180D9A" w14:paraId="2FC9EBFA" w14:textId="77777777" w:rsidTr="00857F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6E6D" w14:textId="587E473D" w:rsidR="00857FDD" w:rsidRPr="00180D9A" w:rsidRDefault="00857FDD">
            <w:r w:rsidRPr="00180D9A">
              <w:t xml:space="preserve">Smart Thermostat </w:t>
            </w:r>
            <w:r w:rsidR="00FA7595" w:rsidRPr="00180D9A">
              <w:t xml:space="preserve"> Joint EE/DR </w:t>
            </w:r>
            <w:r w:rsidRPr="00180D9A">
              <w:t>Incentive</w:t>
            </w:r>
            <w:r w:rsidR="00FA7595" w:rsidRPr="00180D9A">
              <w:t xml:space="preserve"> </w:t>
            </w:r>
            <w:r w:rsidR="008637E0" w:rsidRPr="00180D9A">
              <w:t>($50 EE, $50 DR)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FB7A" w14:textId="77777777" w:rsidR="00857FDD" w:rsidRPr="00180D9A" w:rsidRDefault="00857FDD">
            <w:r w:rsidRPr="00180D9A">
              <w:t>Residential plug load and appliance program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53C8" w14:textId="77777777" w:rsidR="00857FDD" w:rsidRPr="00180D9A" w:rsidRDefault="00857FDD">
            <w:r w:rsidRPr="00180D9A">
              <w:t>HVAC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FF0B" w14:textId="77777777" w:rsidR="00857FDD" w:rsidRPr="00180D9A" w:rsidRDefault="00857FDD">
            <w:r w:rsidRPr="00180D9A">
              <w:t>Smart thermostats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0551" w14:textId="1EF4E519" w:rsidR="00857FDD" w:rsidRPr="00180D9A" w:rsidRDefault="00857FDD" w:rsidP="008637E0">
            <w:r w:rsidRPr="00180D9A">
              <w:t>06/15/17 – 12/31/17</w:t>
            </w:r>
            <w:r w:rsidR="008637E0" w:rsidRPr="00180D9A">
              <w:t xml:space="preserve"> (work paper)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B05E" w14:textId="03B110A9" w:rsidR="00857FDD" w:rsidRPr="00180D9A" w:rsidRDefault="00857FDD" w:rsidP="00FA7595">
            <w:r w:rsidRPr="00180D9A">
              <w:t>Smart thermostats enable participation in DR programs</w:t>
            </w:r>
            <w:r w:rsidR="00FA7595" w:rsidRPr="00180D9A">
              <w:t xml:space="preserve">.  </w:t>
            </w:r>
          </w:p>
        </w:tc>
      </w:tr>
      <w:tr w:rsidR="00857FDD" w:rsidRPr="00180D9A" w14:paraId="685F8EE6" w14:textId="77777777" w:rsidTr="00857FDD">
        <w:trPr>
          <w:trHeight w:val="1610"/>
        </w:trPr>
        <w:tc>
          <w:tcPr>
            <w:tcW w:w="2448" w:type="dxa"/>
          </w:tcPr>
          <w:p w14:paraId="34FA0C2F" w14:textId="77777777" w:rsidR="00857FDD" w:rsidRPr="00180D9A" w:rsidRDefault="00857FDD" w:rsidP="00BF00AF">
            <w:r w:rsidRPr="00180D9A">
              <w:t>Online energy technology marketplace</w:t>
            </w:r>
          </w:p>
          <w:p w14:paraId="77B23FDC" w14:textId="77777777" w:rsidR="00857FDD" w:rsidRPr="00180D9A" w:rsidRDefault="00857FDD" w:rsidP="00BF00AF"/>
          <w:p w14:paraId="666F0A23" w14:textId="2768FCF0" w:rsidR="00857FDD" w:rsidRPr="00180D9A" w:rsidRDefault="0019296E" w:rsidP="00BF00AF">
            <w:hyperlink r:id="rId8" w:history="1">
              <w:r w:rsidR="00857FDD" w:rsidRPr="00180D9A">
                <w:rPr>
                  <w:rStyle w:val="Hyperlink"/>
                  <w:rFonts w:eastAsia="Times New Roman"/>
                </w:rPr>
                <w:t>marketplace.PGE.com</w:t>
              </w:r>
            </w:hyperlink>
          </w:p>
        </w:tc>
        <w:tc>
          <w:tcPr>
            <w:tcW w:w="2790" w:type="dxa"/>
          </w:tcPr>
          <w:p w14:paraId="4CE4BF93" w14:textId="77777777" w:rsidR="00857FDD" w:rsidRPr="00180D9A" w:rsidRDefault="00857FDD" w:rsidP="00BF00AF">
            <w:pPr>
              <w:pStyle w:val="ListParagraph"/>
              <w:ind w:left="0"/>
            </w:pPr>
            <w:r w:rsidRPr="00180D9A">
              <w:t>NA</w:t>
            </w:r>
          </w:p>
        </w:tc>
        <w:tc>
          <w:tcPr>
            <w:tcW w:w="1710" w:type="dxa"/>
          </w:tcPr>
          <w:p w14:paraId="7E964297" w14:textId="77777777" w:rsidR="00857FDD" w:rsidRPr="00180D9A" w:rsidRDefault="00857FDD" w:rsidP="00BF00AF">
            <w:r w:rsidRPr="00180D9A">
              <w:t>HVAC, plug loads, water heaters, pool pumps, hot tubs, EVs and more</w:t>
            </w:r>
          </w:p>
        </w:tc>
        <w:tc>
          <w:tcPr>
            <w:tcW w:w="1655" w:type="dxa"/>
          </w:tcPr>
          <w:p w14:paraId="6585930A" w14:textId="77777777" w:rsidR="00857FDD" w:rsidRPr="00180D9A" w:rsidRDefault="00857FDD" w:rsidP="00BF00AF">
            <w:r w:rsidRPr="00180D9A">
              <w:t>Smart thermostats,</w:t>
            </w:r>
          </w:p>
          <w:p w14:paraId="5066CDF5" w14:textId="77777777" w:rsidR="00857FDD" w:rsidRPr="00180D9A" w:rsidRDefault="00857FDD" w:rsidP="00BF00AF">
            <w:r w:rsidRPr="00180D9A">
              <w:t>advanced power strips, 220V load timers</w:t>
            </w:r>
          </w:p>
          <w:p w14:paraId="12F81C5A" w14:textId="77777777" w:rsidR="00857FDD" w:rsidRPr="00180D9A" w:rsidRDefault="00857FDD" w:rsidP="00BF00AF"/>
        </w:tc>
        <w:tc>
          <w:tcPr>
            <w:tcW w:w="1675" w:type="dxa"/>
          </w:tcPr>
          <w:p w14:paraId="7CED9912" w14:textId="77777777" w:rsidR="00857FDD" w:rsidRPr="00180D9A" w:rsidRDefault="00857FDD" w:rsidP="00BF00AF">
            <w:r w:rsidRPr="00180D9A">
              <w:t>4Q 2017 as required by Res. E-4820</w:t>
            </w:r>
          </w:p>
          <w:p w14:paraId="53647532" w14:textId="77777777" w:rsidR="005F413A" w:rsidRPr="00180D9A" w:rsidRDefault="005F413A" w:rsidP="00BF00AF"/>
        </w:tc>
        <w:tc>
          <w:tcPr>
            <w:tcW w:w="3600" w:type="dxa"/>
          </w:tcPr>
          <w:p w14:paraId="4FF0EA76" w14:textId="77777777" w:rsidR="00857FDD" w:rsidRPr="00180D9A" w:rsidRDefault="00857FDD" w:rsidP="00BF00AF">
            <w:r w:rsidRPr="00180D9A">
              <w:t>Connected devices can be used for BYO device DR programs</w:t>
            </w:r>
          </w:p>
        </w:tc>
      </w:tr>
    </w:tbl>
    <w:p w14:paraId="51367443" w14:textId="77777777" w:rsidR="00EB77D7" w:rsidRPr="00180D9A" w:rsidRDefault="00EB77D7"/>
    <w:p w14:paraId="26723379" w14:textId="77777777" w:rsidR="00EB77D7" w:rsidRPr="00180D9A" w:rsidRDefault="00EB77D7"/>
    <w:tbl>
      <w:tblPr>
        <w:tblStyle w:val="TableGrid"/>
        <w:tblW w:w="136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4770"/>
        <w:gridCol w:w="1350"/>
        <w:gridCol w:w="2430"/>
        <w:gridCol w:w="1260"/>
        <w:gridCol w:w="1260"/>
      </w:tblGrid>
      <w:tr w:rsidR="004F7FD1" w:rsidRPr="00180D9A" w14:paraId="34C6428C" w14:textId="77777777" w:rsidTr="00857FDD"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CC6833" w14:textId="45C31488" w:rsidR="004F7FD1" w:rsidRPr="00180D9A" w:rsidRDefault="004F7FD1" w:rsidP="004F7FD1">
            <w:pPr>
              <w:jc w:val="center"/>
              <w:rPr>
                <w:b/>
                <w:sz w:val="32"/>
                <w:szCs w:val="32"/>
              </w:rPr>
            </w:pPr>
            <w:r w:rsidRPr="00180D9A">
              <w:rPr>
                <w:b/>
                <w:sz w:val="32"/>
                <w:szCs w:val="32"/>
              </w:rPr>
              <w:t>San Diego Gas &amp; Electric</w:t>
            </w:r>
          </w:p>
        </w:tc>
      </w:tr>
      <w:tr w:rsidR="004F7FD1" w:rsidRPr="00180D9A" w14:paraId="4DD98E6B" w14:textId="77777777" w:rsidTr="00857FD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C57BBA7" w14:textId="77777777" w:rsidR="004F7FD1" w:rsidRPr="00180D9A" w:rsidRDefault="004F7FD1">
            <w:pPr>
              <w:rPr>
                <w:b/>
              </w:rPr>
            </w:pPr>
            <w:r w:rsidRPr="00180D9A">
              <w:rPr>
                <w:b/>
              </w:rPr>
              <w:t>Integration Effort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CC6C4F1" w14:textId="77777777" w:rsidR="004F7FD1" w:rsidRPr="00180D9A" w:rsidRDefault="004F7FD1">
            <w:pPr>
              <w:rPr>
                <w:b/>
              </w:rPr>
            </w:pPr>
            <w:r w:rsidRPr="00180D9A">
              <w:rPr>
                <w:b/>
              </w:rPr>
              <w:t>EE Program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07E3222" w14:textId="77777777" w:rsidR="004F7FD1" w:rsidRPr="00180D9A" w:rsidRDefault="004F7FD1">
            <w:pPr>
              <w:rPr>
                <w:b/>
              </w:rPr>
            </w:pPr>
            <w:r w:rsidRPr="00180D9A">
              <w:rPr>
                <w:b/>
              </w:rPr>
              <w:t>EE End Use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456215C" w14:textId="77777777" w:rsidR="004F7FD1" w:rsidRPr="00180D9A" w:rsidRDefault="004F7FD1">
            <w:pPr>
              <w:rPr>
                <w:b/>
              </w:rPr>
            </w:pPr>
            <w:r w:rsidRPr="00180D9A">
              <w:rPr>
                <w:b/>
              </w:rPr>
              <w:t>EE/DR Control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74AAC8D" w14:textId="77777777" w:rsidR="004F7FD1" w:rsidRPr="00180D9A" w:rsidRDefault="004F7FD1">
            <w:pPr>
              <w:rPr>
                <w:b/>
              </w:rPr>
            </w:pPr>
            <w:r w:rsidRPr="00180D9A">
              <w:rPr>
                <w:b/>
              </w:rPr>
              <w:t>Timing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6CA66E0" w14:textId="77777777" w:rsidR="004F7FD1" w:rsidRPr="00180D9A" w:rsidRDefault="004F7FD1">
            <w:pPr>
              <w:rPr>
                <w:b/>
              </w:rPr>
            </w:pPr>
            <w:r w:rsidRPr="00180D9A">
              <w:rPr>
                <w:b/>
              </w:rPr>
              <w:t>DR Program(s) Connection</w:t>
            </w:r>
          </w:p>
        </w:tc>
      </w:tr>
      <w:tr w:rsidR="004F7FD1" w:rsidRPr="00180D9A" w14:paraId="1B1CF53E" w14:textId="77777777" w:rsidTr="00857FDD">
        <w:trPr>
          <w:trHeight w:val="20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8034" w14:textId="77777777" w:rsidR="004F7FD1" w:rsidRPr="00180D9A" w:rsidRDefault="004F7FD1">
            <w:r w:rsidRPr="00180D9A">
              <w:t>$50 EE rebate for purchase, $50 DR incentive for network connectivity, potential for more based on usage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22DB" w14:textId="77777777" w:rsidR="004F7FD1" w:rsidRPr="00180D9A" w:rsidRDefault="004F7FD1" w:rsidP="004F7FD1">
            <w:pPr>
              <w:pStyle w:val="ListParagraph"/>
              <w:numPr>
                <w:ilvl w:val="0"/>
                <w:numId w:val="2"/>
              </w:numPr>
            </w:pPr>
            <w:r w:rsidRPr="00180D9A">
              <w:t>Residential Plug Load and Appliance (PLA) program through Marketplace platform</w:t>
            </w:r>
          </w:p>
          <w:p w14:paraId="405E0ED7" w14:textId="77777777" w:rsidR="004F7FD1" w:rsidRPr="00180D9A" w:rsidRDefault="004F7FD1" w:rsidP="004F7FD1">
            <w:pPr>
              <w:pStyle w:val="ListParagraph"/>
              <w:numPr>
                <w:ilvl w:val="0"/>
                <w:numId w:val="2"/>
              </w:numPr>
            </w:pPr>
            <w:r w:rsidRPr="00180D9A">
              <w:t>Looking to incorporate via Point of Sale (POS) program</w:t>
            </w:r>
          </w:p>
          <w:p w14:paraId="736C1B81" w14:textId="77777777" w:rsidR="004F7FD1" w:rsidRPr="00180D9A" w:rsidRDefault="004F7FD1" w:rsidP="004F7FD1">
            <w:pPr>
              <w:pStyle w:val="ListParagraph"/>
              <w:numPr>
                <w:ilvl w:val="0"/>
                <w:numId w:val="2"/>
              </w:numPr>
            </w:pPr>
            <w:r w:rsidRPr="00180D9A">
              <w:t>Also looking to incorporate into direct install programs such as MFEER, Comprehensive Mobile Home, Middle Income Direct Install programs</w:t>
            </w:r>
          </w:p>
          <w:p w14:paraId="1568160F" w14:textId="77777777" w:rsidR="004F7FD1" w:rsidRPr="00180D9A" w:rsidRDefault="004F7FD1" w:rsidP="004F7FD1">
            <w:pPr>
              <w:pStyle w:val="ListParagraph"/>
              <w:numPr>
                <w:ilvl w:val="0"/>
                <w:numId w:val="2"/>
              </w:numPr>
            </w:pPr>
            <w:r w:rsidRPr="00180D9A">
              <w:t>Considering a low-income option later in 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EA08" w14:textId="77777777" w:rsidR="004F7FD1" w:rsidRPr="00180D9A" w:rsidRDefault="004F7FD1">
            <w:r w:rsidRPr="00180D9A">
              <w:t>Air conditioning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11AB" w14:textId="77777777" w:rsidR="004F7FD1" w:rsidRPr="00180D9A" w:rsidRDefault="004F7FD1">
            <w:r w:rsidRPr="00180D9A">
              <w:t>Programmable Communicating Thermostat (PCT)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A204" w14:textId="77777777" w:rsidR="004F7FD1" w:rsidRPr="00180D9A" w:rsidRDefault="004F7FD1">
            <w:r w:rsidRPr="00180D9A">
              <w:t>DR is currently active, EE rebate anticipated June 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4593" w14:textId="77777777" w:rsidR="004F7FD1" w:rsidRPr="00180D9A" w:rsidRDefault="004F7FD1"/>
        </w:tc>
      </w:tr>
      <w:tr w:rsidR="004F7FD1" w:rsidRPr="00180D9A" w14:paraId="4984337E" w14:textId="77777777" w:rsidTr="00857FDD">
        <w:trPr>
          <w:trHeight w:val="13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0106" w14:textId="77777777" w:rsidR="004F7FD1" w:rsidRPr="00180D9A" w:rsidRDefault="004F7FD1">
            <w:r w:rsidRPr="00180D9A">
              <w:t>EE funds approximately 60% of the program and DR the remaining 40%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112E" w14:textId="77777777" w:rsidR="004F7FD1" w:rsidRPr="00180D9A" w:rsidRDefault="004F7FD1" w:rsidP="004F7FD1">
            <w:pPr>
              <w:pStyle w:val="ListParagraph"/>
              <w:numPr>
                <w:ilvl w:val="0"/>
                <w:numId w:val="2"/>
              </w:numPr>
            </w:pPr>
            <w:r w:rsidRPr="00180D9A">
              <w:t>Behavioral program, which compares consumption to similar homes.  SDG&amp;E has approximately 505,000 customers on the program, receiving electronic and/or paper reports.  Customers are educated on EE and DR initiatives.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EEED" w14:textId="77777777" w:rsidR="004F7FD1" w:rsidRPr="00180D9A" w:rsidRDefault="004F7FD1">
            <w:r w:rsidRPr="00180D9A">
              <w:t>Behavioral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AC14" w14:textId="77777777" w:rsidR="004F7FD1" w:rsidRPr="00180D9A" w:rsidRDefault="004F7FD1">
            <w:r w:rsidRPr="00180D9A">
              <w:t>Shared program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34A9" w14:textId="77777777" w:rsidR="004F7FD1" w:rsidRPr="00180D9A" w:rsidRDefault="004F7FD1">
            <w:r w:rsidRPr="00180D9A">
              <w:t>Currently in place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167A" w14:textId="77777777" w:rsidR="004F7FD1" w:rsidRPr="00180D9A" w:rsidRDefault="004F7FD1"/>
        </w:tc>
      </w:tr>
      <w:tr w:rsidR="004F7FD1" w:rsidRPr="00180D9A" w14:paraId="605E8C15" w14:textId="77777777" w:rsidTr="00857FDD">
        <w:trPr>
          <w:trHeight w:val="21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3533" w14:textId="77777777" w:rsidR="004F7FD1" w:rsidRPr="00180D9A" w:rsidRDefault="004F7FD1">
            <w:r w:rsidRPr="00180D9A">
              <w:t>EE is considering promoting smart/connected lighting to accompany the PCT offer.  This is intended to introduce customers to the connected home space.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C9DC" w14:textId="77777777" w:rsidR="004F7FD1" w:rsidRPr="00180D9A" w:rsidRDefault="004F7FD1">
            <w:r w:rsidRPr="00180D9A">
              <w:t>Lighting Innovation / Lighting Market Transformation</w:t>
            </w:r>
          </w:p>
          <w:p w14:paraId="3F95B8CA" w14:textId="77777777" w:rsidR="004F7FD1" w:rsidRPr="00180D9A" w:rsidRDefault="004F7FD1"/>
          <w:p w14:paraId="6DDEFC3D" w14:textId="77777777" w:rsidR="004F7FD1" w:rsidRPr="00180D9A" w:rsidRDefault="004F7FD1"/>
          <w:p w14:paraId="1E7FAEB7" w14:textId="77777777" w:rsidR="004F7FD1" w:rsidRPr="00180D9A" w:rsidRDefault="004F7FD1"/>
          <w:p w14:paraId="235E7461" w14:textId="77777777" w:rsidR="004F7FD1" w:rsidRPr="00180D9A" w:rsidRDefault="004F7FD1"/>
          <w:p w14:paraId="79A3752B" w14:textId="77777777" w:rsidR="004F7FD1" w:rsidRPr="00180D9A" w:rsidRDefault="004F7FD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DADA" w14:textId="77777777" w:rsidR="004F7FD1" w:rsidRPr="00180D9A" w:rsidRDefault="004F7FD1">
            <w:r w:rsidRPr="00180D9A">
              <w:t>Smart / connected lighting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83C8" w14:textId="77777777" w:rsidR="004F7FD1" w:rsidRPr="00180D9A" w:rsidRDefault="004F7FD1">
            <w:r w:rsidRPr="00180D9A">
              <w:t>Potential for connected lighting to be utilized by customers during DR events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7E67" w14:textId="77777777" w:rsidR="004F7FD1" w:rsidRPr="00180D9A" w:rsidRDefault="004F7FD1">
            <w:r w:rsidRPr="00180D9A">
              <w:t>Anticipated Q3 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ABA" w14:textId="77777777" w:rsidR="004F7FD1" w:rsidRPr="00180D9A" w:rsidRDefault="004F7FD1"/>
        </w:tc>
      </w:tr>
      <w:tr w:rsidR="004F7FD1" w:rsidRPr="00180D9A" w14:paraId="58EBDD61" w14:textId="77777777" w:rsidTr="00857FDD">
        <w:trPr>
          <w:trHeight w:val="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EBA8" w14:textId="77777777" w:rsidR="004F7FD1" w:rsidRPr="00180D9A" w:rsidRDefault="004F7FD1">
            <w:r w:rsidRPr="00180D9A">
              <w:t>Low Temp Refrigeration Phase Change Materials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4055" w14:textId="77777777" w:rsidR="004F7FD1" w:rsidRPr="00180D9A" w:rsidRDefault="004F7FD1">
            <w:r w:rsidRPr="00180D9A">
              <w:t>Emerging Technology Energy Efficiency Program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CE7B" w14:textId="77777777" w:rsidR="004F7FD1" w:rsidRPr="00180D9A" w:rsidRDefault="004F7FD1">
            <w:r w:rsidRPr="00180D9A">
              <w:t>Low Temp Refrigeration System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7B5E" w14:textId="4DF78DB8" w:rsidR="004F7FD1" w:rsidRPr="00180D9A" w:rsidRDefault="004F7FD1">
            <w:r w:rsidRPr="00180D9A">
              <w:t>Refrigeration Controls Overlay for Compressor and Fan Staging</w:t>
            </w:r>
            <w:r w:rsidRPr="00180D9A">
              <w:br/>
            </w:r>
            <w:hyperlink r:id="rId9" w:history="1">
              <w:r w:rsidRPr="00180D9A">
                <w:rPr>
                  <w:rStyle w:val="Hyperlink"/>
                </w:rPr>
                <w:t>http://www.etcc-ca.com/reports/phase-change-material-and-controls-study-low-temp-refrigeration-applications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B6E4" w14:textId="77777777" w:rsidR="004F7FD1" w:rsidRPr="00180D9A" w:rsidRDefault="004F7FD1">
            <w:r w:rsidRPr="00180D9A">
              <w:t xml:space="preserve">Project Complete in 2016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187B" w14:textId="77777777" w:rsidR="004F7FD1" w:rsidRPr="00180D9A" w:rsidRDefault="004F7FD1">
            <w:r w:rsidRPr="00180D9A">
              <w:t>Emerging Technology Demand Response Program</w:t>
            </w:r>
          </w:p>
        </w:tc>
      </w:tr>
      <w:tr w:rsidR="004F7FD1" w:rsidRPr="00180D9A" w14:paraId="290D7B4A" w14:textId="77777777" w:rsidTr="00857FDD">
        <w:trPr>
          <w:trHeight w:val="18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301" w14:textId="77777777" w:rsidR="004F7FD1" w:rsidRPr="00180D9A" w:rsidRDefault="004F7FD1">
            <w:pPr>
              <w:rPr>
                <w:rFonts w:ascii="Arial" w:hAnsi="Arial" w:cs="Arial"/>
                <w:sz w:val="20"/>
                <w:szCs w:val="20"/>
              </w:rPr>
            </w:pPr>
            <w:r w:rsidRPr="00180D9A">
              <w:rPr>
                <w:rFonts w:ascii="Arial" w:hAnsi="Arial" w:cs="Arial"/>
                <w:sz w:val="20"/>
                <w:szCs w:val="20"/>
              </w:rPr>
              <w:lastRenderedPageBreak/>
              <w:t>Maintenance and Advanced Rooftop Controls</w:t>
            </w:r>
          </w:p>
          <w:p w14:paraId="5E7DE55D" w14:textId="77777777" w:rsidR="004F7FD1" w:rsidRPr="00180D9A" w:rsidRDefault="004F7FD1"/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FF1F" w14:textId="77777777" w:rsidR="004F7FD1" w:rsidRPr="00180D9A" w:rsidRDefault="004F7FD1">
            <w:r w:rsidRPr="00180D9A">
              <w:t>Emerging Technology Energy Efficiency Program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1609" w14:textId="77777777" w:rsidR="004F7FD1" w:rsidRPr="00180D9A" w:rsidRDefault="004F7FD1">
            <w:r w:rsidRPr="00180D9A">
              <w:t>Commercial Package Units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45F0" w14:textId="77777777" w:rsidR="004F7FD1" w:rsidRPr="00180D9A" w:rsidRDefault="004F7FD1">
            <w:r w:rsidRPr="00180D9A">
              <w:t>Controls add-on for Commercial Package Units</w:t>
            </w:r>
          </w:p>
          <w:p w14:paraId="2EC0A556" w14:textId="53ED342D" w:rsidR="004F7FD1" w:rsidRPr="00180D9A" w:rsidRDefault="0019296E">
            <w:hyperlink r:id="rId10" w:history="1">
              <w:r w:rsidR="004F7FD1" w:rsidRPr="00180D9A">
                <w:rPr>
                  <w:rStyle w:val="Hyperlink"/>
                </w:rPr>
                <w:t>http://www.etcc-ca.com/reports/maintenance-and-advanced-rooftop-controls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9368" w14:textId="77777777" w:rsidR="004F7FD1" w:rsidRPr="00180D9A" w:rsidRDefault="004F7FD1">
            <w:r w:rsidRPr="00180D9A">
              <w:t>Project Complete in 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DB57" w14:textId="77777777" w:rsidR="004F7FD1" w:rsidRPr="00180D9A" w:rsidRDefault="004F7FD1">
            <w:r w:rsidRPr="00180D9A">
              <w:t>Emerging Technology Demand Response Program</w:t>
            </w:r>
          </w:p>
        </w:tc>
      </w:tr>
      <w:tr w:rsidR="004F7FD1" w:rsidRPr="00180D9A" w14:paraId="792E1416" w14:textId="77777777" w:rsidTr="00857FDD">
        <w:trPr>
          <w:trHeight w:val="162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81D4" w14:textId="77777777" w:rsidR="004F7FD1" w:rsidRPr="00180D9A" w:rsidRDefault="004F7FD1">
            <w:pPr>
              <w:rPr>
                <w:rFonts w:ascii="Arial" w:hAnsi="Arial" w:cs="Arial"/>
                <w:sz w:val="20"/>
                <w:szCs w:val="20"/>
              </w:rPr>
            </w:pPr>
            <w:r w:rsidRPr="00180D9A">
              <w:rPr>
                <w:rFonts w:ascii="Arial" w:hAnsi="Arial" w:cs="Arial"/>
                <w:sz w:val="20"/>
                <w:szCs w:val="20"/>
              </w:rPr>
              <w:t>Whole Home Energy Management System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617A" w14:textId="77777777" w:rsidR="004F7FD1" w:rsidRPr="00180D9A" w:rsidRDefault="004F7FD1">
            <w:r w:rsidRPr="00180D9A">
              <w:t>Emerging Technology Energy Efficiency Program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7FC1" w14:textId="77777777" w:rsidR="004F7FD1" w:rsidRPr="00180D9A" w:rsidRDefault="004F7FD1">
            <w:r w:rsidRPr="00180D9A">
              <w:t>Wide variety of residential end uses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E175" w14:textId="77777777" w:rsidR="004F7FD1" w:rsidRPr="00180D9A" w:rsidRDefault="004F7FD1">
            <w:r w:rsidRPr="00180D9A">
              <w:t>Multiple end uses.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373E" w14:textId="29B91531" w:rsidR="004F7FD1" w:rsidRPr="00180D9A" w:rsidRDefault="004F7FD1" w:rsidP="00933BF9">
            <w:r w:rsidRPr="00180D9A">
              <w:t>Project schedule</w:t>
            </w:r>
            <w:r w:rsidR="00933BF9" w:rsidRPr="00180D9A">
              <w:t xml:space="preserve">d </w:t>
            </w:r>
            <w:r w:rsidRPr="00180D9A">
              <w:t>to be complete in Q4 of 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3B64" w14:textId="77777777" w:rsidR="004F7FD1" w:rsidRPr="00180D9A" w:rsidRDefault="004F7FD1">
            <w:r w:rsidRPr="00180D9A">
              <w:t>Emerging Technology Demand Response Program</w:t>
            </w:r>
          </w:p>
        </w:tc>
      </w:tr>
      <w:tr w:rsidR="004F7FD1" w:rsidRPr="00180D9A" w14:paraId="4D36922C" w14:textId="77777777" w:rsidTr="00857FDD">
        <w:trPr>
          <w:trHeight w:val="168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8900" w14:textId="77777777" w:rsidR="004F7FD1" w:rsidRPr="00180D9A" w:rsidRDefault="004F7FD1">
            <w:pPr>
              <w:rPr>
                <w:rFonts w:cstheme="minorHAnsi"/>
              </w:rPr>
            </w:pPr>
            <w:r w:rsidRPr="00180D9A">
              <w:rPr>
                <w:rFonts w:cstheme="minorHAnsi"/>
              </w:rPr>
              <w:t>Wireless Lighting Controls - Automated Demand Response</w:t>
            </w:r>
          </w:p>
          <w:p w14:paraId="7025B7DD" w14:textId="77777777" w:rsidR="004F7FD1" w:rsidRPr="00180D9A" w:rsidRDefault="004F7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84A8" w14:textId="77777777" w:rsidR="004F7FD1" w:rsidRPr="00180D9A" w:rsidRDefault="004F7FD1">
            <w:r w:rsidRPr="00180D9A">
              <w:t>Emerging Technology Energy Efficiency Program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061C" w14:textId="053C009E" w:rsidR="004F7FD1" w:rsidRPr="00180D9A" w:rsidRDefault="004F7FD1">
            <w:r w:rsidRPr="00180D9A">
              <w:t>Replaci</w:t>
            </w:r>
            <w:r w:rsidR="00933BF9" w:rsidRPr="00180D9A">
              <w:t>ng existing T8’s with LED’s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3B5D" w14:textId="77777777" w:rsidR="004F7FD1" w:rsidRPr="00180D9A" w:rsidRDefault="004F7FD1">
            <w:r w:rsidRPr="00180D9A">
              <w:t>LED Lighting</w:t>
            </w:r>
          </w:p>
          <w:p w14:paraId="4B96C243" w14:textId="017A8281" w:rsidR="004F7FD1" w:rsidRPr="00180D9A" w:rsidRDefault="0019296E">
            <w:hyperlink r:id="rId11" w:history="1">
              <w:r w:rsidR="004F7FD1" w:rsidRPr="00180D9A">
                <w:rPr>
                  <w:rStyle w:val="Hyperlink"/>
                </w:rPr>
                <w:t>http://www.etcc-ca.com/reports/wireless-lighting-controls-automated-demand-response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594E" w14:textId="77777777" w:rsidR="004F7FD1" w:rsidRPr="00180D9A" w:rsidRDefault="004F7FD1">
            <w:r w:rsidRPr="00180D9A">
              <w:t>Project completed in 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04CA" w14:textId="77777777" w:rsidR="004F7FD1" w:rsidRPr="00180D9A" w:rsidRDefault="004F7FD1">
            <w:r w:rsidRPr="00180D9A">
              <w:t>Emerging Technology Demand Response Program</w:t>
            </w:r>
          </w:p>
        </w:tc>
      </w:tr>
      <w:tr w:rsidR="005B7FE4" w:rsidRPr="00180D9A" w14:paraId="54800498" w14:textId="77777777" w:rsidTr="00857FDD">
        <w:trPr>
          <w:trHeight w:val="168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D3D3" w14:textId="77777777" w:rsidR="005B7FE4" w:rsidRPr="00180D9A" w:rsidRDefault="005B7FE4">
            <w:r w:rsidRPr="00180D9A">
              <w:t>Online energy technology marketplace</w:t>
            </w:r>
          </w:p>
          <w:p w14:paraId="08A524E4" w14:textId="77777777" w:rsidR="005B7FE4" w:rsidRPr="00180D9A" w:rsidRDefault="005B7FE4"/>
          <w:p w14:paraId="118D52F6" w14:textId="77777777" w:rsidR="005B7FE4" w:rsidRPr="00180D9A" w:rsidRDefault="0019296E" w:rsidP="005B7FE4">
            <w:pPr>
              <w:rPr>
                <w:rFonts w:eastAsia="Times New Roman"/>
              </w:rPr>
            </w:pPr>
            <w:hyperlink r:id="rId12" w:history="1">
              <w:r w:rsidR="005B7FE4" w:rsidRPr="00180D9A">
                <w:rPr>
                  <w:rStyle w:val="Hyperlink"/>
                  <w:rFonts w:eastAsia="Times New Roman"/>
                </w:rPr>
                <w:t>marketplace.SDGE.com</w:t>
              </w:r>
            </w:hyperlink>
          </w:p>
          <w:p w14:paraId="1A1FEA3B" w14:textId="6561218E" w:rsidR="005B7FE4" w:rsidRPr="00180D9A" w:rsidRDefault="005B7FE4">
            <w:pPr>
              <w:rPr>
                <w:rFonts w:cstheme="minorHAnsi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9035" w14:textId="5A511FD9" w:rsidR="005B7FE4" w:rsidRPr="00180D9A" w:rsidRDefault="005B7FE4">
            <w:r w:rsidRPr="00180D9A">
              <w:t>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12A0" w14:textId="753FAACF" w:rsidR="005B7FE4" w:rsidRPr="00180D9A" w:rsidRDefault="005B7FE4">
            <w:r w:rsidRPr="00180D9A">
              <w:t>HVAC, plug loads, water heaters, pool pumps, hot tubs, EVs and more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561" w14:textId="77777777" w:rsidR="005B7FE4" w:rsidRPr="00180D9A" w:rsidRDefault="005B7FE4" w:rsidP="00930CB4">
            <w:r w:rsidRPr="00180D9A">
              <w:t>Smart thermostats,</w:t>
            </w:r>
          </w:p>
          <w:p w14:paraId="6808EF94" w14:textId="77777777" w:rsidR="005B7FE4" w:rsidRPr="00180D9A" w:rsidRDefault="005B7FE4" w:rsidP="00930CB4">
            <w:r w:rsidRPr="00180D9A">
              <w:t>advanced power strips, 220V load timers</w:t>
            </w:r>
          </w:p>
          <w:p w14:paraId="75AD6800" w14:textId="77777777" w:rsidR="005B7FE4" w:rsidRPr="00180D9A" w:rsidRDefault="005B7FE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CD13" w14:textId="39DBFCB3" w:rsidR="005B7FE4" w:rsidRPr="00180D9A" w:rsidRDefault="005B7FE4">
            <w:r w:rsidRPr="00180D9A">
              <w:t>4Q 2017 as required by Res. E-4820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1C28" w14:textId="477A2323" w:rsidR="005B7FE4" w:rsidRPr="00180D9A" w:rsidRDefault="005B7FE4">
            <w:r w:rsidRPr="00180D9A">
              <w:t>Connected devices can be used for BYO device DR programs</w:t>
            </w:r>
          </w:p>
        </w:tc>
      </w:tr>
    </w:tbl>
    <w:p w14:paraId="41928531" w14:textId="77777777" w:rsidR="004F7FD1" w:rsidRPr="00180D9A" w:rsidRDefault="004F7FD1" w:rsidP="004F7FD1"/>
    <w:tbl>
      <w:tblPr>
        <w:tblStyle w:val="TableGrid"/>
        <w:tblW w:w="138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02"/>
        <w:gridCol w:w="5460"/>
        <w:gridCol w:w="1638"/>
        <w:gridCol w:w="1910"/>
        <w:gridCol w:w="870"/>
        <w:gridCol w:w="1950"/>
      </w:tblGrid>
      <w:tr w:rsidR="004F7FD1" w:rsidRPr="00180D9A" w14:paraId="511140E0" w14:textId="77777777" w:rsidTr="00EB77D7">
        <w:trPr>
          <w:trHeight w:val="132"/>
        </w:trPr>
        <w:tc>
          <w:tcPr>
            <w:tcW w:w="1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D0C6F29" w14:textId="4FF21122" w:rsidR="004F7FD1" w:rsidRPr="00180D9A" w:rsidRDefault="004F7FD1">
            <w:pPr>
              <w:jc w:val="center"/>
              <w:rPr>
                <w:b/>
              </w:rPr>
            </w:pPr>
            <w:r w:rsidRPr="00180D9A">
              <w:rPr>
                <w:b/>
              </w:rPr>
              <w:t>Under Consideration or Study SDG&amp;E</w:t>
            </w:r>
          </w:p>
        </w:tc>
      </w:tr>
      <w:tr w:rsidR="004F7FD1" w:rsidRPr="00180D9A" w14:paraId="41E33367" w14:textId="77777777" w:rsidTr="0069208A">
        <w:trPr>
          <w:trHeight w:val="65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A812" w14:textId="77777777" w:rsidR="004F7FD1" w:rsidRPr="00180D9A" w:rsidRDefault="004F7FD1">
            <w:r w:rsidRPr="00180D9A">
              <w:t>Small Commercial Energy Management System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7417" w14:textId="77777777" w:rsidR="004F7FD1" w:rsidRPr="00180D9A" w:rsidRDefault="004F7FD1">
            <w:r w:rsidRPr="00180D9A">
              <w:t>Emerging Technology Energy Efficiency Program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36A6" w14:textId="77777777" w:rsidR="004F7FD1" w:rsidRPr="00180D9A" w:rsidRDefault="004F7FD1">
            <w:r w:rsidRPr="00180D9A">
              <w:t>To Be Determined – Generally targeting major end uses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6329" w14:textId="77777777" w:rsidR="004F7FD1" w:rsidRPr="00180D9A" w:rsidRDefault="004F7FD1">
            <w:r w:rsidRPr="00180D9A">
              <w:t>To Be Determined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ED91" w14:textId="4A5C5FFF" w:rsidR="004F7FD1" w:rsidRPr="00180D9A" w:rsidRDefault="00FA7595">
            <w:r w:rsidRPr="00180D9A">
              <w:t>TBD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AD11" w14:textId="77777777" w:rsidR="004F7FD1" w:rsidRPr="00180D9A" w:rsidRDefault="004F7FD1">
            <w:r w:rsidRPr="00180D9A">
              <w:t>Emerging Technology Demand Response Program</w:t>
            </w:r>
          </w:p>
        </w:tc>
      </w:tr>
      <w:tr w:rsidR="004F7FD1" w14:paraId="1588E1A8" w14:textId="77777777" w:rsidTr="00180D9A">
        <w:trPr>
          <w:trHeight w:val="7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C22C" w14:textId="77777777" w:rsidR="004F7FD1" w:rsidRPr="00180D9A" w:rsidRDefault="004F7FD1">
            <w:r w:rsidRPr="00180D9A">
              <w:t>Advanced Lighting Controls Calculator - Field Evaluation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DDF7" w14:textId="77777777" w:rsidR="004F7FD1" w:rsidRPr="00180D9A" w:rsidRDefault="004F7FD1">
            <w:r w:rsidRPr="00180D9A">
              <w:t>Emerging Technology Energy Efficiency Program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0740" w14:textId="77777777" w:rsidR="004F7FD1" w:rsidRPr="00180D9A" w:rsidRDefault="004F7FD1">
            <w:r w:rsidRPr="00180D9A">
              <w:t>Lighting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F6C6" w14:textId="77777777" w:rsidR="004F7FD1" w:rsidRPr="00180D9A" w:rsidRDefault="004F7FD1">
            <w:r w:rsidRPr="00180D9A">
              <w:t>Lighting dimming and control based on sensors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B936" w14:textId="06006925" w:rsidR="004F7FD1" w:rsidRPr="00180D9A" w:rsidRDefault="00FA7595">
            <w:r w:rsidRPr="00180D9A">
              <w:t>TBD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17B3" w14:textId="77777777" w:rsidR="004F7FD1" w:rsidRPr="00180D9A" w:rsidRDefault="004F7FD1">
            <w:r w:rsidRPr="00180D9A">
              <w:t>Emerging Technology Demand Response Program</w:t>
            </w:r>
          </w:p>
        </w:tc>
      </w:tr>
    </w:tbl>
    <w:p w14:paraId="25708400" w14:textId="77777777" w:rsidR="00EE6508" w:rsidRDefault="00EE6508"/>
    <w:sectPr w:rsidR="00EE6508" w:rsidSect="00EB77D7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5FC1A" w14:textId="77777777" w:rsidR="0019296E" w:rsidRDefault="0019296E" w:rsidP="00772E8B">
      <w:r>
        <w:separator/>
      </w:r>
    </w:p>
  </w:endnote>
  <w:endnote w:type="continuationSeparator" w:id="0">
    <w:p w14:paraId="41FBE831" w14:textId="77777777" w:rsidR="0019296E" w:rsidRDefault="0019296E" w:rsidP="0077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CA3CD" w14:textId="77777777" w:rsidR="0019296E" w:rsidRDefault="0019296E" w:rsidP="00772E8B">
      <w:r>
        <w:separator/>
      </w:r>
    </w:p>
  </w:footnote>
  <w:footnote w:type="continuationSeparator" w:id="0">
    <w:p w14:paraId="773862AD" w14:textId="77777777" w:rsidR="0019296E" w:rsidRDefault="0019296E" w:rsidP="00772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B06FB" w14:textId="78B06449" w:rsidR="00772E8B" w:rsidRDefault="00772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7641"/>
    <w:multiLevelType w:val="hybridMultilevel"/>
    <w:tmpl w:val="DFFE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mee Wong">
    <w15:presenceInfo w15:providerId="None" w15:userId="Aimee Wong"/>
  </w15:person>
  <w15:person w15:author="David LeBlond">
    <w15:presenceInfo w15:providerId="AD" w15:userId="S-1-5-21-2559334742-469970549-2024990295-112542"/>
  </w15:person>
  <w15:person w15:author="Derek Okada">
    <w15:presenceInfo w15:providerId="None" w15:userId="Derek Ok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35"/>
    <w:rsid w:val="0000455E"/>
    <w:rsid w:val="00007F2D"/>
    <w:rsid w:val="00180D9A"/>
    <w:rsid w:val="0019296E"/>
    <w:rsid w:val="002256A6"/>
    <w:rsid w:val="00262D21"/>
    <w:rsid w:val="00270A84"/>
    <w:rsid w:val="0029250F"/>
    <w:rsid w:val="002D0BDD"/>
    <w:rsid w:val="002E3DAB"/>
    <w:rsid w:val="003B63DC"/>
    <w:rsid w:val="003F21F4"/>
    <w:rsid w:val="004B68C5"/>
    <w:rsid w:val="004F7FD1"/>
    <w:rsid w:val="00584D90"/>
    <w:rsid w:val="005B7FE4"/>
    <w:rsid w:val="005F413A"/>
    <w:rsid w:val="00645B05"/>
    <w:rsid w:val="0069208A"/>
    <w:rsid w:val="006A2466"/>
    <w:rsid w:val="00772E8B"/>
    <w:rsid w:val="007B38E0"/>
    <w:rsid w:val="00857FDD"/>
    <w:rsid w:val="008637E0"/>
    <w:rsid w:val="00933BF9"/>
    <w:rsid w:val="009542B0"/>
    <w:rsid w:val="00B004C1"/>
    <w:rsid w:val="00B245A7"/>
    <w:rsid w:val="00B4639A"/>
    <w:rsid w:val="00B60CCB"/>
    <w:rsid w:val="00BD7D8D"/>
    <w:rsid w:val="00C00575"/>
    <w:rsid w:val="00C535F2"/>
    <w:rsid w:val="00C66035"/>
    <w:rsid w:val="00C87FE3"/>
    <w:rsid w:val="00C9125B"/>
    <w:rsid w:val="00E41478"/>
    <w:rsid w:val="00E51841"/>
    <w:rsid w:val="00EA099E"/>
    <w:rsid w:val="00EB77D7"/>
    <w:rsid w:val="00EE6508"/>
    <w:rsid w:val="00F90039"/>
    <w:rsid w:val="00F969E9"/>
    <w:rsid w:val="00FA7208"/>
    <w:rsid w:val="00FA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2F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E8B"/>
  </w:style>
  <w:style w:type="paragraph" w:styleId="Footer">
    <w:name w:val="footer"/>
    <w:basedOn w:val="Normal"/>
    <w:link w:val="FooterChar"/>
    <w:uiPriority w:val="99"/>
    <w:unhideWhenUsed/>
    <w:rsid w:val="00772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E8B"/>
  </w:style>
  <w:style w:type="paragraph" w:styleId="ListParagraph">
    <w:name w:val="List Paragraph"/>
    <w:basedOn w:val="Normal"/>
    <w:uiPriority w:val="34"/>
    <w:qFormat/>
    <w:rsid w:val="00FA7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1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8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F7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E8B"/>
  </w:style>
  <w:style w:type="paragraph" w:styleId="Footer">
    <w:name w:val="footer"/>
    <w:basedOn w:val="Normal"/>
    <w:link w:val="FooterChar"/>
    <w:uiPriority w:val="99"/>
    <w:unhideWhenUsed/>
    <w:rsid w:val="00772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E8B"/>
  </w:style>
  <w:style w:type="paragraph" w:styleId="ListParagraph">
    <w:name w:val="List Paragraph"/>
    <w:basedOn w:val="Normal"/>
    <w:uiPriority w:val="34"/>
    <w:qFormat/>
    <w:rsid w:val="00FA7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1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8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F7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place.PGE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rketplace.SDGE.com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tcc-ca.com/reports/wireless-lighting-controls-automated-demand-respon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tcc-ca.com/reports/maintenance-and-advanced-rooftop-contr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cc-ca.com/reports/phase-change-material-and-controls-study-low-temp-refrigeration-applica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Lamming, Jean A.</dc:creator>
  <cp:lastModifiedBy>Lamming, Jean A.</cp:lastModifiedBy>
  <cp:revision>14</cp:revision>
  <dcterms:created xsi:type="dcterms:W3CDTF">2017-06-22T18:10:00Z</dcterms:created>
  <dcterms:modified xsi:type="dcterms:W3CDTF">2017-06-22T22:14:00Z</dcterms:modified>
</cp:coreProperties>
</file>