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757C2" w14:textId="77777777" w:rsidR="009A0889" w:rsidRPr="009F2316" w:rsidRDefault="002749AE" w:rsidP="009A0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26</w:t>
      </w:r>
      <w:r w:rsidR="009A0889" w:rsidRPr="009F2316">
        <w:rPr>
          <w:b/>
          <w:sz w:val="28"/>
          <w:szCs w:val="28"/>
        </w:rPr>
        <w:t xml:space="preserve">, 2017 </w:t>
      </w:r>
      <w:r>
        <w:rPr>
          <w:b/>
          <w:sz w:val="28"/>
          <w:szCs w:val="28"/>
        </w:rPr>
        <w:t xml:space="preserve">WEBEX </w:t>
      </w:r>
      <w:r w:rsidR="009A0889">
        <w:rPr>
          <w:b/>
          <w:sz w:val="28"/>
          <w:szCs w:val="28"/>
        </w:rPr>
        <w:t>MEETING NOTES</w:t>
      </w:r>
    </w:p>
    <w:p w14:paraId="7C6E5BEE" w14:textId="77777777" w:rsidR="00267913" w:rsidRPr="000C110D" w:rsidRDefault="00B71C65" w:rsidP="00B71C65">
      <w:pPr>
        <w:pStyle w:val="PlainText"/>
        <w:rPr>
          <w:b/>
          <w:u w:val="single"/>
        </w:rPr>
      </w:pPr>
      <w:r w:rsidRPr="000C110D">
        <w:rPr>
          <w:b/>
          <w:u w:val="single"/>
        </w:rPr>
        <w:t>Summary</w:t>
      </w:r>
    </w:p>
    <w:p w14:paraId="30C9AAFB" w14:textId="77777777" w:rsidR="009A0889" w:rsidRDefault="009A0889" w:rsidP="009A0889">
      <w:pPr>
        <w:pStyle w:val="PlainText"/>
        <w:numPr>
          <w:ilvl w:val="0"/>
          <w:numId w:val="4"/>
        </w:numPr>
      </w:pPr>
      <w:r>
        <w:t xml:space="preserve">Attendance: </w:t>
      </w:r>
      <w:r w:rsidR="00F86061">
        <w:t xml:space="preserve">approximately 25 attendees via </w:t>
      </w:r>
      <w:proofErr w:type="spellStart"/>
      <w:r w:rsidR="00F86061">
        <w:t>Webex</w:t>
      </w:r>
      <w:proofErr w:type="spellEnd"/>
    </w:p>
    <w:p w14:paraId="43B119DA" w14:textId="77777777" w:rsidR="0071120C" w:rsidRDefault="009A0889" w:rsidP="009A0889">
      <w:pPr>
        <w:pStyle w:val="PlainText"/>
        <w:numPr>
          <w:ilvl w:val="0"/>
          <w:numId w:val="4"/>
        </w:numPr>
      </w:pPr>
      <w:r>
        <w:t xml:space="preserve">Presentations </w:t>
      </w:r>
      <w:r w:rsidR="005A510B">
        <w:t xml:space="preserve">and notes </w:t>
      </w:r>
      <w:r>
        <w:t>available online</w:t>
      </w:r>
      <w:r w:rsidR="0071120C">
        <w:t xml:space="preserve">: </w:t>
      </w:r>
      <w:hyperlink r:id="rId9" w:history="1">
        <w:r w:rsidR="0071120C" w:rsidRPr="00B611B2">
          <w:rPr>
            <w:rStyle w:val="Hyperlink"/>
          </w:rPr>
          <w:t>http://www.cpuc.ca.gov/vgi/</w:t>
        </w:r>
      </w:hyperlink>
      <w:r w:rsidR="0071120C">
        <w:t xml:space="preserve"> </w:t>
      </w:r>
    </w:p>
    <w:p w14:paraId="7C39A2A6" w14:textId="77777777" w:rsidR="00864BB5" w:rsidRDefault="00864BB5" w:rsidP="009A0889">
      <w:pPr>
        <w:pStyle w:val="PlainText"/>
        <w:numPr>
          <w:ilvl w:val="0"/>
          <w:numId w:val="4"/>
        </w:numPr>
      </w:pPr>
      <w:r>
        <w:t xml:space="preserve">Facilitator Justin </w:t>
      </w:r>
      <w:proofErr w:type="spellStart"/>
      <w:r>
        <w:t>Regnier</w:t>
      </w:r>
      <w:proofErr w:type="spellEnd"/>
      <w:r>
        <w:t xml:space="preserve"> summarized key takeaways from the June 12 in-person meeting</w:t>
      </w:r>
    </w:p>
    <w:p w14:paraId="4A21AE12" w14:textId="77777777" w:rsidR="009A0889" w:rsidRDefault="009A0889" w:rsidP="009A0889">
      <w:pPr>
        <w:pStyle w:val="PlainText"/>
        <w:numPr>
          <w:ilvl w:val="0"/>
          <w:numId w:val="4"/>
        </w:numPr>
      </w:pPr>
      <w:r>
        <w:t>Presentation 1</w:t>
      </w:r>
      <w:r w:rsidR="00F86061">
        <w:t>:</w:t>
      </w:r>
      <w:r>
        <w:t xml:space="preserve"> </w:t>
      </w:r>
      <w:r w:rsidR="00996443">
        <w:t>Mike Bourton, Update on Use Case Subgroup</w:t>
      </w:r>
    </w:p>
    <w:p w14:paraId="091FB472" w14:textId="77777777" w:rsidR="00996443" w:rsidRDefault="00996443" w:rsidP="00996443">
      <w:pPr>
        <w:pStyle w:val="PlainText"/>
        <w:numPr>
          <w:ilvl w:val="1"/>
          <w:numId w:val="4"/>
        </w:numPr>
      </w:pPr>
      <w:r>
        <w:t>30 use cases have completed review</w:t>
      </w:r>
    </w:p>
    <w:p w14:paraId="205A2CF8" w14:textId="17BA351B" w:rsidR="00996443" w:rsidRDefault="00996443" w:rsidP="00996443">
      <w:pPr>
        <w:pStyle w:val="PlainText"/>
        <w:numPr>
          <w:ilvl w:val="1"/>
          <w:numId w:val="4"/>
        </w:numPr>
      </w:pPr>
      <w:r>
        <w:t>21 use cases scheduled for review on June 27 and 29</w:t>
      </w:r>
    </w:p>
    <w:p w14:paraId="3E7BD85F" w14:textId="5806EFBF" w:rsidR="00996443" w:rsidRDefault="00996443" w:rsidP="00996443">
      <w:pPr>
        <w:pStyle w:val="PlainText"/>
        <w:numPr>
          <w:ilvl w:val="1"/>
          <w:numId w:val="4"/>
        </w:numPr>
      </w:pPr>
      <w:r>
        <w:t>There are 16 place holder cases for 15118</w:t>
      </w:r>
      <w:r w:rsidR="005A510B">
        <w:t xml:space="preserve"> </w:t>
      </w:r>
      <w:r w:rsidR="00551736">
        <w:t xml:space="preserve">because </w:t>
      </w:r>
      <w:proofErr w:type="spellStart"/>
      <w:r w:rsidR="005A510B">
        <w:t>Fahaad</w:t>
      </w:r>
      <w:proofErr w:type="spellEnd"/>
      <w:r w:rsidR="005A510B">
        <w:t xml:space="preserve"> </w:t>
      </w:r>
      <w:r w:rsidR="00551736">
        <w:t xml:space="preserve">is </w:t>
      </w:r>
      <w:r w:rsidR="005A510B">
        <w:t xml:space="preserve">seeking </w:t>
      </w:r>
      <w:r w:rsidR="00551736">
        <w:t xml:space="preserve">permission </w:t>
      </w:r>
      <w:r w:rsidR="005A510B">
        <w:t xml:space="preserve">from ANSI and ISO </w:t>
      </w:r>
      <w:r w:rsidR="00551736">
        <w:t xml:space="preserve">to </w:t>
      </w:r>
      <w:r w:rsidR="005A510B">
        <w:t xml:space="preserve">use a licensed version </w:t>
      </w:r>
    </w:p>
    <w:p w14:paraId="302889C8" w14:textId="77777777" w:rsidR="00E07F1E" w:rsidRPr="00551736" w:rsidRDefault="00551736" w:rsidP="00551736">
      <w:pPr>
        <w:pStyle w:val="PlainText"/>
        <w:numPr>
          <w:ilvl w:val="1"/>
          <w:numId w:val="4"/>
        </w:numPr>
      </w:pPr>
      <w:r>
        <w:t xml:space="preserve">Subgroup </w:t>
      </w:r>
      <w:r w:rsidR="00AA5301" w:rsidRPr="00551736">
        <w:t>Minutes and Attendance records at:</w:t>
      </w:r>
    </w:p>
    <w:p w14:paraId="1E3A8C42" w14:textId="77777777" w:rsidR="00E07F1E" w:rsidRPr="00551736" w:rsidRDefault="00AA5301" w:rsidP="00B065E2">
      <w:pPr>
        <w:pStyle w:val="PlainText"/>
        <w:ind w:left="1080"/>
      </w:pPr>
      <w:hyperlink r:id="rId10" w:history="1">
        <w:r w:rsidRPr="00551736">
          <w:rPr>
            <w:rStyle w:val="Hyperlink"/>
          </w:rPr>
          <w:t>https://drive.google.com/open?id=0B4_ZRQzLAsLNLUVBbGlGVG1MV00</w:t>
        </w:r>
      </w:hyperlink>
    </w:p>
    <w:p w14:paraId="47238835" w14:textId="77777777" w:rsidR="00551736" w:rsidRDefault="00551736" w:rsidP="00B065E2">
      <w:pPr>
        <w:pStyle w:val="PlainText"/>
        <w:ind w:left="1080"/>
      </w:pPr>
    </w:p>
    <w:p w14:paraId="392D36FD" w14:textId="77777777" w:rsidR="009A0889" w:rsidRDefault="009A0889" w:rsidP="009A0889">
      <w:pPr>
        <w:pStyle w:val="PlainText"/>
        <w:numPr>
          <w:ilvl w:val="0"/>
          <w:numId w:val="4"/>
        </w:numPr>
      </w:pPr>
      <w:r>
        <w:t>Presentation 2</w:t>
      </w:r>
      <w:r w:rsidR="00F86061">
        <w:t>:</w:t>
      </w:r>
      <w:r>
        <w:t xml:space="preserve"> </w:t>
      </w:r>
      <w:r w:rsidR="00996443">
        <w:t>Jeremy Whaling, IOU OEM joint presentation on VGI Themes</w:t>
      </w:r>
    </w:p>
    <w:p w14:paraId="16A36AAB" w14:textId="77777777" w:rsidR="00F86061" w:rsidRDefault="00F86061" w:rsidP="00F86061">
      <w:pPr>
        <w:pStyle w:val="PlainText"/>
        <w:numPr>
          <w:ilvl w:val="1"/>
          <w:numId w:val="4"/>
        </w:numPr>
      </w:pPr>
      <w:r>
        <w:t xml:space="preserve">Jeremy presented on behalf of </w:t>
      </w:r>
      <w:r w:rsidRPr="00F86061">
        <w:t xml:space="preserve"> SCE, PG&amp;E, SDG&amp;E, EPRI, Ford, Nissan, Toyota, Honda, Tesla, Fiat Chrysler, and General Motors</w:t>
      </w:r>
    </w:p>
    <w:p w14:paraId="163FE509" w14:textId="77777777" w:rsidR="00F86061" w:rsidRDefault="00F86061" w:rsidP="00F86061">
      <w:pPr>
        <w:pStyle w:val="PlainText"/>
        <w:numPr>
          <w:ilvl w:val="1"/>
          <w:numId w:val="4"/>
        </w:numPr>
      </w:pPr>
      <w:r>
        <w:t>The IOU/OEM group sees two discussion themes occurring within the working group</w:t>
      </w:r>
    </w:p>
    <w:p w14:paraId="2C42459D" w14:textId="77777777" w:rsidR="00996443" w:rsidRDefault="00996443" w:rsidP="00B065E2">
      <w:pPr>
        <w:pStyle w:val="PlainText"/>
        <w:numPr>
          <w:ilvl w:val="2"/>
          <w:numId w:val="4"/>
        </w:numPr>
      </w:pPr>
      <w:r>
        <w:t>Theme 1 – How do we advance VGI in California</w:t>
      </w:r>
      <w:r w:rsidR="00F86061">
        <w:t>?</w:t>
      </w:r>
    </w:p>
    <w:p w14:paraId="05756C7C" w14:textId="77777777" w:rsidR="00996443" w:rsidRDefault="00996443" w:rsidP="00B065E2">
      <w:pPr>
        <w:pStyle w:val="PlainText"/>
        <w:numPr>
          <w:ilvl w:val="2"/>
          <w:numId w:val="4"/>
        </w:numPr>
      </w:pPr>
      <w:r>
        <w:t>Theme 2 – How do we ‘future proof’ charging station investments by the utilities?</w:t>
      </w:r>
    </w:p>
    <w:p w14:paraId="04CF795D" w14:textId="1D28543F" w:rsidR="00996443" w:rsidRDefault="00996443" w:rsidP="00996443">
      <w:pPr>
        <w:pStyle w:val="PlainText"/>
        <w:numPr>
          <w:ilvl w:val="1"/>
          <w:numId w:val="4"/>
        </w:numPr>
      </w:pPr>
      <w:r>
        <w:t xml:space="preserve">Would like </w:t>
      </w:r>
      <w:r w:rsidR="0023041E">
        <w:t xml:space="preserve">further </w:t>
      </w:r>
      <w:r>
        <w:t xml:space="preserve">clarification on which theme the working group is </w:t>
      </w:r>
      <w:r w:rsidR="00F86061">
        <w:t>addressing</w:t>
      </w:r>
      <w:r w:rsidR="0023041E">
        <w:t xml:space="preserve"> and the specific questions the working group aims to answer</w:t>
      </w:r>
      <w:r>
        <w:t>.</w:t>
      </w:r>
    </w:p>
    <w:p w14:paraId="2098E661" w14:textId="50378E6E" w:rsidR="00996443" w:rsidRDefault="00996443" w:rsidP="00996443">
      <w:pPr>
        <w:pStyle w:val="PlainText"/>
        <w:numPr>
          <w:ilvl w:val="1"/>
          <w:numId w:val="4"/>
        </w:numPr>
      </w:pPr>
      <w:r>
        <w:t xml:space="preserve">They see conflicting goals from the working group and want to make sure that </w:t>
      </w:r>
      <w:r w:rsidR="00551736">
        <w:t>the Working Group results in an actionable outcome</w:t>
      </w:r>
    </w:p>
    <w:p w14:paraId="24CAD402" w14:textId="7E5FE487" w:rsidR="005A510B" w:rsidRDefault="00996443" w:rsidP="00FF285F">
      <w:pPr>
        <w:pStyle w:val="PlainText"/>
        <w:numPr>
          <w:ilvl w:val="1"/>
          <w:numId w:val="4"/>
        </w:numPr>
      </w:pPr>
      <w:r>
        <w:t>Would like to make sure that future proofing is about minimizing risk</w:t>
      </w:r>
      <w:r w:rsidR="005A510B">
        <w:t>. Asserts that future proofing</w:t>
      </w:r>
      <w:r>
        <w:t xml:space="preserve"> </w:t>
      </w:r>
      <w:r w:rsidR="005A510B">
        <w:t xml:space="preserve">has different purpose from </w:t>
      </w:r>
      <w:r>
        <w:t>market development</w:t>
      </w:r>
      <w:r w:rsidR="005A510B">
        <w:t>.</w:t>
      </w:r>
    </w:p>
    <w:p w14:paraId="1434101E" w14:textId="067FEA84" w:rsidR="0023041E" w:rsidRDefault="005A510B" w:rsidP="00FF285F">
      <w:pPr>
        <w:pStyle w:val="PlainText"/>
        <w:numPr>
          <w:ilvl w:val="1"/>
          <w:numId w:val="4"/>
        </w:numPr>
      </w:pPr>
      <w:r>
        <w:t>Would like greater focus on</w:t>
      </w:r>
      <w:r w:rsidR="00996443">
        <w:t xml:space="preserve"> defining VGI valu</w:t>
      </w:r>
      <w:r w:rsidR="00FF285F">
        <w:t>e</w:t>
      </w:r>
      <w:r>
        <w:t xml:space="preserve"> within an order of magnitude by exploring what has been done in storage and smart inverters.</w:t>
      </w:r>
    </w:p>
    <w:p w14:paraId="2C5B1C00" w14:textId="77777777" w:rsidR="00996443" w:rsidRDefault="00996443" w:rsidP="00996443">
      <w:pPr>
        <w:pStyle w:val="PlainText"/>
        <w:ind w:left="1440"/>
      </w:pPr>
    </w:p>
    <w:p w14:paraId="3E4E0251" w14:textId="77777777" w:rsidR="000C110D" w:rsidRDefault="000C110D" w:rsidP="00B71C65">
      <w:pPr>
        <w:pStyle w:val="PlainText"/>
      </w:pPr>
    </w:p>
    <w:p w14:paraId="51BBC0DB" w14:textId="77777777" w:rsidR="0071120C" w:rsidRPr="009A0889" w:rsidRDefault="009A0889" w:rsidP="00B71C65">
      <w:pPr>
        <w:pStyle w:val="PlainText"/>
        <w:rPr>
          <w:b/>
          <w:u w:val="single"/>
        </w:rPr>
      </w:pPr>
      <w:r w:rsidRPr="009A0889">
        <w:rPr>
          <w:b/>
          <w:u w:val="single"/>
        </w:rPr>
        <w:t>Action Items &amp; Next Steps</w:t>
      </w:r>
    </w:p>
    <w:p w14:paraId="2AE26CD3" w14:textId="77777777" w:rsidR="009A0889" w:rsidRDefault="009A0889" w:rsidP="009A0889">
      <w:pPr>
        <w:pStyle w:val="ListParagraph"/>
        <w:numPr>
          <w:ilvl w:val="0"/>
          <w:numId w:val="5"/>
        </w:numPr>
      </w:pPr>
      <w:r>
        <w:t xml:space="preserve">All use case submitters should complete the Use Case Requirements Template, found on Google drive, and submit to Stephanie Palmer of ARB at </w:t>
      </w:r>
      <w:hyperlink r:id="rId11" w:history="1">
        <w:r w:rsidRPr="00911C5D">
          <w:rPr>
            <w:rStyle w:val="Hyperlink"/>
          </w:rPr>
          <w:t>Stephanie.palmer@arb.ca.gov</w:t>
        </w:r>
      </w:hyperlink>
      <w:r>
        <w:t xml:space="preserve"> within a week of the Use Case Sub-Working Group reviewing your use case.</w:t>
      </w:r>
    </w:p>
    <w:p w14:paraId="4B759745" w14:textId="340F8786" w:rsidR="002749AE" w:rsidRDefault="00551736" w:rsidP="00551736">
      <w:pPr>
        <w:pStyle w:val="ListParagraph"/>
        <w:numPr>
          <w:ilvl w:val="0"/>
          <w:numId w:val="5"/>
        </w:numPr>
      </w:pPr>
      <w:r>
        <w:t>Stephanie Palmer of ARB will work with the 4 volunteers (</w:t>
      </w:r>
      <w:r w:rsidRPr="00551736">
        <w:t xml:space="preserve">Jeremy Whaling, George </w:t>
      </w:r>
      <w:proofErr w:type="spellStart"/>
      <w:r w:rsidRPr="00551736">
        <w:t>Bellino</w:t>
      </w:r>
      <w:proofErr w:type="spellEnd"/>
      <w:r w:rsidRPr="00551736">
        <w:t>, Mike Bourton and Vincent Chen</w:t>
      </w:r>
      <w:r>
        <w:t>) to review the Use Case Requirements Templates that are submitted.</w:t>
      </w:r>
    </w:p>
    <w:p w14:paraId="793909E1" w14:textId="2F1840BE" w:rsidR="002749AE" w:rsidRDefault="002749AE" w:rsidP="009A0889">
      <w:pPr>
        <w:pStyle w:val="ListParagraph"/>
        <w:numPr>
          <w:ilvl w:val="0"/>
          <w:numId w:val="5"/>
        </w:numPr>
      </w:pPr>
      <w:r>
        <w:t>After the use cases and requirements have been finalized, the state agencies would like to create another sub-working group to map the use case requirements to communication protocols. By</w:t>
      </w:r>
      <w:bookmarkStart w:id="0" w:name="_GoBack"/>
      <w:bookmarkEnd w:id="0"/>
      <w:r w:rsidR="00B065E2">
        <w:t xml:space="preserve"> Thursday, July 6, email</w:t>
      </w:r>
      <w:r>
        <w:t xml:space="preserve"> </w:t>
      </w:r>
      <w:hyperlink r:id="rId12" w:history="1">
        <w:r w:rsidRPr="00911C5D">
          <w:rPr>
            <w:rStyle w:val="Hyperlink"/>
          </w:rPr>
          <w:t>vgiworkinggroup@cpuc.ca.gov</w:t>
        </w:r>
      </w:hyperlink>
      <w:r>
        <w:t xml:space="preserve"> if you are interested in leading or participating in this new sub-working group. </w:t>
      </w:r>
    </w:p>
    <w:p w14:paraId="1C3CF873" w14:textId="77777777" w:rsidR="002749AE" w:rsidRDefault="002749AE" w:rsidP="009A0889">
      <w:pPr>
        <w:pStyle w:val="ListParagraph"/>
        <w:numPr>
          <w:ilvl w:val="0"/>
          <w:numId w:val="5"/>
        </w:numPr>
      </w:pPr>
      <w:r>
        <w:t xml:space="preserve">The next full Working Group meeting is a </w:t>
      </w:r>
      <w:proofErr w:type="spellStart"/>
      <w:r>
        <w:t>Webex</w:t>
      </w:r>
      <w:proofErr w:type="spellEnd"/>
      <w:r>
        <w:t xml:space="preserve"> on Monday, July 10.</w:t>
      </w:r>
    </w:p>
    <w:p w14:paraId="6A14030E" w14:textId="77777777" w:rsidR="009A0889" w:rsidRDefault="009A0889" w:rsidP="009A0889">
      <w:pPr>
        <w:rPr>
          <w:b/>
          <w:u w:val="single"/>
        </w:rPr>
      </w:pPr>
      <w:r>
        <w:rPr>
          <w:b/>
          <w:u w:val="single"/>
        </w:rPr>
        <w:t>Resources</w:t>
      </w:r>
    </w:p>
    <w:p w14:paraId="1CC62188" w14:textId="77777777" w:rsidR="009A0889" w:rsidRDefault="009A0889" w:rsidP="009A0889">
      <w:pPr>
        <w:pStyle w:val="ListParagraph"/>
        <w:numPr>
          <w:ilvl w:val="0"/>
          <w:numId w:val="5"/>
        </w:numPr>
      </w:pPr>
      <w:r>
        <w:t xml:space="preserve">Email the state agencies (CPUC, CEC, ARB, CAISO, GO-Biz) with any questions or comments: </w:t>
      </w:r>
      <w:hyperlink r:id="rId13" w:history="1">
        <w:r w:rsidRPr="00911C5D">
          <w:rPr>
            <w:rStyle w:val="Hyperlink"/>
          </w:rPr>
          <w:t>vgiworkinggroup@cpuc.ca.gov</w:t>
        </w:r>
      </w:hyperlink>
    </w:p>
    <w:p w14:paraId="78011207" w14:textId="77777777" w:rsidR="009A0889" w:rsidRPr="009A0889" w:rsidRDefault="009A0889" w:rsidP="009A0889">
      <w:pPr>
        <w:pStyle w:val="ListParagraph"/>
        <w:numPr>
          <w:ilvl w:val="0"/>
          <w:numId w:val="5"/>
        </w:numPr>
      </w:pPr>
      <w:r>
        <w:lastRenderedPageBreak/>
        <w:t>Access the Use Case Sub-Working Group documents</w:t>
      </w:r>
      <w:r w:rsidR="002749AE">
        <w:t>, including requirements template,</w:t>
      </w:r>
      <w:r>
        <w:t xml:space="preserve"> on Google drive: </w:t>
      </w:r>
      <w:hyperlink r:id="rId14" w:history="1">
        <w:r w:rsidRPr="009A0889">
          <w:rPr>
            <w:rStyle w:val="Hyperlink"/>
          </w:rPr>
          <w:t>https://drive.google.com/drive/folders/0B4_ZRQzLAsLNeXRYcjRKa2FwUjg?usp=sharing</w:t>
        </w:r>
      </w:hyperlink>
    </w:p>
    <w:p w14:paraId="5C1D9C83" w14:textId="77777777" w:rsidR="009A0889" w:rsidRPr="009A0889" w:rsidRDefault="009A0889" w:rsidP="009A0889">
      <w:pPr>
        <w:pStyle w:val="ListParagraph"/>
        <w:numPr>
          <w:ilvl w:val="0"/>
          <w:numId w:val="5"/>
        </w:numPr>
      </w:pPr>
      <w:r>
        <w:t xml:space="preserve">Access the Definitions Sub-Working Group documents on Google drive: </w:t>
      </w:r>
      <w:hyperlink r:id="rId15" w:history="1">
        <w:r w:rsidRPr="009A0889">
          <w:rPr>
            <w:rStyle w:val="Hyperlink"/>
          </w:rPr>
          <w:t>https://drive.google.com/open?id=0B4_ZRQzLAsLNdV9Fc0doVHZPZEU</w:t>
        </w:r>
      </w:hyperlink>
    </w:p>
    <w:p w14:paraId="770A4519" w14:textId="77777777" w:rsidR="009A0889" w:rsidRDefault="009A0889" w:rsidP="009A0889">
      <w:pPr>
        <w:pStyle w:val="ListParagraph"/>
      </w:pPr>
    </w:p>
    <w:p w14:paraId="4428DB58" w14:textId="6380CABE" w:rsidR="00996443" w:rsidRDefault="000C110D" w:rsidP="00B065E2">
      <w:r w:rsidRPr="000C110D">
        <w:rPr>
          <w:b/>
          <w:u w:val="single"/>
        </w:rPr>
        <w:t>Detail</w:t>
      </w:r>
      <w:r w:rsidR="0071120C">
        <w:rPr>
          <w:b/>
          <w:u w:val="single"/>
        </w:rPr>
        <w:t>ed Comments</w:t>
      </w:r>
    </w:p>
    <w:p w14:paraId="58BF75CB" w14:textId="33E55FCF" w:rsidR="0023041E" w:rsidRDefault="00996443" w:rsidP="00996443">
      <w:pPr>
        <w:pStyle w:val="ListParagraph"/>
        <w:numPr>
          <w:ilvl w:val="0"/>
          <w:numId w:val="7"/>
        </w:numPr>
      </w:pPr>
      <w:r>
        <w:t>Jen</w:t>
      </w:r>
      <w:r w:rsidR="0023041E">
        <w:t xml:space="preserve"> Kalafut, CPUC</w:t>
      </w:r>
    </w:p>
    <w:p w14:paraId="4416DBB7" w14:textId="77777777" w:rsidR="0023041E" w:rsidRDefault="0023041E" w:rsidP="00B065E2">
      <w:pPr>
        <w:pStyle w:val="ListParagraph"/>
        <w:numPr>
          <w:ilvl w:val="1"/>
          <w:numId w:val="7"/>
        </w:numPr>
      </w:pPr>
      <w:r>
        <w:t xml:space="preserve"> The two themes presented by Jeremy Whaling do track with the Working Group’s </w:t>
      </w:r>
      <w:proofErr w:type="spellStart"/>
      <w:r>
        <w:t>workplan</w:t>
      </w:r>
      <w:proofErr w:type="spellEnd"/>
      <w:r>
        <w:t>, but we should frame ‘value’ better, identify existing value streams and the order of magnitude of available value streams connected to each use case</w:t>
      </w:r>
    </w:p>
    <w:p w14:paraId="3BF7D5B2" w14:textId="77777777" w:rsidR="0023041E" w:rsidRDefault="0023041E" w:rsidP="00B065E2">
      <w:pPr>
        <w:pStyle w:val="ListParagraph"/>
        <w:numPr>
          <w:ilvl w:val="1"/>
          <w:numId w:val="7"/>
        </w:numPr>
      </w:pPr>
      <w:r>
        <w:t>The focus is on utility investments in infrastructure, so a narrower look at Theme 2 is the scope of this working group</w:t>
      </w:r>
    </w:p>
    <w:p w14:paraId="2DCDDBD1" w14:textId="7211254C" w:rsidR="00996443" w:rsidRDefault="0023041E" w:rsidP="00B065E2">
      <w:pPr>
        <w:pStyle w:val="ListParagraph"/>
        <w:numPr>
          <w:ilvl w:val="1"/>
          <w:numId w:val="7"/>
        </w:numPr>
      </w:pPr>
      <w:r>
        <w:t>Requested proposed edits to the work plan to clarify the narrower focus on Theme 2/IOU infrastructure investments</w:t>
      </w:r>
    </w:p>
    <w:p w14:paraId="70E1A97C" w14:textId="77777777" w:rsidR="0023041E" w:rsidRDefault="00996443" w:rsidP="00B065E2">
      <w:pPr>
        <w:pStyle w:val="ListParagraph"/>
        <w:numPr>
          <w:ilvl w:val="0"/>
          <w:numId w:val="7"/>
        </w:numPr>
      </w:pPr>
      <w:r>
        <w:t>Adam</w:t>
      </w:r>
      <w:r w:rsidR="0023041E">
        <w:t xml:space="preserve"> Langton, BMW</w:t>
      </w:r>
    </w:p>
    <w:p w14:paraId="1C2FF874" w14:textId="33451B67" w:rsidR="0023041E" w:rsidRDefault="0023041E" w:rsidP="0023041E">
      <w:pPr>
        <w:pStyle w:val="ListParagraph"/>
        <w:numPr>
          <w:ilvl w:val="1"/>
          <w:numId w:val="7"/>
        </w:numPr>
      </w:pPr>
      <w:r>
        <w:t xml:space="preserve">The </w:t>
      </w:r>
      <w:r w:rsidR="00996443">
        <w:t xml:space="preserve"> two themes require two different approaches and doing both will be very difficult in the working group</w:t>
      </w:r>
      <w:r>
        <w:t xml:space="preserve"> given its timeframe</w:t>
      </w:r>
    </w:p>
    <w:p w14:paraId="026A3B9F" w14:textId="1247AEF2" w:rsidR="00996443" w:rsidRDefault="0023041E" w:rsidP="00FF285F">
      <w:pPr>
        <w:pStyle w:val="ListParagraph"/>
        <w:numPr>
          <w:ilvl w:val="1"/>
          <w:numId w:val="7"/>
        </w:numPr>
      </w:pPr>
      <w:r>
        <w:t xml:space="preserve">Wants the CPUC to answer the question of how can utility investments support VGI, do standards future proof? IOUs and OEMs seem to feel that a specific standard does not help future proof and help investments. </w:t>
      </w:r>
      <w:r w:rsidR="00914611">
        <w:t>Concerned about</w:t>
      </w:r>
      <w:r w:rsidR="007F01E9">
        <w:t xml:space="preserve"> risk of enacting standards immediately would lock</w:t>
      </w:r>
      <w:r w:rsidR="00914611">
        <w:t xml:space="preserve"> in pathways</w:t>
      </w:r>
      <w:r w:rsidR="00E266D9">
        <w:t xml:space="preserve"> and limit innovation</w:t>
      </w:r>
      <w:r w:rsidR="00914611">
        <w:t>.</w:t>
      </w:r>
    </w:p>
    <w:p w14:paraId="245DB9E5" w14:textId="23E5450B" w:rsidR="00E1233D" w:rsidRDefault="00996443" w:rsidP="00B065E2">
      <w:pPr>
        <w:pStyle w:val="ListParagraph"/>
        <w:numPr>
          <w:ilvl w:val="0"/>
          <w:numId w:val="7"/>
        </w:numPr>
      </w:pPr>
      <w:r>
        <w:t xml:space="preserve">Amy </w:t>
      </w:r>
      <w:r w:rsidR="0023041E">
        <w:t xml:space="preserve">Mesrobian, CPUC </w:t>
      </w:r>
      <w:r>
        <w:t xml:space="preserve">– </w:t>
      </w:r>
      <w:r w:rsidR="0023041E">
        <w:t>There are some things related to Theme 1 that may need to be addressed to accomplish Theme 2</w:t>
      </w:r>
      <w:r>
        <w:t xml:space="preserve">. </w:t>
      </w:r>
      <w:r w:rsidR="0023041E">
        <w:t>The working group’s effort to address Theme 2 may help move forward on answering Theme 1, but there will be more work necessary beyond this working group’s output.</w:t>
      </w:r>
    </w:p>
    <w:p w14:paraId="6E0FB4D8" w14:textId="0BB5FFEF" w:rsidR="00914611" w:rsidRDefault="00E1233D" w:rsidP="00B065E2">
      <w:pPr>
        <w:pStyle w:val="ListParagraph"/>
        <w:numPr>
          <w:ilvl w:val="0"/>
          <w:numId w:val="7"/>
        </w:numPr>
      </w:pPr>
      <w:r>
        <w:t xml:space="preserve">Dean Taylor, SCE – suggests addressing VGI Roadmap activities in </w:t>
      </w:r>
      <w:r w:rsidR="00914611">
        <w:t xml:space="preserve">an </w:t>
      </w:r>
      <w:r>
        <w:t>update</w:t>
      </w:r>
      <w:r w:rsidR="00914611">
        <w:t>, as discussed by CEC during the June 13 IEPR Workshop. Certain utilities and autos will be submitting comments.</w:t>
      </w:r>
    </w:p>
    <w:p w14:paraId="765D37F0" w14:textId="5CF329B9" w:rsidR="00914611" w:rsidRPr="00914611" w:rsidRDefault="00914611" w:rsidP="00914611">
      <w:pPr>
        <w:pStyle w:val="ListParagraph"/>
        <w:numPr>
          <w:ilvl w:val="0"/>
          <w:numId w:val="7"/>
        </w:numPr>
      </w:pPr>
      <w:r>
        <w:t xml:space="preserve">Peter </w:t>
      </w:r>
      <w:proofErr w:type="spellStart"/>
      <w:r>
        <w:t>Klauer</w:t>
      </w:r>
      <w:proofErr w:type="spellEnd"/>
      <w:r>
        <w:t xml:space="preserve">, </w:t>
      </w:r>
      <w:r w:rsidRPr="00914611">
        <w:t xml:space="preserve">ISO: </w:t>
      </w:r>
      <w:r>
        <w:t xml:space="preserve">Communications is </w:t>
      </w:r>
      <w:r w:rsidRPr="00914611">
        <w:t>just one component of a solution that would facilitate VGI, whether it helps utilities or ISO. Do</w:t>
      </w:r>
      <w:r>
        <w:t xml:space="preserve">es not intend to </w:t>
      </w:r>
      <w:r w:rsidRPr="00914611">
        <w:t xml:space="preserve">paint a broad picture, </w:t>
      </w:r>
      <w:r>
        <w:t>“</w:t>
      </w:r>
      <w:r w:rsidRPr="00914611">
        <w:t>one way and one way only.</w:t>
      </w:r>
      <w:r>
        <w:t>”</w:t>
      </w:r>
      <w:r w:rsidRPr="00914611">
        <w:t xml:space="preserve"> Highlight</w:t>
      </w:r>
      <w:r>
        <w:t>s</w:t>
      </w:r>
      <w:r w:rsidRPr="00914611">
        <w:t xml:space="preserve"> the fact that standards could reduce situation to reduce </w:t>
      </w:r>
      <w:r>
        <w:t>cost and integrate into systems,</w:t>
      </w:r>
      <w:r w:rsidRPr="00914611">
        <w:t xml:space="preserve"> </w:t>
      </w:r>
      <w:r>
        <w:t>n</w:t>
      </w:r>
      <w:r w:rsidRPr="00914611">
        <w:t>ot precluding</w:t>
      </w:r>
      <w:r>
        <w:t xml:space="preserve"> options</w:t>
      </w:r>
      <w:r w:rsidRPr="00914611">
        <w:t xml:space="preserve">. </w:t>
      </w:r>
      <w:r>
        <w:t>Focus is the emergence of communications that are</w:t>
      </w:r>
      <w:r w:rsidRPr="00914611">
        <w:t xml:space="preserve"> perceived </w:t>
      </w:r>
      <w:r>
        <w:t xml:space="preserve">as </w:t>
      </w:r>
      <w:r w:rsidRPr="00914611">
        <w:t>leading edge. Not precluding anything, up to the EVSE and EV OEMs, and if there is a business case.</w:t>
      </w:r>
    </w:p>
    <w:p w14:paraId="7137DB16" w14:textId="61C52413" w:rsidR="00914611" w:rsidRPr="00914611" w:rsidRDefault="00914611" w:rsidP="00914611">
      <w:pPr>
        <w:pStyle w:val="ListParagraph"/>
        <w:numPr>
          <w:ilvl w:val="0"/>
          <w:numId w:val="7"/>
        </w:numPr>
      </w:pPr>
      <w:r>
        <w:t>Stephanie Palmer, ARB</w:t>
      </w:r>
      <w:r w:rsidRPr="00914611">
        <w:t>: Will support ZEV implementation. Trying to not preclude. Not intended to change.</w:t>
      </w:r>
    </w:p>
    <w:p w14:paraId="5DC70D77" w14:textId="11DE856D" w:rsidR="00914611" w:rsidRPr="00914611" w:rsidRDefault="00914611" w:rsidP="00914611">
      <w:pPr>
        <w:pStyle w:val="ListParagraph"/>
        <w:numPr>
          <w:ilvl w:val="0"/>
          <w:numId w:val="7"/>
        </w:numPr>
      </w:pPr>
      <w:r w:rsidRPr="00914611">
        <w:t>Noel</w:t>
      </w:r>
      <w:r w:rsidR="00E266D9">
        <w:t xml:space="preserve"> Crisostomo, CEC- CEC</w:t>
      </w:r>
      <w:r>
        <w:t xml:space="preserve"> has an interest in</w:t>
      </w:r>
      <w:r w:rsidR="00E266D9">
        <w:t xml:space="preserve"> not just outcomes, but</w:t>
      </w:r>
      <w:r>
        <w:t xml:space="preserve"> how VGI is done</w:t>
      </w:r>
      <w:r w:rsidR="002117B3">
        <w:t>.</w:t>
      </w:r>
      <w:r>
        <w:t xml:space="preserve"> </w:t>
      </w:r>
      <w:r w:rsidR="002117B3">
        <w:t>The Alternative and Renewable Fuels and Vehicles Technology program</w:t>
      </w:r>
      <w:r>
        <w:t xml:space="preserve"> require</w:t>
      </w:r>
      <w:r w:rsidR="002117B3">
        <w:t>s</w:t>
      </w:r>
      <w:r>
        <w:t xml:space="preserve"> open standards in </w:t>
      </w:r>
      <w:r w:rsidR="002117B3">
        <w:t xml:space="preserve">funding </w:t>
      </w:r>
      <w:r>
        <w:t>charging infrastructure</w:t>
      </w:r>
      <w:r w:rsidR="00E266D9">
        <w:t xml:space="preserve"> to avoid vendor lock-in</w:t>
      </w:r>
      <w:r w:rsidR="002117B3">
        <w:t xml:space="preserve"> and enable interoperability</w:t>
      </w:r>
      <w:r w:rsidRPr="00914611">
        <w:t>.</w:t>
      </w:r>
    </w:p>
    <w:p w14:paraId="385C885D" w14:textId="59E37D30" w:rsidR="00914611" w:rsidRPr="00914611" w:rsidRDefault="00914611" w:rsidP="00914611">
      <w:pPr>
        <w:pStyle w:val="ListParagraph"/>
        <w:numPr>
          <w:ilvl w:val="0"/>
          <w:numId w:val="7"/>
        </w:numPr>
      </w:pPr>
      <w:r w:rsidRPr="00914611">
        <w:t>Jeremy</w:t>
      </w:r>
      <w:r>
        <w:t xml:space="preserve"> Whaling, Honda</w:t>
      </w:r>
      <w:r w:rsidRPr="00914611">
        <w:t xml:space="preserve">: </w:t>
      </w:r>
      <w:r>
        <w:t xml:space="preserve">Requests consideration of the design of the SCE </w:t>
      </w:r>
      <w:r w:rsidRPr="00914611">
        <w:t xml:space="preserve">Make </w:t>
      </w:r>
      <w:r>
        <w:t>R</w:t>
      </w:r>
      <w:r w:rsidRPr="00914611">
        <w:t>eady program</w:t>
      </w:r>
      <w:r>
        <w:t xml:space="preserve">, which infrastructure is provided </w:t>
      </w:r>
      <w:r w:rsidRPr="00914611">
        <w:t>up to the stub</w:t>
      </w:r>
      <w:r>
        <w:t xml:space="preserve"> and</w:t>
      </w:r>
      <w:r w:rsidRPr="00914611">
        <w:t>, EVSE is selected by the customer. Difficult to have a mandate, difficult. Study whether or not consensus of how VGI is approached. Is choosing from a list that the utility has qualified.</w:t>
      </w:r>
    </w:p>
    <w:p w14:paraId="3395D066" w14:textId="678138EF" w:rsidR="00996443" w:rsidRDefault="00914611" w:rsidP="00B065E2">
      <w:pPr>
        <w:pStyle w:val="ListParagraph"/>
        <w:numPr>
          <w:ilvl w:val="0"/>
          <w:numId w:val="7"/>
        </w:numPr>
      </w:pPr>
      <w:r w:rsidRPr="00914611">
        <w:t>Steve</w:t>
      </w:r>
      <w:r w:rsidR="00E266D9">
        <w:t xml:space="preserve"> Davis, Oxygen Initiative</w:t>
      </w:r>
      <w:r w:rsidRPr="00914611">
        <w:t xml:space="preserve">: </w:t>
      </w:r>
      <w:r w:rsidR="00E266D9">
        <w:t xml:space="preserve">Suggests </w:t>
      </w:r>
      <w:r w:rsidR="002117B3">
        <w:t xml:space="preserve">a </w:t>
      </w:r>
      <w:r w:rsidR="00E266D9">
        <w:t xml:space="preserve">focus on an </w:t>
      </w:r>
      <w:r w:rsidRPr="00914611">
        <w:t xml:space="preserve">end goal that preserves </w:t>
      </w:r>
      <w:r w:rsidR="002117B3">
        <w:t>California’s options and develops a</w:t>
      </w:r>
      <w:r w:rsidR="00E266D9">
        <w:t xml:space="preserve"> h</w:t>
      </w:r>
      <w:r w:rsidRPr="00914611">
        <w:t xml:space="preserve">omogenous </w:t>
      </w:r>
      <w:r w:rsidR="00E266D9">
        <w:t xml:space="preserve">charging experience. Notes that global automakers need a </w:t>
      </w:r>
      <w:r w:rsidR="002117B3">
        <w:t xml:space="preserve">means </w:t>
      </w:r>
      <w:r w:rsidRPr="00914611">
        <w:t xml:space="preserve">to </w:t>
      </w:r>
      <w:r w:rsidR="00E266D9">
        <w:lastRenderedPageBreak/>
        <w:t xml:space="preserve">enable </w:t>
      </w:r>
      <w:r w:rsidR="002117B3">
        <w:t xml:space="preserve">advanced </w:t>
      </w:r>
      <w:r w:rsidRPr="00914611">
        <w:t>functionalities</w:t>
      </w:r>
      <w:r w:rsidR="002117B3">
        <w:t xml:space="preserve"> within the EVSEs in preparation for vehicles and clearly</w:t>
      </w:r>
      <w:r w:rsidRPr="00914611">
        <w:t xml:space="preserve">. </w:t>
      </w:r>
      <w:r w:rsidR="00E266D9">
        <w:t xml:space="preserve">Recalls </w:t>
      </w:r>
      <w:r w:rsidR="002117B3">
        <w:t xml:space="preserve">the LA Air Force Base’s </w:t>
      </w:r>
      <w:r w:rsidR="00E266D9">
        <w:t xml:space="preserve">challenge in </w:t>
      </w:r>
      <w:r w:rsidR="002117B3">
        <w:t xml:space="preserve">market </w:t>
      </w:r>
      <w:r w:rsidR="00E266D9">
        <w:t xml:space="preserve">resource certification and notes </w:t>
      </w:r>
      <w:r w:rsidR="002117B3">
        <w:t xml:space="preserve">the </w:t>
      </w:r>
      <w:r w:rsidR="00E266D9">
        <w:t xml:space="preserve">need of </w:t>
      </w:r>
      <w:r w:rsidRPr="00914611">
        <w:t>streamlined method</w:t>
      </w:r>
      <w:r w:rsidR="00E266D9">
        <w:t>.</w:t>
      </w:r>
      <w:r w:rsidRPr="00914611">
        <w:t xml:space="preserve"> </w:t>
      </w:r>
      <w:r w:rsidR="00E266D9">
        <w:t xml:space="preserve">Notes </w:t>
      </w:r>
      <w:r w:rsidR="002117B3">
        <w:t xml:space="preserve">de </w:t>
      </w:r>
      <w:proofErr w:type="spellStart"/>
      <w:r w:rsidR="002117B3">
        <w:t>minimis</w:t>
      </w:r>
      <w:proofErr w:type="spellEnd"/>
      <w:r w:rsidR="002117B3">
        <w:t xml:space="preserve"> costs in EVSE and that per </w:t>
      </w:r>
      <w:r w:rsidR="00E266D9">
        <w:t xml:space="preserve">utility discussions about </w:t>
      </w:r>
      <w:r w:rsidR="002117B3">
        <w:t xml:space="preserve">sending users </w:t>
      </w:r>
      <w:r w:rsidR="00E266D9">
        <w:t>dynamic price</w:t>
      </w:r>
      <w:r w:rsidR="002117B3">
        <w:t>s</w:t>
      </w:r>
      <w:r w:rsidR="00E266D9">
        <w:t>, a standard would reduce the customer’s direct interaction with the rate.</w:t>
      </w:r>
    </w:p>
    <w:p w14:paraId="0FD2C980" w14:textId="6C757F4E" w:rsidR="009A0889" w:rsidRDefault="0023041E" w:rsidP="009A0889">
      <w:pPr>
        <w:pStyle w:val="ListParagraph"/>
        <w:numPr>
          <w:ilvl w:val="0"/>
          <w:numId w:val="6"/>
        </w:numPr>
      </w:pPr>
      <w:r>
        <w:t xml:space="preserve">Forest Williams, </w:t>
      </w:r>
      <w:proofErr w:type="spellStart"/>
      <w:r w:rsidR="00996443">
        <w:t>Power</w:t>
      </w:r>
      <w:r>
        <w:t>Flex</w:t>
      </w:r>
      <w:proofErr w:type="spellEnd"/>
      <w:r>
        <w:t>,</w:t>
      </w:r>
      <w:r w:rsidR="00996443">
        <w:t xml:space="preserve"> –</w:t>
      </w:r>
      <w:r>
        <w:t xml:space="preserve">the data is what’s necessary for the IOUs to be able to </w:t>
      </w:r>
      <w:proofErr w:type="gramStart"/>
      <w:r>
        <w:t>use,</w:t>
      </w:r>
      <w:proofErr w:type="gramEnd"/>
      <w:r>
        <w:t xml:space="preserve"> it doesn’t matter if it comes directly from the vehicle or the EVSE. The transmittal path is not crucial, just need to make sure that what is being sent to the utilities/grid can be used to align grid resources</w:t>
      </w:r>
    </w:p>
    <w:sectPr w:rsidR="009A088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2900F8" w15:done="0"/>
  <w15:commentEx w15:paraId="6A16F804" w15:done="0"/>
  <w15:commentEx w15:paraId="0E35AE10" w15:done="0"/>
  <w15:commentEx w15:paraId="3C6351E9" w15:done="0"/>
  <w15:commentEx w15:paraId="494A3707" w15:done="0"/>
  <w15:commentEx w15:paraId="3F2DEA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2900F8" w16cid:durableId="1CFF819A"/>
  <w16cid:commentId w16cid:paraId="6A16F804" w16cid:durableId="1CFF819B"/>
  <w16cid:commentId w16cid:paraId="0E35AE10" w16cid:durableId="1CFF819C"/>
  <w16cid:commentId w16cid:paraId="3C6351E9" w16cid:durableId="1CFF819D"/>
  <w16cid:commentId w16cid:paraId="494A3707" w16cid:durableId="1CFF819E"/>
  <w16cid:commentId w16cid:paraId="3F2DEA26" w16cid:durableId="1CFF81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FE59B" w14:textId="77777777" w:rsidR="005B221A" w:rsidRDefault="005B221A" w:rsidP="002648DD">
      <w:pPr>
        <w:spacing w:after="0" w:line="240" w:lineRule="auto"/>
      </w:pPr>
      <w:r>
        <w:separator/>
      </w:r>
    </w:p>
  </w:endnote>
  <w:endnote w:type="continuationSeparator" w:id="0">
    <w:p w14:paraId="5A415869" w14:textId="77777777" w:rsidR="005B221A" w:rsidRDefault="005B221A" w:rsidP="0026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740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ED686" w14:textId="4E259D87" w:rsidR="00914611" w:rsidRDefault="009146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4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08DB80" w14:textId="77777777" w:rsidR="00914611" w:rsidRDefault="00914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AE527" w14:textId="77777777" w:rsidR="005B221A" w:rsidRDefault="005B221A" w:rsidP="002648DD">
      <w:pPr>
        <w:spacing w:after="0" w:line="240" w:lineRule="auto"/>
      </w:pPr>
      <w:r>
        <w:separator/>
      </w:r>
    </w:p>
  </w:footnote>
  <w:footnote w:type="continuationSeparator" w:id="0">
    <w:p w14:paraId="64A0E432" w14:textId="77777777" w:rsidR="005B221A" w:rsidRDefault="005B221A" w:rsidP="0026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C6FC1" w14:textId="77777777" w:rsidR="00914611" w:rsidRDefault="00914611" w:rsidP="009A0889">
    <w:pPr>
      <w:jc w:val="center"/>
    </w:pPr>
    <w:r>
      <w:t>Vehicle-Grid Integration Communications Protocol Working Group</w:t>
    </w:r>
  </w:p>
  <w:p w14:paraId="5E27F6A2" w14:textId="77777777" w:rsidR="00914611" w:rsidRPr="009A0889" w:rsidRDefault="00914611" w:rsidP="009A08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812"/>
    <w:multiLevelType w:val="hybridMultilevel"/>
    <w:tmpl w:val="76A0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5A37"/>
    <w:multiLevelType w:val="hybridMultilevel"/>
    <w:tmpl w:val="893E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A2AD9"/>
    <w:multiLevelType w:val="hybridMultilevel"/>
    <w:tmpl w:val="26D2B14E"/>
    <w:lvl w:ilvl="0" w:tplc="AAFE7F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85B58"/>
    <w:multiLevelType w:val="hybridMultilevel"/>
    <w:tmpl w:val="EBEEA6C8"/>
    <w:lvl w:ilvl="0" w:tplc="E7CC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CCF90">
      <w:start w:val="10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E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26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6C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CC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B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AF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996175"/>
    <w:multiLevelType w:val="hybridMultilevel"/>
    <w:tmpl w:val="2C2011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7C66B5"/>
    <w:multiLevelType w:val="hybridMultilevel"/>
    <w:tmpl w:val="E944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2562F"/>
    <w:multiLevelType w:val="hybridMultilevel"/>
    <w:tmpl w:val="70303D12"/>
    <w:lvl w:ilvl="0" w:tplc="9346568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726828"/>
    <w:multiLevelType w:val="hybridMultilevel"/>
    <w:tmpl w:val="3556A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A0D3A"/>
    <w:multiLevelType w:val="hybridMultilevel"/>
    <w:tmpl w:val="3C32BA4E"/>
    <w:lvl w:ilvl="0" w:tplc="AAFE7FD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el Crisostomo">
    <w15:presenceInfo w15:providerId="Windows Live" w15:userId="dd979f1e364fbd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70"/>
    <w:rsid w:val="000736A4"/>
    <w:rsid w:val="000B2D91"/>
    <w:rsid w:val="000B7768"/>
    <w:rsid w:val="000C110D"/>
    <w:rsid w:val="000E3BA3"/>
    <w:rsid w:val="00124535"/>
    <w:rsid w:val="00157885"/>
    <w:rsid w:val="00180471"/>
    <w:rsid w:val="00205B9B"/>
    <w:rsid w:val="002117B3"/>
    <w:rsid w:val="0023041E"/>
    <w:rsid w:val="0024524B"/>
    <w:rsid w:val="002648DD"/>
    <w:rsid w:val="00267913"/>
    <w:rsid w:val="00272B55"/>
    <w:rsid w:val="002749AE"/>
    <w:rsid w:val="002A29BC"/>
    <w:rsid w:val="002E48D4"/>
    <w:rsid w:val="002F4E3D"/>
    <w:rsid w:val="003419A8"/>
    <w:rsid w:val="003909FC"/>
    <w:rsid w:val="003B58C0"/>
    <w:rsid w:val="003C6121"/>
    <w:rsid w:val="003E0CBA"/>
    <w:rsid w:val="003E1ABC"/>
    <w:rsid w:val="003F710D"/>
    <w:rsid w:val="00406F6A"/>
    <w:rsid w:val="00427398"/>
    <w:rsid w:val="00441A72"/>
    <w:rsid w:val="0044283D"/>
    <w:rsid w:val="00446674"/>
    <w:rsid w:val="0046541F"/>
    <w:rsid w:val="00493B49"/>
    <w:rsid w:val="004C775E"/>
    <w:rsid w:val="00534CB6"/>
    <w:rsid w:val="00551736"/>
    <w:rsid w:val="005A510B"/>
    <w:rsid w:val="005B221A"/>
    <w:rsid w:val="005B6BB8"/>
    <w:rsid w:val="005E7C18"/>
    <w:rsid w:val="005F07E5"/>
    <w:rsid w:val="0062042B"/>
    <w:rsid w:val="00656E10"/>
    <w:rsid w:val="00685608"/>
    <w:rsid w:val="00695C62"/>
    <w:rsid w:val="006C2B65"/>
    <w:rsid w:val="0071120C"/>
    <w:rsid w:val="007E11FD"/>
    <w:rsid w:val="007F01E9"/>
    <w:rsid w:val="007F12A9"/>
    <w:rsid w:val="008545CD"/>
    <w:rsid w:val="00864BB5"/>
    <w:rsid w:val="00914611"/>
    <w:rsid w:val="00917CC6"/>
    <w:rsid w:val="009321E8"/>
    <w:rsid w:val="00996443"/>
    <w:rsid w:val="009A0889"/>
    <w:rsid w:val="009B0957"/>
    <w:rsid w:val="00A12470"/>
    <w:rsid w:val="00A12B87"/>
    <w:rsid w:val="00A8793F"/>
    <w:rsid w:val="00AA5301"/>
    <w:rsid w:val="00AB3533"/>
    <w:rsid w:val="00B065E2"/>
    <w:rsid w:val="00B22C72"/>
    <w:rsid w:val="00B71C65"/>
    <w:rsid w:val="00B857C1"/>
    <w:rsid w:val="00BF134B"/>
    <w:rsid w:val="00C365B1"/>
    <w:rsid w:val="00C67BC3"/>
    <w:rsid w:val="00C70D13"/>
    <w:rsid w:val="00C876E7"/>
    <w:rsid w:val="00CA2976"/>
    <w:rsid w:val="00CD7066"/>
    <w:rsid w:val="00D32513"/>
    <w:rsid w:val="00D51CE3"/>
    <w:rsid w:val="00D56DCF"/>
    <w:rsid w:val="00D92268"/>
    <w:rsid w:val="00D93E1D"/>
    <w:rsid w:val="00DE4436"/>
    <w:rsid w:val="00DF273A"/>
    <w:rsid w:val="00E07F1E"/>
    <w:rsid w:val="00E1233D"/>
    <w:rsid w:val="00E266D9"/>
    <w:rsid w:val="00E37470"/>
    <w:rsid w:val="00E54572"/>
    <w:rsid w:val="00E669E5"/>
    <w:rsid w:val="00E7304B"/>
    <w:rsid w:val="00E844C1"/>
    <w:rsid w:val="00ED2068"/>
    <w:rsid w:val="00EF40CB"/>
    <w:rsid w:val="00F445A4"/>
    <w:rsid w:val="00F86061"/>
    <w:rsid w:val="00FA31A9"/>
    <w:rsid w:val="00FB4A7F"/>
    <w:rsid w:val="00FD6083"/>
    <w:rsid w:val="00FF285F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C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2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53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1C6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1C6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DD"/>
  </w:style>
  <w:style w:type="paragraph" w:styleId="Footer">
    <w:name w:val="footer"/>
    <w:basedOn w:val="Normal"/>
    <w:link w:val="FooterChar"/>
    <w:uiPriority w:val="99"/>
    <w:unhideWhenUsed/>
    <w:rsid w:val="0026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DD"/>
  </w:style>
  <w:style w:type="character" w:styleId="FollowedHyperlink">
    <w:name w:val="FollowedHyperlink"/>
    <w:basedOn w:val="DefaultParagraphFont"/>
    <w:uiPriority w:val="99"/>
    <w:semiHidden/>
    <w:unhideWhenUsed/>
    <w:rsid w:val="002749A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7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2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53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1C6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1C6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DD"/>
  </w:style>
  <w:style w:type="paragraph" w:styleId="Footer">
    <w:name w:val="footer"/>
    <w:basedOn w:val="Normal"/>
    <w:link w:val="FooterChar"/>
    <w:uiPriority w:val="99"/>
    <w:unhideWhenUsed/>
    <w:rsid w:val="0026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DD"/>
  </w:style>
  <w:style w:type="character" w:styleId="FollowedHyperlink">
    <w:name w:val="FollowedHyperlink"/>
    <w:basedOn w:val="DefaultParagraphFont"/>
    <w:uiPriority w:val="99"/>
    <w:semiHidden/>
    <w:unhideWhenUsed/>
    <w:rsid w:val="002749A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7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giworkinggroup@cpuc.ca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vgiworkinggroup@cpuc.ca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ephanie.palmer@arb.ca.go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open?id=0B4_ZRQzLAsLNdV9Fc0doVHZPZEU" TargetMode="External"/><Relationship Id="rId10" Type="http://schemas.openxmlformats.org/officeDocument/2006/relationships/hyperlink" Target="https://drive.google.com/open?id=0B4_ZRQzLAsLNLUVBbGlGVG1MV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puc.ca.gov/vgi/" TargetMode="External"/><Relationship Id="rId14" Type="http://schemas.openxmlformats.org/officeDocument/2006/relationships/hyperlink" Target="https://drive.google.com/drive/folders/0B4_ZRQzLAsLNeXRYcjRKa2FwUjg?usp=sharing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326D-0E3D-4395-9878-CEF29A39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Palmer</dc:creator>
  <cp:lastModifiedBy>Sisto, Carolyn</cp:lastModifiedBy>
  <cp:revision>3</cp:revision>
  <dcterms:created xsi:type="dcterms:W3CDTF">2017-06-30T00:09:00Z</dcterms:created>
  <dcterms:modified xsi:type="dcterms:W3CDTF">2017-06-30T00:17:00Z</dcterms:modified>
</cp:coreProperties>
</file>