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5C3F69" w:rsidTr="00284C98">
        <w:tc>
          <w:tcPr>
            <w:tcW w:w="2448" w:type="dxa"/>
          </w:tcPr>
          <w:p w:rsidR="005C3F69" w:rsidRDefault="00284C98">
            <w:pPr>
              <w:rPr>
                <w:b/>
              </w:rPr>
            </w:pPr>
            <w:r>
              <w:t>10:30-12:15</w:t>
            </w:r>
            <w:r w:rsidR="005C3F69">
              <w:t xml:space="preserve"> </w:t>
            </w:r>
            <w:r w:rsidR="005C3F69">
              <w:rPr>
                <w:b/>
              </w:rPr>
              <w:t>Panel 1</w:t>
            </w:r>
          </w:p>
          <w:p w:rsidR="006C0C52" w:rsidRPr="005C3F69" w:rsidRDefault="006C0C52" w:rsidP="006C0C52">
            <w:pPr>
              <w:rPr>
                <w:b/>
              </w:rPr>
            </w:pPr>
          </w:p>
        </w:tc>
        <w:tc>
          <w:tcPr>
            <w:tcW w:w="7128" w:type="dxa"/>
          </w:tcPr>
          <w:p w:rsidR="005C3F69" w:rsidRPr="005C3F69" w:rsidRDefault="005C3F69" w:rsidP="005C3F69">
            <w:pPr>
              <w:pStyle w:val="ListParagraph"/>
              <w:ind w:left="735" w:hanging="375"/>
            </w:pPr>
            <w:r w:rsidRPr="005C3F69">
              <w:t>Purpos</w:t>
            </w:r>
            <w:r w:rsidR="00A601D9">
              <w:t xml:space="preserve">e of the bond and reentry fees </w:t>
            </w:r>
          </w:p>
          <w:p w:rsidR="00A601D9" w:rsidRDefault="005C3F69" w:rsidP="00A601D9">
            <w:pPr>
              <w:pStyle w:val="ListParagraph"/>
              <w:numPr>
                <w:ilvl w:val="0"/>
                <w:numId w:val="2"/>
              </w:numPr>
            </w:pPr>
            <w:r w:rsidRPr="005C3F69">
              <w:t>Definition of “involuntary return” vs “voluntary return”</w:t>
            </w:r>
          </w:p>
          <w:p w:rsidR="00A601D9" w:rsidRPr="005C3F69" w:rsidRDefault="00A601D9" w:rsidP="00A601D9">
            <w:pPr>
              <w:pStyle w:val="ListParagraph"/>
              <w:numPr>
                <w:ilvl w:val="0"/>
                <w:numId w:val="2"/>
              </w:numPr>
            </w:pPr>
            <w:r>
              <w:t>Current m</w:t>
            </w:r>
            <w:r w:rsidRPr="005C3F69">
              <w:t>ethods for determining the</w:t>
            </w:r>
            <w:r>
              <w:t xml:space="preserve"> re-entry fees </w:t>
            </w:r>
          </w:p>
          <w:p w:rsidR="00A601D9" w:rsidRPr="005C3F69" w:rsidRDefault="00A601D9" w:rsidP="00A601D9">
            <w:pPr>
              <w:pStyle w:val="ListParagraph"/>
              <w:numPr>
                <w:ilvl w:val="1"/>
                <w:numId w:val="3"/>
              </w:numPr>
            </w:pPr>
            <w:r w:rsidRPr="005C3F69">
              <w:t>What are the current re-entry fees for each IOU?</w:t>
            </w:r>
          </w:p>
          <w:p w:rsidR="00A601D9" w:rsidRPr="005C3F69" w:rsidRDefault="00A601D9" w:rsidP="00A601D9">
            <w:pPr>
              <w:pStyle w:val="ListParagraph"/>
              <w:numPr>
                <w:ilvl w:val="1"/>
                <w:numId w:val="3"/>
              </w:numPr>
            </w:pPr>
            <w:r w:rsidRPr="005C3F69">
              <w:t>How are the re-entry fees calculated?</w:t>
            </w:r>
          </w:p>
          <w:p w:rsidR="00A601D9" w:rsidRPr="005C3F69" w:rsidRDefault="00A601D9" w:rsidP="00A601D9">
            <w:pPr>
              <w:pStyle w:val="ListParagraph"/>
              <w:numPr>
                <w:ilvl w:val="1"/>
                <w:numId w:val="3"/>
              </w:numPr>
            </w:pPr>
            <w:r w:rsidRPr="005C3F69">
              <w:t>To the extent there are significant differences in the re-entry fees in different IOU territories, what accounts for those differences?</w:t>
            </w:r>
          </w:p>
          <w:p w:rsidR="005C3F69" w:rsidRDefault="005C3F69" w:rsidP="00A601D9">
            <w:pPr>
              <w:pStyle w:val="ListParagraph"/>
              <w:numPr>
                <w:ilvl w:val="0"/>
                <w:numId w:val="2"/>
              </w:numPr>
            </w:pPr>
            <w:r w:rsidRPr="005C3F69">
              <w:t>What costs should the bond cover?</w:t>
            </w:r>
          </w:p>
          <w:p w:rsidR="00A601D9" w:rsidRPr="005C3F69" w:rsidRDefault="00A601D9" w:rsidP="00A601D9">
            <w:pPr>
              <w:pStyle w:val="ListParagraph"/>
              <w:numPr>
                <w:ilvl w:val="0"/>
                <w:numId w:val="2"/>
              </w:numPr>
            </w:pPr>
            <w:r>
              <w:t>Potential alternative methods for determining the amount of a</w:t>
            </w:r>
            <w:r w:rsidR="00C93A06">
              <w:t xml:space="preserve"> bond</w:t>
            </w:r>
          </w:p>
          <w:p w:rsidR="005C3F69" w:rsidRPr="005C3F69" w:rsidRDefault="005C3F69" w:rsidP="00A601D9">
            <w:pPr>
              <w:pStyle w:val="ListParagraph"/>
              <w:numPr>
                <w:ilvl w:val="0"/>
                <w:numId w:val="2"/>
              </w:numPr>
            </w:pPr>
            <w:r w:rsidRPr="005C3F69">
              <w:t>How, if at all, would any new methodology for the bond/evidence of insurance apply to operating CCAs that have posted the $100,000 under the</w:t>
            </w:r>
            <w:r w:rsidR="00A601D9">
              <w:t xml:space="preserve"> existing interim process in </w:t>
            </w:r>
            <w:r w:rsidR="00A601D9">
              <w:rPr>
                <w:rFonts w:cs="Book Antiqua"/>
                <w:color w:val="000000"/>
                <w:szCs w:val="24"/>
              </w:rPr>
              <w:t>Resolution E-4133</w:t>
            </w:r>
            <w:r w:rsidRPr="005C3F69">
              <w:t>?</w:t>
            </w:r>
          </w:p>
          <w:p w:rsidR="005C3F69" w:rsidRPr="005C3F69" w:rsidRDefault="005C3F69" w:rsidP="005C3F69">
            <w:pPr>
              <w:pStyle w:val="ListParagraph"/>
              <w:ind w:left="1440" w:hanging="360"/>
            </w:pPr>
          </w:p>
        </w:tc>
      </w:tr>
      <w:tr w:rsidR="005C3F69" w:rsidTr="00284C98">
        <w:tc>
          <w:tcPr>
            <w:tcW w:w="2448" w:type="dxa"/>
          </w:tcPr>
          <w:p w:rsidR="005C3F69" w:rsidRDefault="00284C98">
            <w:r>
              <w:t>12:15-1:15</w:t>
            </w:r>
          </w:p>
          <w:p w:rsidR="005C3F69" w:rsidRDefault="005C3F69">
            <w:pPr>
              <w:rPr>
                <w:b/>
              </w:rPr>
            </w:pPr>
            <w:r>
              <w:rPr>
                <w:b/>
              </w:rPr>
              <w:t>Lunch Breach</w:t>
            </w:r>
          </w:p>
          <w:p w:rsidR="005C3F69" w:rsidRPr="005C3F69" w:rsidRDefault="005C3F69">
            <w:pPr>
              <w:rPr>
                <w:b/>
              </w:rPr>
            </w:pPr>
          </w:p>
        </w:tc>
        <w:tc>
          <w:tcPr>
            <w:tcW w:w="7128" w:type="dxa"/>
          </w:tcPr>
          <w:p w:rsidR="005C3F69" w:rsidRPr="005C3F69" w:rsidRDefault="005C3F69" w:rsidP="005C3F69">
            <w:pPr>
              <w:pStyle w:val="ListParagraph"/>
              <w:ind w:left="735" w:hanging="375"/>
            </w:pPr>
          </w:p>
        </w:tc>
      </w:tr>
      <w:tr w:rsidR="005C3F69" w:rsidTr="00284C98">
        <w:tc>
          <w:tcPr>
            <w:tcW w:w="2448" w:type="dxa"/>
          </w:tcPr>
          <w:p w:rsidR="005C3F69" w:rsidRDefault="00284C98">
            <w:pPr>
              <w:rPr>
                <w:b/>
              </w:rPr>
            </w:pPr>
            <w:r>
              <w:t>1:15-1:45</w:t>
            </w:r>
            <w:r w:rsidR="005C3F69">
              <w:t xml:space="preserve"> </w:t>
            </w:r>
            <w:r w:rsidR="005C3F69">
              <w:rPr>
                <w:b/>
              </w:rPr>
              <w:t>Panel 2</w:t>
            </w:r>
          </w:p>
          <w:p w:rsidR="005C3F69" w:rsidRDefault="005C3F69">
            <w:pPr>
              <w:rPr>
                <w:b/>
              </w:rPr>
            </w:pPr>
          </w:p>
          <w:p w:rsidR="005C3F69" w:rsidRPr="005C3F69" w:rsidRDefault="005C3F69" w:rsidP="009D4A91"/>
        </w:tc>
        <w:tc>
          <w:tcPr>
            <w:tcW w:w="7128" w:type="dxa"/>
          </w:tcPr>
          <w:p w:rsidR="005C3F69" w:rsidRPr="005C3F69" w:rsidRDefault="005C3F69" w:rsidP="00284C98">
            <w:pPr>
              <w:pStyle w:val="ListParagraph"/>
              <w:ind w:left="735" w:hanging="375"/>
            </w:pPr>
            <w:r w:rsidRPr="005C3F69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Pr="005C3F69">
              <w:t>Discussion of financial security instruments, including letters of credit, surety bonds, insurance </w:t>
            </w:r>
          </w:p>
        </w:tc>
      </w:tr>
      <w:tr w:rsidR="005C3F69" w:rsidTr="00284C98">
        <w:tc>
          <w:tcPr>
            <w:tcW w:w="2448" w:type="dxa"/>
          </w:tcPr>
          <w:p w:rsidR="005C3F69" w:rsidRDefault="00284C98">
            <w:pPr>
              <w:rPr>
                <w:b/>
              </w:rPr>
            </w:pPr>
            <w:r>
              <w:t>1:45-2:15</w:t>
            </w:r>
            <w:r w:rsidR="005C3F69">
              <w:t xml:space="preserve"> </w:t>
            </w:r>
            <w:r w:rsidR="005C3F69">
              <w:rPr>
                <w:b/>
              </w:rPr>
              <w:t>Panel 3</w:t>
            </w:r>
          </w:p>
          <w:p w:rsidR="005C3F69" w:rsidRDefault="005C3F69">
            <w:pPr>
              <w:rPr>
                <w:b/>
              </w:rPr>
            </w:pPr>
          </w:p>
          <w:p w:rsidR="005C3F69" w:rsidRPr="005C3F69" w:rsidRDefault="005C3F69">
            <w:pPr>
              <w:rPr>
                <w:b/>
              </w:rPr>
            </w:pPr>
          </w:p>
        </w:tc>
        <w:tc>
          <w:tcPr>
            <w:tcW w:w="7128" w:type="dxa"/>
          </w:tcPr>
          <w:p w:rsidR="009C52D9" w:rsidRDefault="005C3F69" w:rsidP="009C52D9">
            <w:pPr>
              <w:pStyle w:val="ListParagraph"/>
              <w:ind w:left="735" w:hanging="375"/>
            </w:pPr>
            <w:r w:rsidRPr="005C3F69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9C52D9">
              <w:t>CCA perspective on risk mitigation:</w:t>
            </w:r>
          </w:p>
          <w:p w:rsidR="009C52D9" w:rsidRDefault="009C52D9" w:rsidP="009C52D9">
            <w:pPr>
              <w:pStyle w:val="ListParagraph"/>
              <w:numPr>
                <w:ilvl w:val="0"/>
                <w:numId w:val="7"/>
              </w:numPr>
            </w:pPr>
            <w:r w:rsidRPr="009C52D9">
              <w:t>Status of CCAs as public agencies subject to laws and regulations applicable to the prudent o</w:t>
            </w:r>
            <w:r w:rsidR="00C93A06">
              <w:t>peration of government entities</w:t>
            </w:r>
          </w:p>
          <w:p w:rsidR="009C52D9" w:rsidRPr="009C52D9" w:rsidRDefault="009C52D9" w:rsidP="009C52D9">
            <w:pPr>
              <w:pStyle w:val="ListParagraph"/>
              <w:numPr>
                <w:ilvl w:val="0"/>
                <w:numId w:val="7"/>
              </w:numPr>
            </w:pPr>
            <w:r w:rsidRPr="009C52D9">
              <w:t>Overview of CCA operations and management by governing boards through public meetings, including, approval of contracts and budgets, rate-setting processes, and risk management policies</w:t>
            </w:r>
          </w:p>
          <w:p w:rsidR="009C52D9" w:rsidRDefault="009C52D9" w:rsidP="009C52D9">
            <w:pPr>
              <w:pStyle w:val="ListParagraph"/>
              <w:numPr>
                <w:ilvl w:val="0"/>
                <w:numId w:val="7"/>
              </w:numPr>
            </w:pPr>
            <w:r w:rsidRPr="005C3F69">
              <w:t xml:space="preserve">Credit </w:t>
            </w:r>
            <w:r>
              <w:t xml:space="preserve">practice and policies, </w:t>
            </w:r>
            <w:r w:rsidR="005C3F69" w:rsidRPr="005C3F69">
              <w:t>CCA provisions to secure contracts, term of contracts and if there is fixed price involved</w:t>
            </w:r>
          </w:p>
          <w:p w:rsidR="009C52D9" w:rsidRDefault="009C52D9" w:rsidP="009C52D9">
            <w:pPr>
              <w:pStyle w:val="ListParagraph"/>
              <w:numPr>
                <w:ilvl w:val="0"/>
                <w:numId w:val="7"/>
              </w:numPr>
            </w:pPr>
            <w:r w:rsidRPr="009C52D9">
              <w:t>Legal obligations of CCAs for RA, RPS, PCIA, et</w:t>
            </w:r>
            <w:r w:rsidR="00C93A06">
              <w:t>c. that provide risk mitigation</w:t>
            </w:r>
          </w:p>
          <w:p w:rsidR="009C52D9" w:rsidRDefault="009C52D9" w:rsidP="009C52D9">
            <w:pPr>
              <w:pStyle w:val="ListParagraph"/>
              <w:numPr>
                <w:ilvl w:val="0"/>
                <w:numId w:val="7"/>
              </w:numPr>
            </w:pPr>
            <w:r w:rsidRPr="009C52D9">
              <w:t>Overview of a "What if" scenario involving an involuntary dissolution of public entity such a CCA, including processes, time</w:t>
            </w:r>
            <w:r w:rsidR="00C93A06">
              <w:t>lines, and notice requirements</w:t>
            </w:r>
          </w:p>
          <w:p w:rsidR="009C52D9" w:rsidRPr="005C3F69" w:rsidRDefault="009C52D9"/>
        </w:tc>
      </w:tr>
      <w:tr w:rsidR="005C3F69" w:rsidTr="00284C98">
        <w:tc>
          <w:tcPr>
            <w:tcW w:w="2448" w:type="dxa"/>
          </w:tcPr>
          <w:p w:rsidR="005C3F69" w:rsidRDefault="00284C98">
            <w:r>
              <w:t>2:15-2:30</w:t>
            </w:r>
          </w:p>
          <w:p w:rsidR="005C3F69" w:rsidRDefault="005C3F69">
            <w:r>
              <w:t>Break</w:t>
            </w:r>
          </w:p>
          <w:p w:rsidR="005C3F69" w:rsidRDefault="005C3F69"/>
        </w:tc>
        <w:tc>
          <w:tcPr>
            <w:tcW w:w="7128" w:type="dxa"/>
          </w:tcPr>
          <w:p w:rsidR="005C3F69" w:rsidRPr="005C3F69" w:rsidRDefault="005C3F69" w:rsidP="005C3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F69" w:rsidTr="00284C98">
        <w:tc>
          <w:tcPr>
            <w:tcW w:w="2448" w:type="dxa"/>
          </w:tcPr>
          <w:p w:rsidR="005C3F69" w:rsidRDefault="00284C98">
            <w:pPr>
              <w:rPr>
                <w:b/>
              </w:rPr>
            </w:pPr>
            <w:r>
              <w:t>2:30 – 3:00</w:t>
            </w:r>
            <w:r w:rsidR="005C3F69">
              <w:t xml:space="preserve"> </w:t>
            </w:r>
            <w:r w:rsidR="005C3F69">
              <w:rPr>
                <w:b/>
              </w:rPr>
              <w:t>Panel 4</w:t>
            </w:r>
          </w:p>
          <w:p w:rsidR="005C3F69" w:rsidRPr="005C3F69" w:rsidRDefault="005C3F6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128" w:type="dxa"/>
          </w:tcPr>
          <w:p w:rsidR="005C3F69" w:rsidRDefault="005C3F69" w:rsidP="005C3F69">
            <w:pPr>
              <w:pStyle w:val="ListParagraph"/>
              <w:ind w:left="375" w:hanging="33"/>
            </w:pPr>
            <w:r w:rsidRPr="005C3F69">
              <w:t xml:space="preserve">What are potential scenarios of involuntary </w:t>
            </w:r>
            <w:r>
              <w:t xml:space="preserve">customer returns that create a </w:t>
            </w:r>
            <w:r w:rsidRPr="005C3F69">
              <w:t>risk of cost-shifting under Section 394.25(e) and which would be mitigated by the CCA bond?</w:t>
            </w:r>
          </w:p>
          <w:p w:rsidR="006C0C52" w:rsidRDefault="006C0C52" w:rsidP="005C3F69">
            <w:pPr>
              <w:pStyle w:val="ListParagraph"/>
              <w:ind w:left="375" w:hanging="33"/>
            </w:pPr>
          </w:p>
          <w:p w:rsidR="006C0C52" w:rsidRPr="005C3F69" w:rsidRDefault="006C0C52" w:rsidP="005C3F69">
            <w:pPr>
              <w:pStyle w:val="ListParagraph"/>
              <w:ind w:left="375" w:hanging="33"/>
            </w:pPr>
          </w:p>
        </w:tc>
      </w:tr>
      <w:tr w:rsidR="005C3F69" w:rsidTr="00284C98">
        <w:tc>
          <w:tcPr>
            <w:tcW w:w="2448" w:type="dxa"/>
          </w:tcPr>
          <w:p w:rsidR="005C3F69" w:rsidRDefault="00284C98">
            <w:r>
              <w:t>3:00-3:15</w:t>
            </w:r>
            <w:r w:rsidR="005C3F69">
              <w:t xml:space="preserve"> Wrap Up / </w:t>
            </w:r>
            <w:r w:rsidR="005C3F69">
              <w:lastRenderedPageBreak/>
              <w:t>Questions</w:t>
            </w:r>
          </w:p>
        </w:tc>
        <w:tc>
          <w:tcPr>
            <w:tcW w:w="7128" w:type="dxa"/>
          </w:tcPr>
          <w:p w:rsidR="005C3F69" w:rsidRDefault="005C3F69"/>
        </w:tc>
      </w:tr>
    </w:tbl>
    <w:p w:rsidR="007F14C5" w:rsidRDefault="00433669"/>
    <w:sectPr w:rsidR="007F1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69" w:rsidRDefault="00433669" w:rsidP="005C3F69">
      <w:pPr>
        <w:spacing w:after="0" w:line="240" w:lineRule="auto"/>
      </w:pPr>
      <w:r>
        <w:separator/>
      </w:r>
    </w:p>
  </w:endnote>
  <w:endnote w:type="continuationSeparator" w:id="0">
    <w:p w:rsidR="00433669" w:rsidRDefault="00433669" w:rsidP="005C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FF" w:rsidRDefault="00104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FF" w:rsidRDefault="00104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FF" w:rsidRDefault="0010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69" w:rsidRDefault="00433669" w:rsidP="005C3F69">
      <w:pPr>
        <w:spacing w:after="0" w:line="240" w:lineRule="auto"/>
      </w:pPr>
      <w:r>
        <w:separator/>
      </w:r>
    </w:p>
  </w:footnote>
  <w:footnote w:type="continuationSeparator" w:id="0">
    <w:p w:rsidR="00433669" w:rsidRDefault="00433669" w:rsidP="005C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FF" w:rsidRDefault="00104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69" w:rsidRDefault="005C3F69" w:rsidP="005C3F69">
    <w:pPr>
      <w:pStyle w:val="Header"/>
      <w:jc w:val="center"/>
    </w:pPr>
    <w:r>
      <w:t>Proposed Agenda</w:t>
    </w:r>
  </w:p>
  <w:p w:rsidR="00BF152E" w:rsidRPr="006C0C52" w:rsidRDefault="006C0C52" w:rsidP="005C3F69">
    <w:pPr>
      <w:pStyle w:val="Header"/>
      <w:jc w:val="center"/>
      <w:rPr>
        <w:u w:val="single"/>
      </w:rPr>
    </w:pPr>
    <w:r w:rsidRPr="006C0C52">
      <w:rPr>
        <w:u w:val="single"/>
      </w:rPr>
      <w:t>CCA Bond Requirement Workshop (R.03-10-003)</w:t>
    </w:r>
  </w:p>
  <w:p w:rsidR="00BF152E" w:rsidRDefault="00BF152E" w:rsidP="005C3F69">
    <w:pPr>
      <w:pStyle w:val="Header"/>
      <w:jc w:val="center"/>
    </w:pPr>
    <w:r>
      <w:t>April 5, 2017</w:t>
    </w:r>
  </w:p>
  <w:p w:rsidR="00BF152E" w:rsidRDefault="00BF152E" w:rsidP="005C3F69">
    <w:pPr>
      <w:pStyle w:val="Header"/>
      <w:jc w:val="center"/>
    </w:pPr>
    <w:r>
      <w:t>Hearing Room 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FF" w:rsidRDefault="00104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678"/>
    <w:multiLevelType w:val="hybridMultilevel"/>
    <w:tmpl w:val="0DF4A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0A671D"/>
    <w:multiLevelType w:val="hybridMultilevel"/>
    <w:tmpl w:val="208CDFE2"/>
    <w:lvl w:ilvl="0" w:tplc="EA30E1F6">
      <w:start w:val="1"/>
      <w:numFmt w:val="low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1A703F"/>
    <w:multiLevelType w:val="hybridMultilevel"/>
    <w:tmpl w:val="7B32B06E"/>
    <w:lvl w:ilvl="0" w:tplc="DBB8CAF4">
      <w:start w:val="1"/>
      <w:numFmt w:val="lowerLetter"/>
      <w:lvlText w:val="%1."/>
      <w:lvlJc w:val="left"/>
      <w:pPr>
        <w:ind w:left="14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D51657"/>
    <w:multiLevelType w:val="hybridMultilevel"/>
    <w:tmpl w:val="67106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3A2DAD"/>
    <w:multiLevelType w:val="multilevel"/>
    <w:tmpl w:val="2512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F3861"/>
    <w:multiLevelType w:val="hybridMultilevel"/>
    <w:tmpl w:val="20EC83CA"/>
    <w:lvl w:ilvl="0" w:tplc="DBB8C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7D316B"/>
    <w:multiLevelType w:val="hybridMultilevel"/>
    <w:tmpl w:val="20C20A4E"/>
    <w:lvl w:ilvl="0" w:tplc="DBB8CAF4">
      <w:start w:val="1"/>
      <w:numFmt w:val="lowerLetter"/>
      <w:lvlText w:val="%1."/>
      <w:lvlJc w:val="left"/>
      <w:pPr>
        <w:ind w:left="145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9"/>
    <w:rsid w:val="00104DFF"/>
    <w:rsid w:val="00236681"/>
    <w:rsid w:val="00284C98"/>
    <w:rsid w:val="00433669"/>
    <w:rsid w:val="00455B59"/>
    <w:rsid w:val="005C3F69"/>
    <w:rsid w:val="006C0C52"/>
    <w:rsid w:val="00700525"/>
    <w:rsid w:val="007F74F1"/>
    <w:rsid w:val="0085656D"/>
    <w:rsid w:val="00872E3B"/>
    <w:rsid w:val="009C52D9"/>
    <w:rsid w:val="009D4A91"/>
    <w:rsid w:val="00A601D9"/>
    <w:rsid w:val="00BF152E"/>
    <w:rsid w:val="00C92876"/>
    <w:rsid w:val="00C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F69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69"/>
  </w:style>
  <w:style w:type="paragraph" w:styleId="Footer">
    <w:name w:val="footer"/>
    <w:basedOn w:val="Normal"/>
    <w:link w:val="FooterChar"/>
    <w:uiPriority w:val="99"/>
    <w:unhideWhenUsed/>
    <w:rsid w:val="005C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F69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69"/>
  </w:style>
  <w:style w:type="paragraph" w:styleId="Footer">
    <w:name w:val="footer"/>
    <w:basedOn w:val="Normal"/>
    <w:link w:val="FooterChar"/>
    <w:uiPriority w:val="99"/>
    <w:unhideWhenUsed/>
    <w:rsid w:val="005C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Casazza, Suzanne</dc:creator>
  <cp:lastModifiedBy>Casazza, Suzanne</cp:lastModifiedBy>
  <cp:revision>2</cp:revision>
  <dcterms:created xsi:type="dcterms:W3CDTF">2017-03-30T22:32:00Z</dcterms:created>
  <dcterms:modified xsi:type="dcterms:W3CDTF">2017-03-30T22:32:00Z</dcterms:modified>
</cp:coreProperties>
</file>