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4D77C" w14:textId="3A6F0033" w:rsidR="00FA26FD" w:rsidRPr="00220932" w:rsidRDefault="00220932" w:rsidP="00FA26FD">
      <w:pPr>
        <w:pStyle w:val="Title"/>
        <w:rPr>
          <w:lang w:val="es-ES"/>
        </w:rPr>
      </w:pPr>
      <w:r>
        <w:rPr>
          <w:lang w:val="es"/>
        </w:rPr>
        <w:t>Procedimiento trienal sobre los gastos de desmantelamiento nuclear de SCE/SDG&amp;E para 2024: Solicitud (A. 24-12-003)</w:t>
      </w:r>
    </w:p>
    <w:p w14:paraId="113E823C" w14:textId="7E3CF16D" w:rsidR="008D0134" w:rsidRPr="00220932" w:rsidRDefault="00220932" w:rsidP="26382A69">
      <w:pPr>
        <w:pStyle w:val="Heading1"/>
        <w:spacing w:after="280"/>
        <w:rPr>
          <w:lang w:val="es-ES"/>
        </w:rPr>
      </w:pPr>
      <w:r>
        <w:rPr>
          <w:lang w:val="es"/>
        </w:rPr>
        <w:t>Antecedentes</w:t>
      </w:r>
    </w:p>
    <w:p w14:paraId="70AEE4E0" w14:textId="4D7F2F51" w:rsidR="006B473A" w:rsidRPr="00220932" w:rsidRDefault="00220932" w:rsidP="006B473A">
      <w:pPr>
        <w:rPr>
          <w:lang w:val="es-ES"/>
        </w:rPr>
      </w:pPr>
      <w:r>
        <w:rPr>
          <w:lang w:val="es"/>
        </w:rPr>
        <w:t xml:space="preserve">Cada tres años, Southern California Edison (SCE) y San Diego Gas &amp; Electric (SDG&amp;E) presentan una solicitud conjunta </w:t>
      </w:r>
      <w:r>
        <w:rPr>
          <w:lang w:val="es"/>
        </w:rPr>
        <w:t>denominada Procedimiento trienal sobre los gastos de desmantelamiento nuclear (NDCTP, por sus siglas en inglés). En el NDCTP, la Comisión de Servicios Públicos de California (CPUC, por sus siglas en inglés) revisa las previsiones de las empresas de servicios públicos sobre los gastos previstos para el desmantelamiento y evalúa la razonabilidad de cualquier retirada propuesta del fondo fiduciario. En diciembre de 2024, SCE y SDG&amp;E presentaron una solicitud conjunta (A.) 24-12-003, su NDCTP de 2024, para abor</w:t>
      </w:r>
      <w:r>
        <w:rPr>
          <w:lang w:val="es"/>
        </w:rPr>
        <w:t>dar los gastos de desmantelamiento de SCE y SDG&amp;E para la Central Nuclear de San Onofre (SONGS, por sus siglas en inglés) y los gastos de desmantelamiento de SCE para la Central Nuclear de Palo Verde (PVNGS, por sus siglas en inglés).</w:t>
      </w:r>
    </w:p>
    <w:p w14:paraId="0D72DC49" w14:textId="38661E28" w:rsidR="004571FA" w:rsidRPr="00220932" w:rsidRDefault="00220932" w:rsidP="006B473A">
      <w:pPr>
        <w:rPr>
          <w:lang w:val="es-ES"/>
        </w:rPr>
      </w:pPr>
      <w:r>
        <w:rPr>
          <w:lang w:val="es"/>
        </w:rPr>
        <w:t>SCE y SDG&amp;E son copropietarias de SONGS. SONGS tenía tres unidades nucleares. La unidad 1 cerró definitivamente en 1992 y está casi completamente clausurada. Las unidades 2 y 3 se desconectaron en 2012 y se cerraron definitivamente en junio de 2013; el desmantelamiento de las unidades 2 y 3 está en curso.</w:t>
      </w:r>
    </w:p>
    <w:p w14:paraId="05274F56" w14:textId="1397539F" w:rsidR="008773EF" w:rsidRPr="00220932" w:rsidRDefault="00220932" w:rsidP="006B473A">
      <w:pPr>
        <w:rPr>
          <w:lang w:val="es-ES"/>
        </w:rPr>
      </w:pPr>
      <w:r w:rsidRPr="004571FA">
        <w:rPr>
          <w:lang w:val="es"/>
        </w:rPr>
        <w:t>SCE posee una participación del 15,8 % en PVNGS, que es operada por el Servicio Público de Arizona. Esta planta, situada en las afueras de Phoenix, Arizona, sigue en funcionamiento. Las licencias de las tres unidades de PVNGS se renovaron en 2011, y la fecha de cierre de la unidad 1 se amplió hasta el 1 de junio de 2045; la de la unidad 2, hasta el 24 de abril de 2046; y la de la unidad 3, hasta el 24 de noviembre de 2047.</w:t>
      </w:r>
    </w:p>
    <w:p w14:paraId="07BF0902" w14:textId="2DE1792F" w:rsidR="006D78F6" w:rsidRPr="00220932" w:rsidRDefault="00220932" w:rsidP="26382A69">
      <w:pPr>
        <w:rPr>
          <w:lang w:val="es-ES"/>
        </w:rPr>
      </w:pPr>
      <w:r>
        <w:rPr>
          <w:lang w:val="es"/>
        </w:rPr>
        <w:t>El último NDCTP (A.22-02-016) se presentó en 2021. La CPUC emitió una decisión (D.24-08-001) en agosto de 2024 en el caso A.22-02-016, en la que mantuvo en 0 dólares las contribuciones anuales de los contribuyentes a los fondos fiduciarios de desmantelamiento y aprobó un acuerdo que:</w:t>
      </w:r>
    </w:p>
    <w:p w14:paraId="29075794" w14:textId="0610DE4C" w:rsidR="006D78F6" w:rsidRPr="00220932" w:rsidRDefault="00220932" w:rsidP="5A5DFEF4">
      <w:pPr>
        <w:pStyle w:val="ListParagraph"/>
        <w:numPr>
          <w:ilvl w:val="0"/>
          <w:numId w:val="16"/>
        </w:numPr>
        <w:rPr>
          <w:szCs w:val="26"/>
          <w:lang w:val="es-ES"/>
        </w:rPr>
      </w:pPr>
      <w:r>
        <w:rPr>
          <w:lang w:val="es"/>
        </w:rPr>
        <w:t xml:space="preserve">Consideró razonables los gastos de desmantelamiento para 2018-2020 </w:t>
      </w:r>
      <w:r w:rsidRPr="5A5DFEF4">
        <w:rPr>
          <w:sz w:val="24"/>
          <w:lang w:val="es"/>
        </w:rPr>
        <w:t>de $3,1 millones para SONGS 1 y $606,7 millones para las unidades 2 y 3 de SONGS;</w:t>
      </w:r>
    </w:p>
    <w:p w14:paraId="1C2DC7B0" w14:textId="41D8F971" w:rsidR="006D78F6" w:rsidRPr="00220932" w:rsidRDefault="00220932" w:rsidP="5A5DFEF4">
      <w:pPr>
        <w:pStyle w:val="ListParagraph"/>
        <w:numPr>
          <w:ilvl w:val="0"/>
          <w:numId w:val="16"/>
        </w:numPr>
        <w:rPr>
          <w:szCs w:val="26"/>
          <w:lang w:val="es-ES"/>
        </w:rPr>
      </w:pPr>
      <w:r w:rsidRPr="2285719E">
        <w:rPr>
          <w:szCs w:val="26"/>
          <w:lang w:val="es"/>
        </w:rPr>
        <w:t>Rechazó $30 millones en gastos para los contribuyentes y, en su lugar, ordenó a los accionistas de la empresa de servicios públicos que pagaran dichos gastos a los fondos fiduciarios para el desmantelamiento nuclear;</w:t>
      </w:r>
    </w:p>
    <w:p w14:paraId="5BB73A87" w14:textId="53C913D2" w:rsidR="006D78F6" w:rsidRPr="00220932" w:rsidRDefault="00220932" w:rsidP="5A5DFEF4">
      <w:pPr>
        <w:pStyle w:val="ListParagraph"/>
        <w:numPr>
          <w:ilvl w:val="0"/>
          <w:numId w:val="16"/>
        </w:numPr>
        <w:rPr>
          <w:szCs w:val="26"/>
          <w:lang w:val="es-ES"/>
        </w:rPr>
      </w:pPr>
      <w:r w:rsidRPr="5A5DFEF4">
        <w:rPr>
          <w:szCs w:val="26"/>
          <w:lang w:val="es"/>
        </w:rPr>
        <w:t>Consideró razonables las estimaciones de los costes de desmantelamiento (DCE) de $225,9 millones para la unidad 1 de SONGS y de $4712 millones para las unidades 2 y 3 de SONGS.</w:t>
      </w:r>
    </w:p>
    <w:p w14:paraId="00969CBC" w14:textId="3D740F5E" w:rsidR="4542B118" w:rsidRPr="00220932" w:rsidRDefault="00220932" w:rsidP="78ADC666">
      <w:pPr>
        <w:rPr>
          <w:rFonts w:ascii="Century Gothic" w:eastAsia="Century Gothic" w:hAnsi="Century Gothic" w:cs="Century Gothic"/>
          <w:b/>
          <w:bCs/>
          <w:color w:val="806000" w:themeColor="accent4" w:themeShade="80"/>
          <w:sz w:val="24"/>
          <w:lang w:val="es-ES"/>
        </w:rPr>
      </w:pPr>
      <w:r>
        <w:rPr>
          <w:rFonts w:ascii="Century Gothic" w:eastAsia="Century Gothic" w:hAnsi="Century Gothic" w:cs="Century Gothic"/>
          <w:b/>
          <w:bCs/>
          <w:color w:val="806000" w:themeColor="accent4" w:themeShade="80"/>
          <w:sz w:val="24"/>
          <w:lang w:val="es"/>
        </w:rPr>
        <w:t>Solicitud (A.) 24-12-003</w:t>
      </w:r>
    </w:p>
    <w:p w14:paraId="150705CF" w14:textId="7E834537" w:rsidR="00AF7707" w:rsidRDefault="00220932" w:rsidP="00412C8B">
      <w:r>
        <w:rPr>
          <w:lang w:val="es"/>
        </w:rPr>
        <w:lastRenderedPageBreak/>
        <w:t xml:space="preserve">SCE y SDG&amp;E presentaron conjuntamente la solicitud </w:t>
      </w:r>
      <w:hyperlink r:id="rId11">
        <w:r w:rsidR="00AF7707" w:rsidRPr="5A5DFEF4">
          <w:rPr>
            <w:rStyle w:val="Hyperlink"/>
            <w:lang w:val="es"/>
          </w:rPr>
          <w:t>A.24-12-003</w:t>
        </w:r>
      </w:hyperlink>
      <w:r>
        <w:rPr>
          <w:lang w:val="es"/>
        </w:rPr>
        <w:t xml:space="preserve"> el 6 de diciembre de 2024. En la solicitud, requieren a la CPUC que:</w:t>
      </w:r>
    </w:p>
    <w:p w14:paraId="610E3640" w14:textId="093C19BC" w:rsidR="00500387" w:rsidRPr="00220932" w:rsidRDefault="00220932" w:rsidP="5A77D113">
      <w:pPr>
        <w:pStyle w:val="ListParagraph"/>
        <w:numPr>
          <w:ilvl w:val="0"/>
          <w:numId w:val="1"/>
        </w:numPr>
        <w:rPr>
          <w:lang w:val="es-ES"/>
        </w:rPr>
      </w:pPr>
      <w:r>
        <w:rPr>
          <w:lang w:val="es"/>
        </w:rPr>
        <w:t>apruebe como razonables los $5,07 millones y los $518,6 millones en gastos de desmantelamiento incurridos por SONGS 1 y SONGS 2 y 3, respectivamente, para proyectos completados entre 2021 y 2023;</w:t>
      </w:r>
    </w:p>
    <w:p w14:paraId="6B2B7AC8" w14:textId="663BDD70" w:rsidR="00120F91" w:rsidRPr="00220932" w:rsidRDefault="00220932" w:rsidP="002D38A8">
      <w:pPr>
        <w:pStyle w:val="ListParagraph"/>
        <w:numPr>
          <w:ilvl w:val="0"/>
          <w:numId w:val="1"/>
        </w:numPr>
        <w:rPr>
          <w:lang w:val="es-ES"/>
        </w:rPr>
      </w:pPr>
      <w:r>
        <w:rPr>
          <w:lang w:val="es"/>
        </w:rPr>
        <w:t>apruebe como razonable la participación del 20 % de SDG&amp;E en estos gastos, así como sus $18,6 millones en gastos "exclusivos de SDG&amp;E" para SONGS 1, 2 y 3;</w:t>
      </w:r>
    </w:p>
    <w:p w14:paraId="75953531" w14:textId="59782C71" w:rsidR="008055C7" w:rsidRPr="00220932" w:rsidRDefault="00220932" w:rsidP="1CBD3DC1">
      <w:pPr>
        <w:pStyle w:val="ListParagraph"/>
        <w:numPr>
          <w:ilvl w:val="0"/>
          <w:numId w:val="1"/>
        </w:numPr>
        <w:rPr>
          <w:rFonts w:eastAsia="Calibri"/>
          <w:lang w:val="es-ES"/>
        </w:rPr>
      </w:pPr>
      <w:r w:rsidRPr="26382A69">
        <w:rPr>
          <w:rFonts w:eastAsia="Calibri"/>
          <w:lang w:val="es"/>
        </w:rPr>
        <w:t>considere razonables los DCE propuestos de $215 millones para SONGS 1 y $4709 mil millones para SONGS 2 y 3;</w:t>
      </w:r>
    </w:p>
    <w:p w14:paraId="1690C613" w14:textId="39BB370A" w:rsidR="00AF7707" w:rsidRPr="00220932" w:rsidRDefault="00220932" w:rsidP="1CBD3DC1">
      <w:pPr>
        <w:pStyle w:val="ListParagraph"/>
        <w:numPr>
          <w:ilvl w:val="0"/>
          <w:numId w:val="1"/>
        </w:numPr>
        <w:rPr>
          <w:rFonts w:eastAsia="Calibri"/>
          <w:lang w:val="es-ES"/>
        </w:rPr>
      </w:pPr>
      <w:r w:rsidRPr="26382A69">
        <w:rPr>
          <w:rFonts w:eastAsia="Calibri"/>
          <w:lang w:val="es"/>
        </w:rPr>
        <w:t xml:space="preserve">Considere </w:t>
      </w:r>
      <w:r w:rsidRPr="26382A69">
        <w:rPr>
          <w:rFonts w:eastAsia="Calibri"/>
          <w:lang w:val="es"/>
        </w:rPr>
        <w:t>razonable el DCE propuesto para PVNGS de $632,1 millones;</w:t>
      </w:r>
    </w:p>
    <w:p w14:paraId="39299A21" w14:textId="4E1AAFB2" w:rsidR="00120F91" w:rsidRPr="00220932" w:rsidRDefault="00220932" w:rsidP="26382A69">
      <w:pPr>
        <w:pStyle w:val="ListParagraph"/>
        <w:numPr>
          <w:ilvl w:val="0"/>
          <w:numId w:val="1"/>
        </w:numPr>
        <w:rPr>
          <w:rFonts w:eastAsia="Calibri"/>
          <w:lang w:val="es-ES"/>
        </w:rPr>
      </w:pPr>
      <w:r w:rsidRPr="26382A69">
        <w:rPr>
          <w:rFonts w:eastAsia="Calibri"/>
          <w:lang w:val="es"/>
        </w:rPr>
        <w:t>Apruebe la solicitud de mantener las contribuciones anuales de $0 a los fondos fiduciarios para el desmantelamiento nuclear de SONGS y PVNGS.</w:t>
      </w:r>
    </w:p>
    <w:p w14:paraId="5301FF91" w14:textId="77777777" w:rsidR="00D76AE3" w:rsidRPr="00220932" w:rsidRDefault="00220932" w:rsidP="00D76AE3">
      <w:pPr>
        <w:pStyle w:val="Heading1"/>
        <w:rPr>
          <w:lang w:val="es-ES"/>
        </w:rPr>
      </w:pPr>
      <w:r>
        <w:rPr>
          <w:lang w:val="es"/>
        </w:rPr>
        <w:t>Audiencias de participación pública</w:t>
      </w:r>
    </w:p>
    <w:p w14:paraId="0EB6514B" w14:textId="07C46FD3" w:rsidR="00D76AE3" w:rsidRPr="00220932" w:rsidRDefault="00220932" w:rsidP="00D76AE3">
      <w:pPr>
        <w:rPr>
          <w:lang w:val="es-ES"/>
        </w:rPr>
      </w:pPr>
      <w:r>
        <w:rPr>
          <w:lang w:val="es"/>
        </w:rPr>
        <w:t xml:space="preserve">Se celebrarán dos audiencias de participación pública presenciales (PPH, por sus siglas en inglés) a las 2 p. m. y a las 6 p. m. el 17 de julio del 2025, para brindar oportunidades al público de comunicarse directamente con la CPUC sobre temas planteados en esta reglamentación. Se celebrará una PPH adicional solo por WebEx a las 2 p. m. del 16 de julio de 2025. El público puede ver una transmisión en vivo por video de la audiencia remota en </w:t>
      </w:r>
      <w:hyperlink r:id="rId12">
        <w:r w:rsidR="00D76AE3" w:rsidRPr="26382A69">
          <w:rPr>
            <w:rStyle w:val="Hyperlink"/>
            <w:lang w:val="es"/>
          </w:rPr>
          <w:t>https://www.AdminMonitor.com/ca/cpuc</w:t>
        </w:r>
      </w:hyperlink>
      <w:r>
        <w:rPr>
          <w:lang w:val="es"/>
        </w:rPr>
        <w:t xml:space="preserve"> o participar por teléfono (sin cargo) marcando 1-800-857-1917 y luego ingresando el código 6032788#.  Para más información visite </w:t>
      </w:r>
      <w:hyperlink r:id="rId13">
        <w:r w:rsidR="00D76AE3" w:rsidRPr="26382A69">
          <w:rPr>
            <w:rStyle w:val="Hyperlink"/>
            <w:lang w:val="es"/>
          </w:rPr>
          <w:t>https://www.cpuc.ca.gov/pph/</w:t>
        </w:r>
      </w:hyperlink>
      <w:r>
        <w:rPr>
          <w:lang w:val="es"/>
        </w:rPr>
        <w:t>.</w:t>
      </w:r>
    </w:p>
    <w:p w14:paraId="03596824" w14:textId="77777777" w:rsidR="00D76AE3" w:rsidRPr="00220932" w:rsidRDefault="00220932" w:rsidP="00D76AE3">
      <w:pPr>
        <w:pStyle w:val="Heading1"/>
        <w:rPr>
          <w:lang w:val="es-ES"/>
        </w:rPr>
      </w:pPr>
      <w:r>
        <w:rPr>
          <w:lang w:val="es"/>
        </w:rPr>
        <w:t>Otras formas de participar</w:t>
      </w:r>
    </w:p>
    <w:p w14:paraId="17FCE1E8" w14:textId="752F204C" w:rsidR="00D76AE3" w:rsidRPr="00220932" w:rsidRDefault="00220932" w:rsidP="00D76AE3">
      <w:pPr>
        <w:rPr>
          <w:lang w:val="es-ES"/>
        </w:rPr>
      </w:pPr>
      <w:r w:rsidRPr="26382A69">
        <w:rPr>
          <w:b/>
          <w:bCs/>
          <w:lang w:val="es"/>
        </w:rPr>
        <w:t xml:space="preserve">Suscríbase </w:t>
      </w:r>
      <w:r>
        <w:rPr>
          <w:lang w:val="es"/>
        </w:rPr>
        <w:t xml:space="preserve"> para recibir documentos en A.24-12-003 en: </w:t>
      </w:r>
      <w:hyperlink r:id="rId14" w:history="1">
        <w:r w:rsidR="00D76AE3">
          <w:rPr>
            <w:lang w:val="es"/>
          </w:rPr>
          <w:t>http://</w:t>
        </w:r>
        <w:r w:rsidR="00D76AE3" w:rsidRPr="26382A69">
          <w:rPr>
            <w:rStyle w:val="Hyperlink"/>
            <w:lang w:val="es"/>
          </w:rPr>
          <w:t>subscribecpuc.cpuc.ca.gov</w:t>
        </w:r>
      </w:hyperlink>
      <w:r>
        <w:rPr>
          <w:lang w:val="es"/>
        </w:rPr>
        <w:t xml:space="preserve"> </w:t>
      </w:r>
    </w:p>
    <w:p w14:paraId="5B7336EE" w14:textId="34EA788B" w:rsidR="00D76AE3" w:rsidRPr="00220932" w:rsidRDefault="00220932" w:rsidP="00D76AE3">
      <w:pPr>
        <w:rPr>
          <w:lang w:val="es-ES"/>
        </w:rPr>
      </w:pPr>
      <w:r w:rsidRPr="007408E2">
        <w:rPr>
          <w:b/>
          <w:bCs/>
          <w:lang w:val="es"/>
        </w:rPr>
        <w:t>Envíe</w:t>
      </w:r>
      <w:r>
        <w:rPr>
          <w:lang w:val="es"/>
        </w:rPr>
        <w:t xml:space="preserve"> </w:t>
      </w:r>
      <w:r w:rsidRPr="009275E3">
        <w:rPr>
          <w:b/>
          <w:bCs/>
          <w:lang w:val="es"/>
        </w:rPr>
        <w:t>sus comentarios</w:t>
      </w:r>
      <w:r>
        <w:rPr>
          <w:lang w:val="es"/>
        </w:rPr>
        <w:t xml:space="preserve"> electrónicamente a la CPUC utilizando el botón "Añadir comentario público" en la pestaña "Comentarios públicos" de la ficha del expediente A.24-12-003 en: </w:t>
      </w:r>
      <w:hyperlink r:id="rId15" w:history="1">
        <w:r w:rsidR="00D76AE3" w:rsidRPr="00D76AE3">
          <w:rPr>
            <w:rStyle w:val="Hyperlink"/>
            <w:lang w:val="es"/>
          </w:rPr>
          <w:t>apps.cpuc.ca.gov/c/A2412003</w:t>
        </w:r>
      </w:hyperlink>
      <w:r>
        <w:rPr>
          <w:lang w:val="es"/>
        </w:rPr>
        <w:t>. También puede consultar otros comentarios públicos relacionados con esta aplicación.  El público podrá enviar comentarios públicos múltiples a lo largo del proceso.</w:t>
      </w:r>
    </w:p>
    <w:p w14:paraId="6E0F2465" w14:textId="49E2E956" w:rsidR="00D76AE3" w:rsidRPr="00220932" w:rsidRDefault="00220932" w:rsidP="00D76AE3">
      <w:pPr>
        <w:rPr>
          <w:lang w:val="es-ES"/>
        </w:rPr>
      </w:pPr>
      <w:r w:rsidRPr="00F55924">
        <w:rPr>
          <w:b/>
          <w:bCs/>
          <w:lang w:val="es"/>
        </w:rPr>
        <w:t xml:space="preserve">Para consultar la aplicación y todos los expedientes formales </w:t>
      </w:r>
      <w:r w:rsidRPr="009275E3">
        <w:rPr>
          <w:lang w:val="es"/>
        </w:rPr>
        <w:t xml:space="preserve">de este procedimiento, incluidas las decisiones propuestas cuando se publiquen, visite </w:t>
      </w:r>
      <w:hyperlink r:id="rId16" w:history="1">
        <w:r w:rsidR="00D76AE3" w:rsidRPr="00D76AE3">
          <w:rPr>
            <w:rStyle w:val="Hyperlink"/>
            <w:lang w:val="es"/>
          </w:rPr>
          <w:t>apps.cpuc.ca.gov/p/A2412003</w:t>
        </w:r>
      </w:hyperlink>
      <w:r w:rsidRPr="009275E3">
        <w:rPr>
          <w:lang w:val="es"/>
        </w:rPr>
        <w:t xml:space="preserve"> y seleccione la pestaña "Documentos" en la parte superior de la página. </w:t>
      </w:r>
    </w:p>
    <w:p w14:paraId="55F43206" w14:textId="77777777" w:rsidR="00D76AE3" w:rsidRPr="00220932" w:rsidRDefault="00220932" w:rsidP="00D76AE3">
      <w:pPr>
        <w:rPr>
          <w:rFonts w:ascii="Century Gothic" w:eastAsiaTheme="majorEastAsia" w:hAnsi="Century Gothic" w:cs="Times New Roman (Headings CS)"/>
          <w:b/>
          <w:color w:val="806000" w:themeColor="accent4" w:themeShade="80"/>
          <w:spacing w:val="10"/>
          <w:sz w:val="24"/>
          <w:szCs w:val="22"/>
          <w:lang w:val="es-ES"/>
        </w:rPr>
      </w:pPr>
      <w:r w:rsidRPr="00F55924">
        <w:rPr>
          <w:lang w:val="es"/>
        </w:rPr>
        <w:t xml:space="preserve">Más información sobre la CPUC y sus programas y servicios en: </w:t>
      </w:r>
      <w:hyperlink r:id="rId17" w:history="1">
        <w:r w:rsidR="00D76AE3" w:rsidRPr="002D1D47">
          <w:rPr>
            <w:rStyle w:val="Hyperlink"/>
            <w:lang w:val="es"/>
          </w:rPr>
          <w:t>https://www.cpuc.ca.gov/</w:t>
        </w:r>
      </w:hyperlink>
      <w:r w:rsidRPr="00F55924">
        <w:rPr>
          <w:lang w:val="es"/>
        </w:rPr>
        <w:t>.</w:t>
      </w:r>
    </w:p>
    <w:p w14:paraId="142FE96C" w14:textId="77777777" w:rsidR="00D76AE3" w:rsidRPr="00220932" w:rsidRDefault="00220932" w:rsidP="00220932">
      <w:pPr>
        <w:pStyle w:val="Heading1"/>
        <w:spacing w:before="0"/>
        <w:rPr>
          <w:lang w:val="es-ES"/>
        </w:rPr>
      </w:pPr>
      <w:r>
        <w:rPr>
          <w:lang w:val="es"/>
        </w:rPr>
        <w:lastRenderedPageBreak/>
        <w:t>Oficina del Asesor Público</w:t>
      </w:r>
    </w:p>
    <w:p w14:paraId="0D1A9487" w14:textId="49E69EC0" w:rsidR="00D76AE3" w:rsidRPr="00220932" w:rsidRDefault="00220932" w:rsidP="00D76AE3">
      <w:pPr>
        <w:rPr>
          <w:lang w:val="es-ES"/>
        </w:rPr>
      </w:pPr>
      <w:r>
        <w:rPr>
          <w:lang w:val="es"/>
        </w:rPr>
        <w:t xml:space="preserve">La Oficina del Asesor Público facilita información para que el público participe de los procedimientos en </w:t>
      </w:r>
      <w:hyperlink r:id="rId18">
        <w:r w:rsidR="00D76AE3" w:rsidRPr="26382A69">
          <w:rPr>
            <w:rStyle w:val="Hyperlink"/>
            <w:lang w:val="es"/>
          </w:rPr>
          <w:t>https://www.cpuc.ca.gov/PAO/</w:t>
        </w:r>
      </w:hyperlink>
      <w:r>
        <w:rPr>
          <w:lang w:val="es"/>
        </w:rPr>
        <w:t xml:space="preserve">.  También puede ponerse en contacto con ellos (indique la referencia A.24-12-003) en: </w:t>
      </w:r>
    </w:p>
    <w:p w14:paraId="4FC0ACAC" w14:textId="77777777" w:rsidR="00D76AE3" w:rsidRPr="00220932" w:rsidRDefault="00220932" w:rsidP="00D76AE3">
      <w:pPr>
        <w:pStyle w:val="ListParagraph"/>
        <w:numPr>
          <w:ilvl w:val="0"/>
          <w:numId w:val="17"/>
        </w:numPr>
        <w:rPr>
          <w:lang w:val="es-ES"/>
        </w:rPr>
      </w:pPr>
      <w:r>
        <w:rPr>
          <w:lang w:val="es"/>
        </w:rPr>
        <w:t xml:space="preserve">Correo electrónico: </w:t>
      </w:r>
      <w:hyperlink r:id="rId19" w:history="1">
        <w:r w:rsidR="00D76AE3" w:rsidRPr="000253DE">
          <w:rPr>
            <w:rStyle w:val="Hyperlink"/>
            <w:lang w:val="es"/>
          </w:rPr>
          <w:t>public.advisor@cpuc.ca.gov</w:t>
        </w:r>
      </w:hyperlink>
    </w:p>
    <w:p w14:paraId="2DAD3414" w14:textId="77777777" w:rsidR="00D76AE3" w:rsidRDefault="00220932" w:rsidP="00D76AE3">
      <w:pPr>
        <w:pStyle w:val="ListParagraph"/>
        <w:numPr>
          <w:ilvl w:val="0"/>
          <w:numId w:val="17"/>
        </w:numPr>
      </w:pPr>
      <w:r>
        <w:rPr>
          <w:lang w:val="es"/>
        </w:rPr>
        <w:t>Teléfono: 1-866-849-8390 o 1-415-703-2074</w:t>
      </w:r>
    </w:p>
    <w:p w14:paraId="1737EB81" w14:textId="2B11A617" w:rsidR="02DD47F6" w:rsidRPr="00220932" w:rsidRDefault="00220932" w:rsidP="26382A69">
      <w:pPr>
        <w:pStyle w:val="ListParagraph"/>
        <w:numPr>
          <w:ilvl w:val="0"/>
          <w:numId w:val="17"/>
        </w:numPr>
        <w:rPr>
          <w:lang w:val="es-ES"/>
        </w:rPr>
      </w:pPr>
      <w:r>
        <w:rPr>
          <w:lang w:val="es"/>
        </w:rPr>
        <w:t>Correo: Oficina del Asesor Público de la CPUC, 505 Van Ness Avenue, San Francisco, CA 94102</w:t>
      </w:r>
    </w:p>
    <w:sectPr w:rsidR="02DD47F6" w:rsidRPr="00220932" w:rsidSect="00DD3000">
      <w:headerReference w:type="default" r:id="rId20"/>
      <w:footerReference w:type="even" r:id="rId21"/>
      <w:footerReference w:type="default" r:id="rId22"/>
      <w:headerReference w:type="first" r:id="rId23"/>
      <w:footerReference w:type="first" r:id="rId24"/>
      <w:pgSz w:w="12240" w:h="15840"/>
      <w:pgMar w:top="1440" w:right="720" w:bottom="1440" w:left="720" w:header="172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469DC" w14:textId="77777777" w:rsidR="00220932" w:rsidRDefault="00220932">
      <w:pPr>
        <w:spacing w:after="0" w:line="240" w:lineRule="auto"/>
      </w:pPr>
      <w:r>
        <w:separator/>
      </w:r>
    </w:p>
  </w:endnote>
  <w:endnote w:type="continuationSeparator" w:id="0">
    <w:p w14:paraId="563796C1" w14:textId="77777777" w:rsidR="00220932" w:rsidRDefault="0022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E73F" w14:textId="77777777" w:rsidR="00104ADF" w:rsidRDefault="00220932"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419C00FA" w14:textId="77777777" w:rsidR="00522539" w:rsidRDefault="00522539" w:rsidP="00D8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352427"/>
      <w:docPartObj>
        <w:docPartGallery w:val="Page Numbers (Bottom of Page)"/>
        <w:docPartUnique/>
      </w:docPartObj>
    </w:sdtPr>
    <w:sdtEndPr>
      <w:rPr>
        <w:rStyle w:val="PageNumber"/>
      </w:rPr>
    </w:sdtEndPr>
    <w:sdtContent>
      <w:p w14:paraId="2347DAE3" w14:textId="77777777" w:rsidR="00104ADF" w:rsidRDefault="00220932" w:rsidP="00D86CB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16A5097D" w14:textId="77777777" w:rsidR="008F1AE4" w:rsidRDefault="008F1AE4" w:rsidP="00D86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71E0" w14:textId="004CC5E3" w:rsidR="00522539" w:rsidRDefault="00220932" w:rsidP="00D86CB3">
    <w:pPr>
      <w:pStyle w:val="Footer"/>
    </w:pPr>
    <w:r>
      <w:rPr>
        <w:noProof/>
      </w:rPr>
      <w:drawing>
        <wp:anchor distT="0" distB="0" distL="114300" distR="114300" simplePos="0" relativeHeight="251656704" behindDoc="1" locked="0" layoutInCell="1" allowOverlap="1" wp14:anchorId="1B4EC2E2" wp14:editId="37970BE1">
          <wp:simplePos x="0" y="0"/>
          <wp:positionH relativeFrom="page">
            <wp:align>right</wp:align>
          </wp:positionH>
          <wp:positionV relativeFrom="paragraph">
            <wp:posOffset>-361950</wp:posOffset>
          </wp:positionV>
          <wp:extent cx="7770600" cy="906780"/>
          <wp:effectExtent l="0" t="0" r="1905" b="7620"/>
          <wp:wrapNone/>
          <wp:docPr id="1" name="Picture 1" descr="Protegiendo a California desde 1911&#10;La CPUC regula las empresas privadas de electricidad, gas natural, telecomunicaciones, agua, ferrocarril, transporte ferroviario y transporte de pasaj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tegiendo a California desde 1911&#10;La CPUC regula las empresas privadas de electricidad, gas natural, telecomunicaciones, agua, ferrocarril, transporte ferroviario y transporte de pasajeros."/>
                  <pic:cNvPicPr/>
                </pic:nvPicPr>
                <pic:blipFill>
                  <a:blip r:embed="rId1">
                    <a:extLst>
                      <a:ext uri="{28A0092B-C50C-407E-A947-70E740481C1C}">
                        <a14:useLocalDpi xmlns:a14="http://schemas.microsoft.com/office/drawing/2010/main" val="0"/>
                      </a:ext>
                    </a:extLst>
                  </a:blip>
                  <a:stretch>
                    <a:fillRect/>
                  </a:stretch>
                </pic:blipFill>
                <pic:spPr>
                  <a:xfrm>
                    <a:off x="0" y="0"/>
                    <a:ext cx="7770600" cy="9067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70DB5" w14:textId="77777777" w:rsidR="00220932" w:rsidRDefault="00220932">
      <w:pPr>
        <w:spacing w:after="0" w:line="240" w:lineRule="auto"/>
      </w:pPr>
      <w:r>
        <w:separator/>
      </w:r>
    </w:p>
  </w:footnote>
  <w:footnote w:type="continuationSeparator" w:id="0">
    <w:p w14:paraId="4B6B3D4C" w14:textId="77777777" w:rsidR="00220932" w:rsidRDefault="00220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FDC1" w14:textId="77809E39" w:rsidR="003022D5" w:rsidRPr="00FD7142" w:rsidRDefault="00220932" w:rsidP="00D86CB3">
    <w:pPr>
      <w:pStyle w:val="Header"/>
    </w:pPr>
    <w:r>
      <w:rPr>
        <w:noProof/>
      </w:rPr>
      <w:drawing>
        <wp:anchor distT="0" distB="0" distL="114300" distR="114300" simplePos="0" relativeHeight="251658752" behindDoc="1" locked="0" layoutInCell="1" allowOverlap="1" wp14:anchorId="019BF54C" wp14:editId="571E190F">
          <wp:simplePos x="0" y="0"/>
          <wp:positionH relativeFrom="column">
            <wp:posOffset>-295275</wp:posOffset>
          </wp:positionH>
          <wp:positionV relativeFrom="paragraph">
            <wp:posOffset>-1096010</wp:posOffset>
          </wp:positionV>
          <wp:extent cx="6858000" cy="1033780"/>
          <wp:effectExtent l="0" t="0" r="0" b="0"/>
          <wp:wrapNone/>
          <wp:docPr id="899133677" name="Picture 1" descr="Comisión De Servicios Públicos De California&#10;Hoja Inf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33677" name="Picture 1" descr="Comisión De Servicios Públicos De California&#10;Hoja Informativa"/>
                  <pic:cNvPicPr/>
                </pic:nvPicPr>
                <pic:blipFill>
                  <a:blip r:embed="rId1">
                    <a:extLst>
                      <a:ext uri="{28A0092B-C50C-407E-A947-70E740481C1C}">
                        <a14:useLocalDpi xmlns:a14="http://schemas.microsoft.com/office/drawing/2010/main" val="0"/>
                      </a:ext>
                    </a:extLst>
                  </a:blip>
                  <a:stretch>
                    <a:fillRect/>
                  </a:stretch>
                </pic:blipFill>
                <pic:spPr>
                  <a:xfrm>
                    <a:off x="0" y="0"/>
                    <a:ext cx="6858000" cy="1033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4C10" w14:textId="3B221AF5" w:rsidR="00522539" w:rsidRDefault="00220932" w:rsidP="00D86CB3">
    <w:pPr>
      <w:pStyle w:val="Header"/>
    </w:pPr>
    <w:r>
      <w:rPr>
        <w:noProof/>
      </w:rPr>
      <w:drawing>
        <wp:anchor distT="0" distB="0" distL="114300" distR="114300" simplePos="0" relativeHeight="251657728" behindDoc="1" locked="0" layoutInCell="1" allowOverlap="1" wp14:anchorId="38B433FC" wp14:editId="743B2030">
          <wp:simplePos x="0" y="0"/>
          <wp:positionH relativeFrom="page">
            <wp:align>right</wp:align>
          </wp:positionH>
          <wp:positionV relativeFrom="paragraph">
            <wp:posOffset>-1096010</wp:posOffset>
          </wp:positionV>
          <wp:extent cx="7772400" cy="1171528"/>
          <wp:effectExtent l="0" t="0" r="0" b="0"/>
          <wp:wrapNone/>
          <wp:docPr id="4" name="Picture 4" descr="Comisión De Servicios Públicos De California&#10;Hoja Inf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isión De Servicios Públicos De California&#10;Hoja Informativa"/>
                  <pic:cNvPicPr/>
                </pic:nvPicPr>
                <pic:blipFill>
                  <a:blip r:embed="rId1">
                    <a:extLst>
                      <a:ext uri="{28A0092B-C50C-407E-A947-70E740481C1C}">
                        <a14:useLocalDpi xmlns:a14="http://schemas.microsoft.com/office/drawing/2010/main" val="0"/>
                      </a:ext>
                    </a:extLst>
                  </a:blip>
                  <a:stretch>
                    <a:fillRect/>
                  </a:stretch>
                </pic:blipFill>
                <pic:spPr>
                  <a:xfrm>
                    <a:off x="0" y="0"/>
                    <a:ext cx="7772400" cy="11715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482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E08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A469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8AA1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BCF5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FE7B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6A41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144B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E00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02E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4A434F"/>
    <w:multiLevelType w:val="hybridMultilevel"/>
    <w:tmpl w:val="F3DE1464"/>
    <w:lvl w:ilvl="0" w:tplc="FB6ACA72">
      <w:start w:val="1"/>
      <w:numFmt w:val="bullet"/>
      <w:lvlText w:val=""/>
      <w:lvlJc w:val="left"/>
      <w:pPr>
        <w:ind w:left="720" w:hanging="360"/>
      </w:pPr>
      <w:rPr>
        <w:rFonts w:ascii="Symbol" w:hAnsi="Symbol" w:hint="default"/>
      </w:rPr>
    </w:lvl>
    <w:lvl w:ilvl="1" w:tplc="EBD04478" w:tentative="1">
      <w:start w:val="1"/>
      <w:numFmt w:val="bullet"/>
      <w:lvlText w:val="o"/>
      <w:lvlJc w:val="left"/>
      <w:pPr>
        <w:ind w:left="1440" w:hanging="360"/>
      </w:pPr>
      <w:rPr>
        <w:rFonts w:ascii="Courier New" w:hAnsi="Courier New" w:cs="Courier New" w:hint="default"/>
      </w:rPr>
    </w:lvl>
    <w:lvl w:ilvl="2" w:tplc="23EC89D2" w:tentative="1">
      <w:start w:val="1"/>
      <w:numFmt w:val="bullet"/>
      <w:lvlText w:val=""/>
      <w:lvlJc w:val="left"/>
      <w:pPr>
        <w:ind w:left="2160" w:hanging="360"/>
      </w:pPr>
      <w:rPr>
        <w:rFonts w:ascii="Wingdings" w:hAnsi="Wingdings" w:hint="default"/>
      </w:rPr>
    </w:lvl>
    <w:lvl w:ilvl="3" w:tplc="A4BC4EE4" w:tentative="1">
      <w:start w:val="1"/>
      <w:numFmt w:val="bullet"/>
      <w:lvlText w:val=""/>
      <w:lvlJc w:val="left"/>
      <w:pPr>
        <w:ind w:left="2880" w:hanging="360"/>
      </w:pPr>
      <w:rPr>
        <w:rFonts w:ascii="Symbol" w:hAnsi="Symbol" w:hint="default"/>
      </w:rPr>
    </w:lvl>
    <w:lvl w:ilvl="4" w:tplc="028C32E8" w:tentative="1">
      <w:start w:val="1"/>
      <w:numFmt w:val="bullet"/>
      <w:lvlText w:val="o"/>
      <w:lvlJc w:val="left"/>
      <w:pPr>
        <w:ind w:left="3600" w:hanging="360"/>
      </w:pPr>
      <w:rPr>
        <w:rFonts w:ascii="Courier New" w:hAnsi="Courier New" w:cs="Courier New" w:hint="default"/>
      </w:rPr>
    </w:lvl>
    <w:lvl w:ilvl="5" w:tplc="5150EFA6" w:tentative="1">
      <w:start w:val="1"/>
      <w:numFmt w:val="bullet"/>
      <w:lvlText w:val=""/>
      <w:lvlJc w:val="left"/>
      <w:pPr>
        <w:ind w:left="4320" w:hanging="360"/>
      </w:pPr>
      <w:rPr>
        <w:rFonts w:ascii="Wingdings" w:hAnsi="Wingdings" w:hint="default"/>
      </w:rPr>
    </w:lvl>
    <w:lvl w:ilvl="6" w:tplc="7CBE17EA" w:tentative="1">
      <w:start w:val="1"/>
      <w:numFmt w:val="bullet"/>
      <w:lvlText w:val=""/>
      <w:lvlJc w:val="left"/>
      <w:pPr>
        <w:ind w:left="5040" w:hanging="360"/>
      </w:pPr>
      <w:rPr>
        <w:rFonts w:ascii="Symbol" w:hAnsi="Symbol" w:hint="default"/>
      </w:rPr>
    </w:lvl>
    <w:lvl w:ilvl="7" w:tplc="F2184BE4" w:tentative="1">
      <w:start w:val="1"/>
      <w:numFmt w:val="bullet"/>
      <w:lvlText w:val="o"/>
      <w:lvlJc w:val="left"/>
      <w:pPr>
        <w:ind w:left="5760" w:hanging="360"/>
      </w:pPr>
      <w:rPr>
        <w:rFonts w:ascii="Courier New" w:hAnsi="Courier New" w:cs="Courier New" w:hint="default"/>
      </w:rPr>
    </w:lvl>
    <w:lvl w:ilvl="8" w:tplc="E7FC61B8" w:tentative="1">
      <w:start w:val="1"/>
      <w:numFmt w:val="bullet"/>
      <w:lvlText w:val=""/>
      <w:lvlJc w:val="left"/>
      <w:pPr>
        <w:ind w:left="6480" w:hanging="360"/>
      </w:pPr>
      <w:rPr>
        <w:rFonts w:ascii="Wingdings" w:hAnsi="Wingdings" w:hint="default"/>
      </w:rPr>
    </w:lvl>
  </w:abstractNum>
  <w:abstractNum w:abstractNumId="11" w15:restartNumberingAfterBreak="0">
    <w:nsid w:val="34D7653A"/>
    <w:multiLevelType w:val="hybridMultilevel"/>
    <w:tmpl w:val="81621D88"/>
    <w:lvl w:ilvl="0" w:tplc="07BE6A36">
      <w:start w:val="1"/>
      <w:numFmt w:val="bullet"/>
      <w:lvlText w:val=""/>
      <w:lvlJc w:val="left"/>
      <w:pPr>
        <w:ind w:left="720" w:hanging="360"/>
      </w:pPr>
      <w:rPr>
        <w:rFonts w:ascii="Symbol" w:hAnsi="Symbol" w:hint="default"/>
      </w:rPr>
    </w:lvl>
    <w:lvl w:ilvl="1" w:tplc="19289CD6" w:tentative="1">
      <w:start w:val="1"/>
      <w:numFmt w:val="bullet"/>
      <w:lvlText w:val="o"/>
      <w:lvlJc w:val="left"/>
      <w:pPr>
        <w:ind w:left="1440" w:hanging="360"/>
      </w:pPr>
      <w:rPr>
        <w:rFonts w:ascii="Courier New" w:hAnsi="Courier New" w:cs="Courier New" w:hint="default"/>
      </w:rPr>
    </w:lvl>
    <w:lvl w:ilvl="2" w:tplc="4AECD044" w:tentative="1">
      <w:start w:val="1"/>
      <w:numFmt w:val="bullet"/>
      <w:lvlText w:val=""/>
      <w:lvlJc w:val="left"/>
      <w:pPr>
        <w:ind w:left="2160" w:hanging="360"/>
      </w:pPr>
      <w:rPr>
        <w:rFonts w:ascii="Wingdings" w:hAnsi="Wingdings" w:hint="default"/>
      </w:rPr>
    </w:lvl>
    <w:lvl w:ilvl="3" w:tplc="4DDC4476" w:tentative="1">
      <w:start w:val="1"/>
      <w:numFmt w:val="bullet"/>
      <w:lvlText w:val=""/>
      <w:lvlJc w:val="left"/>
      <w:pPr>
        <w:ind w:left="2880" w:hanging="360"/>
      </w:pPr>
      <w:rPr>
        <w:rFonts w:ascii="Symbol" w:hAnsi="Symbol" w:hint="default"/>
      </w:rPr>
    </w:lvl>
    <w:lvl w:ilvl="4" w:tplc="BA526CF6" w:tentative="1">
      <w:start w:val="1"/>
      <w:numFmt w:val="bullet"/>
      <w:lvlText w:val="o"/>
      <w:lvlJc w:val="left"/>
      <w:pPr>
        <w:ind w:left="3600" w:hanging="360"/>
      </w:pPr>
      <w:rPr>
        <w:rFonts w:ascii="Courier New" w:hAnsi="Courier New" w:cs="Courier New" w:hint="default"/>
      </w:rPr>
    </w:lvl>
    <w:lvl w:ilvl="5" w:tplc="B270FBF2" w:tentative="1">
      <w:start w:val="1"/>
      <w:numFmt w:val="bullet"/>
      <w:lvlText w:val=""/>
      <w:lvlJc w:val="left"/>
      <w:pPr>
        <w:ind w:left="4320" w:hanging="360"/>
      </w:pPr>
      <w:rPr>
        <w:rFonts w:ascii="Wingdings" w:hAnsi="Wingdings" w:hint="default"/>
      </w:rPr>
    </w:lvl>
    <w:lvl w:ilvl="6" w:tplc="227EAC40" w:tentative="1">
      <w:start w:val="1"/>
      <w:numFmt w:val="bullet"/>
      <w:lvlText w:val=""/>
      <w:lvlJc w:val="left"/>
      <w:pPr>
        <w:ind w:left="5040" w:hanging="360"/>
      </w:pPr>
      <w:rPr>
        <w:rFonts w:ascii="Symbol" w:hAnsi="Symbol" w:hint="default"/>
      </w:rPr>
    </w:lvl>
    <w:lvl w:ilvl="7" w:tplc="ACFCADFE" w:tentative="1">
      <w:start w:val="1"/>
      <w:numFmt w:val="bullet"/>
      <w:lvlText w:val="o"/>
      <w:lvlJc w:val="left"/>
      <w:pPr>
        <w:ind w:left="5760" w:hanging="360"/>
      </w:pPr>
      <w:rPr>
        <w:rFonts w:ascii="Courier New" w:hAnsi="Courier New" w:cs="Courier New" w:hint="default"/>
      </w:rPr>
    </w:lvl>
    <w:lvl w:ilvl="8" w:tplc="87183226" w:tentative="1">
      <w:start w:val="1"/>
      <w:numFmt w:val="bullet"/>
      <w:lvlText w:val=""/>
      <w:lvlJc w:val="left"/>
      <w:pPr>
        <w:ind w:left="6480" w:hanging="360"/>
      </w:pPr>
      <w:rPr>
        <w:rFonts w:ascii="Wingdings" w:hAnsi="Wingdings" w:hint="default"/>
      </w:rPr>
    </w:lvl>
  </w:abstractNum>
  <w:abstractNum w:abstractNumId="12" w15:restartNumberingAfterBreak="0">
    <w:nsid w:val="39B245DC"/>
    <w:multiLevelType w:val="hybridMultilevel"/>
    <w:tmpl w:val="1A6C063C"/>
    <w:lvl w:ilvl="0" w:tplc="ABE64424">
      <w:start w:val="1"/>
      <w:numFmt w:val="bullet"/>
      <w:lvlText w:val=""/>
      <w:lvlJc w:val="left"/>
      <w:pPr>
        <w:ind w:left="720" w:hanging="360"/>
      </w:pPr>
      <w:rPr>
        <w:rFonts w:ascii="Symbol" w:hAnsi="Symbol" w:hint="default"/>
      </w:rPr>
    </w:lvl>
    <w:lvl w:ilvl="1" w:tplc="93C6B810">
      <w:start w:val="1"/>
      <w:numFmt w:val="bullet"/>
      <w:lvlText w:val="o"/>
      <w:lvlJc w:val="left"/>
      <w:pPr>
        <w:ind w:left="1440" w:hanging="360"/>
      </w:pPr>
      <w:rPr>
        <w:rFonts w:ascii="Courier New" w:hAnsi="Courier New" w:hint="default"/>
      </w:rPr>
    </w:lvl>
    <w:lvl w:ilvl="2" w:tplc="D3E6A9AA">
      <w:start w:val="1"/>
      <w:numFmt w:val="bullet"/>
      <w:lvlText w:val=""/>
      <w:lvlJc w:val="left"/>
      <w:pPr>
        <w:ind w:left="2160" w:hanging="360"/>
      </w:pPr>
      <w:rPr>
        <w:rFonts w:ascii="Wingdings" w:hAnsi="Wingdings" w:hint="default"/>
      </w:rPr>
    </w:lvl>
    <w:lvl w:ilvl="3" w:tplc="7486C770">
      <w:start w:val="1"/>
      <w:numFmt w:val="bullet"/>
      <w:lvlText w:val=""/>
      <w:lvlJc w:val="left"/>
      <w:pPr>
        <w:ind w:left="2880" w:hanging="360"/>
      </w:pPr>
      <w:rPr>
        <w:rFonts w:ascii="Symbol" w:hAnsi="Symbol" w:hint="default"/>
      </w:rPr>
    </w:lvl>
    <w:lvl w:ilvl="4" w:tplc="CABACD64">
      <w:start w:val="1"/>
      <w:numFmt w:val="bullet"/>
      <w:lvlText w:val="o"/>
      <w:lvlJc w:val="left"/>
      <w:pPr>
        <w:ind w:left="3600" w:hanging="360"/>
      </w:pPr>
      <w:rPr>
        <w:rFonts w:ascii="Courier New" w:hAnsi="Courier New" w:hint="default"/>
      </w:rPr>
    </w:lvl>
    <w:lvl w:ilvl="5" w:tplc="1D30FE96">
      <w:start w:val="1"/>
      <w:numFmt w:val="bullet"/>
      <w:lvlText w:val=""/>
      <w:lvlJc w:val="left"/>
      <w:pPr>
        <w:ind w:left="4320" w:hanging="360"/>
      </w:pPr>
      <w:rPr>
        <w:rFonts w:ascii="Wingdings" w:hAnsi="Wingdings" w:hint="default"/>
      </w:rPr>
    </w:lvl>
    <w:lvl w:ilvl="6" w:tplc="6622BD6C">
      <w:start w:val="1"/>
      <w:numFmt w:val="bullet"/>
      <w:lvlText w:val=""/>
      <w:lvlJc w:val="left"/>
      <w:pPr>
        <w:ind w:left="5040" w:hanging="360"/>
      </w:pPr>
      <w:rPr>
        <w:rFonts w:ascii="Symbol" w:hAnsi="Symbol" w:hint="default"/>
      </w:rPr>
    </w:lvl>
    <w:lvl w:ilvl="7" w:tplc="831660A2">
      <w:start w:val="1"/>
      <w:numFmt w:val="bullet"/>
      <w:lvlText w:val="o"/>
      <w:lvlJc w:val="left"/>
      <w:pPr>
        <w:ind w:left="5760" w:hanging="360"/>
      </w:pPr>
      <w:rPr>
        <w:rFonts w:ascii="Courier New" w:hAnsi="Courier New" w:hint="default"/>
      </w:rPr>
    </w:lvl>
    <w:lvl w:ilvl="8" w:tplc="C4DCB55A">
      <w:start w:val="1"/>
      <w:numFmt w:val="bullet"/>
      <w:lvlText w:val=""/>
      <w:lvlJc w:val="left"/>
      <w:pPr>
        <w:ind w:left="6480" w:hanging="360"/>
      </w:pPr>
      <w:rPr>
        <w:rFonts w:ascii="Wingdings" w:hAnsi="Wingdings" w:hint="default"/>
      </w:rPr>
    </w:lvl>
  </w:abstractNum>
  <w:abstractNum w:abstractNumId="13" w15:restartNumberingAfterBreak="0">
    <w:nsid w:val="513766B2"/>
    <w:multiLevelType w:val="hybridMultilevel"/>
    <w:tmpl w:val="0A2A3362"/>
    <w:lvl w:ilvl="0" w:tplc="34F4C28C">
      <w:start w:val="1"/>
      <w:numFmt w:val="bullet"/>
      <w:lvlText w:val=""/>
      <w:lvlJc w:val="left"/>
      <w:pPr>
        <w:ind w:left="720" w:hanging="360"/>
      </w:pPr>
      <w:rPr>
        <w:rFonts w:ascii="Symbol" w:hAnsi="Symbol" w:hint="default"/>
      </w:rPr>
    </w:lvl>
    <w:lvl w:ilvl="1" w:tplc="111A620C" w:tentative="1">
      <w:start w:val="1"/>
      <w:numFmt w:val="bullet"/>
      <w:lvlText w:val="o"/>
      <w:lvlJc w:val="left"/>
      <w:pPr>
        <w:ind w:left="1440" w:hanging="360"/>
      </w:pPr>
      <w:rPr>
        <w:rFonts w:ascii="Courier New" w:hAnsi="Courier New" w:hint="default"/>
      </w:rPr>
    </w:lvl>
    <w:lvl w:ilvl="2" w:tplc="CC825436" w:tentative="1">
      <w:start w:val="1"/>
      <w:numFmt w:val="bullet"/>
      <w:lvlText w:val=""/>
      <w:lvlJc w:val="left"/>
      <w:pPr>
        <w:ind w:left="2160" w:hanging="360"/>
      </w:pPr>
      <w:rPr>
        <w:rFonts w:ascii="Wingdings" w:hAnsi="Wingdings" w:hint="default"/>
      </w:rPr>
    </w:lvl>
    <w:lvl w:ilvl="3" w:tplc="07FCBAF4" w:tentative="1">
      <w:start w:val="1"/>
      <w:numFmt w:val="bullet"/>
      <w:lvlText w:val=""/>
      <w:lvlJc w:val="left"/>
      <w:pPr>
        <w:ind w:left="2880" w:hanging="360"/>
      </w:pPr>
      <w:rPr>
        <w:rFonts w:ascii="Symbol" w:hAnsi="Symbol" w:hint="default"/>
      </w:rPr>
    </w:lvl>
    <w:lvl w:ilvl="4" w:tplc="C26E896A" w:tentative="1">
      <w:start w:val="1"/>
      <w:numFmt w:val="bullet"/>
      <w:lvlText w:val="o"/>
      <w:lvlJc w:val="left"/>
      <w:pPr>
        <w:ind w:left="3600" w:hanging="360"/>
      </w:pPr>
      <w:rPr>
        <w:rFonts w:ascii="Courier New" w:hAnsi="Courier New" w:hint="default"/>
      </w:rPr>
    </w:lvl>
    <w:lvl w:ilvl="5" w:tplc="17020662" w:tentative="1">
      <w:start w:val="1"/>
      <w:numFmt w:val="bullet"/>
      <w:lvlText w:val=""/>
      <w:lvlJc w:val="left"/>
      <w:pPr>
        <w:ind w:left="4320" w:hanging="360"/>
      </w:pPr>
      <w:rPr>
        <w:rFonts w:ascii="Wingdings" w:hAnsi="Wingdings" w:hint="default"/>
      </w:rPr>
    </w:lvl>
    <w:lvl w:ilvl="6" w:tplc="18888816" w:tentative="1">
      <w:start w:val="1"/>
      <w:numFmt w:val="bullet"/>
      <w:lvlText w:val=""/>
      <w:lvlJc w:val="left"/>
      <w:pPr>
        <w:ind w:left="5040" w:hanging="360"/>
      </w:pPr>
      <w:rPr>
        <w:rFonts w:ascii="Symbol" w:hAnsi="Symbol" w:hint="default"/>
      </w:rPr>
    </w:lvl>
    <w:lvl w:ilvl="7" w:tplc="1DE07732" w:tentative="1">
      <w:start w:val="1"/>
      <w:numFmt w:val="bullet"/>
      <w:lvlText w:val="o"/>
      <w:lvlJc w:val="left"/>
      <w:pPr>
        <w:ind w:left="5760" w:hanging="360"/>
      </w:pPr>
      <w:rPr>
        <w:rFonts w:ascii="Courier New" w:hAnsi="Courier New" w:hint="default"/>
      </w:rPr>
    </w:lvl>
    <w:lvl w:ilvl="8" w:tplc="314487D4" w:tentative="1">
      <w:start w:val="1"/>
      <w:numFmt w:val="bullet"/>
      <w:lvlText w:val=""/>
      <w:lvlJc w:val="left"/>
      <w:pPr>
        <w:ind w:left="6480" w:hanging="360"/>
      </w:pPr>
      <w:rPr>
        <w:rFonts w:ascii="Wingdings" w:hAnsi="Wingdings" w:hint="default"/>
      </w:rPr>
    </w:lvl>
  </w:abstractNum>
  <w:abstractNum w:abstractNumId="14" w15:restartNumberingAfterBreak="0">
    <w:nsid w:val="59EE58F8"/>
    <w:multiLevelType w:val="hybridMultilevel"/>
    <w:tmpl w:val="0F082AD2"/>
    <w:lvl w:ilvl="0" w:tplc="3E1C01EE">
      <w:start w:val="1"/>
      <w:numFmt w:val="bullet"/>
      <w:lvlText w:val="•"/>
      <w:lvlJc w:val="left"/>
      <w:pPr>
        <w:ind w:left="1080" w:hanging="720"/>
      </w:pPr>
      <w:rPr>
        <w:rFonts w:ascii="Century Gothic" w:hAnsi="Century Gothic" w:hint="default"/>
      </w:rPr>
    </w:lvl>
    <w:lvl w:ilvl="1" w:tplc="565A39C0" w:tentative="1">
      <w:start w:val="1"/>
      <w:numFmt w:val="bullet"/>
      <w:lvlText w:val="o"/>
      <w:lvlJc w:val="left"/>
      <w:pPr>
        <w:ind w:left="1440" w:hanging="360"/>
      </w:pPr>
      <w:rPr>
        <w:rFonts w:ascii="Courier New" w:hAnsi="Courier New" w:cs="Courier New" w:hint="default"/>
      </w:rPr>
    </w:lvl>
    <w:lvl w:ilvl="2" w:tplc="D83E794C" w:tentative="1">
      <w:start w:val="1"/>
      <w:numFmt w:val="bullet"/>
      <w:lvlText w:val=""/>
      <w:lvlJc w:val="left"/>
      <w:pPr>
        <w:ind w:left="2160" w:hanging="360"/>
      </w:pPr>
      <w:rPr>
        <w:rFonts w:ascii="Wingdings" w:hAnsi="Wingdings" w:hint="default"/>
      </w:rPr>
    </w:lvl>
    <w:lvl w:ilvl="3" w:tplc="FCFA89A8" w:tentative="1">
      <w:start w:val="1"/>
      <w:numFmt w:val="bullet"/>
      <w:lvlText w:val=""/>
      <w:lvlJc w:val="left"/>
      <w:pPr>
        <w:ind w:left="2880" w:hanging="360"/>
      </w:pPr>
      <w:rPr>
        <w:rFonts w:ascii="Symbol" w:hAnsi="Symbol" w:hint="default"/>
      </w:rPr>
    </w:lvl>
    <w:lvl w:ilvl="4" w:tplc="693EF90C" w:tentative="1">
      <w:start w:val="1"/>
      <w:numFmt w:val="bullet"/>
      <w:lvlText w:val="o"/>
      <w:lvlJc w:val="left"/>
      <w:pPr>
        <w:ind w:left="3600" w:hanging="360"/>
      </w:pPr>
      <w:rPr>
        <w:rFonts w:ascii="Courier New" w:hAnsi="Courier New" w:cs="Courier New" w:hint="default"/>
      </w:rPr>
    </w:lvl>
    <w:lvl w:ilvl="5" w:tplc="00E0EB6C" w:tentative="1">
      <w:start w:val="1"/>
      <w:numFmt w:val="bullet"/>
      <w:lvlText w:val=""/>
      <w:lvlJc w:val="left"/>
      <w:pPr>
        <w:ind w:left="4320" w:hanging="360"/>
      </w:pPr>
      <w:rPr>
        <w:rFonts w:ascii="Wingdings" w:hAnsi="Wingdings" w:hint="default"/>
      </w:rPr>
    </w:lvl>
    <w:lvl w:ilvl="6" w:tplc="392A575E" w:tentative="1">
      <w:start w:val="1"/>
      <w:numFmt w:val="bullet"/>
      <w:lvlText w:val=""/>
      <w:lvlJc w:val="left"/>
      <w:pPr>
        <w:ind w:left="5040" w:hanging="360"/>
      </w:pPr>
      <w:rPr>
        <w:rFonts w:ascii="Symbol" w:hAnsi="Symbol" w:hint="default"/>
      </w:rPr>
    </w:lvl>
    <w:lvl w:ilvl="7" w:tplc="21480EB0" w:tentative="1">
      <w:start w:val="1"/>
      <w:numFmt w:val="bullet"/>
      <w:lvlText w:val="o"/>
      <w:lvlJc w:val="left"/>
      <w:pPr>
        <w:ind w:left="5760" w:hanging="360"/>
      </w:pPr>
      <w:rPr>
        <w:rFonts w:ascii="Courier New" w:hAnsi="Courier New" w:cs="Courier New" w:hint="default"/>
      </w:rPr>
    </w:lvl>
    <w:lvl w:ilvl="8" w:tplc="CAEA06E8" w:tentative="1">
      <w:start w:val="1"/>
      <w:numFmt w:val="bullet"/>
      <w:lvlText w:val=""/>
      <w:lvlJc w:val="left"/>
      <w:pPr>
        <w:ind w:left="6480" w:hanging="360"/>
      </w:pPr>
      <w:rPr>
        <w:rFonts w:ascii="Wingdings" w:hAnsi="Wingdings" w:hint="default"/>
      </w:rPr>
    </w:lvl>
  </w:abstractNum>
  <w:num w:numId="1" w16cid:durableId="1593658407">
    <w:abstractNumId w:val="12"/>
  </w:num>
  <w:num w:numId="2" w16cid:durableId="627200405">
    <w:abstractNumId w:val="13"/>
  </w:num>
  <w:num w:numId="3" w16cid:durableId="1275792194">
    <w:abstractNumId w:val="0"/>
  </w:num>
  <w:num w:numId="4" w16cid:durableId="283194647">
    <w:abstractNumId w:val="1"/>
  </w:num>
  <w:num w:numId="5" w16cid:durableId="414010523">
    <w:abstractNumId w:val="2"/>
  </w:num>
  <w:num w:numId="6" w16cid:durableId="1102185975">
    <w:abstractNumId w:val="3"/>
  </w:num>
  <w:num w:numId="7" w16cid:durableId="433287739">
    <w:abstractNumId w:val="8"/>
  </w:num>
  <w:num w:numId="8" w16cid:durableId="2141805351">
    <w:abstractNumId w:val="4"/>
  </w:num>
  <w:num w:numId="9" w16cid:durableId="357312825">
    <w:abstractNumId w:val="5"/>
  </w:num>
  <w:num w:numId="10" w16cid:durableId="2104451600">
    <w:abstractNumId w:val="6"/>
  </w:num>
  <w:num w:numId="11" w16cid:durableId="1549024968">
    <w:abstractNumId w:val="7"/>
  </w:num>
  <w:num w:numId="12" w16cid:durableId="140779238">
    <w:abstractNumId w:val="9"/>
  </w:num>
  <w:num w:numId="13" w16cid:durableId="451827141">
    <w:abstractNumId w:val="14"/>
  </w:num>
  <w:num w:numId="14" w16cid:durableId="117379684">
    <w:abstractNumId w:val="9"/>
  </w:num>
  <w:num w:numId="15" w16cid:durableId="893276184">
    <w:abstractNumId w:val="9"/>
  </w:num>
  <w:num w:numId="16" w16cid:durableId="1503425357">
    <w:abstractNumId w:val="11"/>
  </w:num>
  <w:num w:numId="17" w16cid:durableId="352809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02"/>
    <w:rsid w:val="000010D9"/>
    <w:rsid w:val="000132C5"/>
    <w:rsid w:val="00016138"/>
    <w:rsid w:val="000235B8"/>
    <w:rsid w:val="00023B37"/>
    <w:rsid w:val="000253DE"/>
    <w:rsid w:val="00025A55"/>
    <w:rsid w:val="0002620F"/>
    <w:rsid w:val="00027CC2"/>
    <w:rsid w:val="0003073E"/>
    <w:rsid w:val="0003482E"/>
    <w:rsid w:val="0003771F"/>
    <w:rsid w:val="00042CE2"/>
    <w:rsid w:val="00043415"/>
    <w:rsid w:val="00046633"/>
    <w:rsid w:val="0005427B"/>
    <w:rsid w:val="000665A4"/>
    <w:rsid w:val="00066BA4"/>
    <w:rsid w:val="00081BE0"/>
    <w:rsid w:val="0008458E"/>
    <w:rsid w:val="000907C7"/>
    <w:rsid w:val="0009173C"/>
    <w:rsid w:val="00093102"/>
    <w:rsid w:val="00096B50"/>
    <w:rsid w:val="000A032A"/>
    <w:rsid w:val="000A03DE"/>
    <w:rsid w:val="000A03F1"/>
    <w:rsid w:val="000A0D9E"/>
    <w:rsid w:val="000A5A57"/>
    <w:rsid w:val="000C2528"/>
    <w:rsid w:val="000C4FD5"/>
    <w:rsid w:val="000E340D"/>
    <w:rsid w:val="000E7366"/>
    <w:rsid w:val="000F18BA"/>
    <w:rsid w:val="000F1AC2"/>
    <w:rsid w:val="000F52BD"/>
    <w:rsid w:val="00101D50"/>
    <w:rsid w:val="00104ADF"/>
    <w:rsid w:val="001113FD"/>
    <w:rsid w:val="00112C17"/>
    <w:rsid w:val="00115815"/>
    <w:rsid w:val="00120F91"/>
    <w:rsid w:val="00130314"/>
    <w:rsid w:val="001364C9"/>
    <w:rsid w:val="00144B41"/>
    <w:rsid w:val="001658F2"/>
    <w:rsid w:val="00170BAB"/>
    <w:rsid w:val="00172EF2"/>
    <w:rsid w:val="001733F9"/>
    <w:rsid w:val="00186149"/>
    <w:rsid w:val="001B44C3"/>
    <w:rsid w:val="001B67BA"/>
    <w:rsid w:val="001C4F88"/>
    <w:rsid w:val="001E0DA7"/>
    <w:rsid w:val="001F22A1"/>
    <w:rsid w:val="0020069A"/>
    <w:rsid w:val="00206FB5"/>
    <w:rsid w:val="00220932"/>
    <w:rsid w:val="00232976"/>
    <w:rsid w:val="00237190"/>
    <w:rsid w:val="0024225E"/>
    <w:rsid w:val="00243D62"/>
    <w:rsid w:val="002554E2"/>
    <w:rsid w:val="00274081"/>
    <w:rsid w:val="0027468D"/>
    <w:rsid w:val="002768AF"/>
    <w:rsid w:val="00284AAE"/>
    <w:rsid w:val="0029295F"/>
    <w:rsid w:val="00292ECC"/>
    <w:rsid w:val="00295C4D"/>
    <w:rsid w:val="00295F1D"/>
    <w:rsid w:val="002A0A35"/>
    <w:rsid w:val="002A1AAB"/>
    <w:rsid w:val="002B6A9C"/>
    <w:rsid w:val="002D1D47"/>
    <w:rsid w:val="002D38A8"/>
    <w:rsid w:val="002E4BCD"/>
    <w:rsid w:val="002E6906"/>
    <w:rsid w:val="002F00BB"/>
    <w:rsid w:val="003022D5"/>
    <w:rsid w:val="00314101"/>
    <w:rsid w:val="0031496B"/>
    <w:rsid w:val="00321927"/>
    <w:rsid w:val="00322622"/>
    <w:rsid w:val="00337BB4"/>
    <w:rsid w:val="00355DFC"/>
    <w:rsid w:val="003578E6"/>
    <w:rsid w:val="00363665"/>
    <w:rsid w:val="00374423"/>
    <w:rsid w:val="00382A80"/>
    <w:rsid w:val="00383153"/>
    <w:rsid w:val="00387922"/>
    <w:rsid w:val="003900F8"/>
    <w:rsid w:val="003914A6"/>
    <w:rsid w:val="003A33C9"/>
    <w:rsid w:val="003B16A2"/>
    <w:rsid w:val="003B31E3"/>
    <w:rsid w:val="003B32A6"/>
    <w:rsid w:val="003B7561"/>
    <w:rsid w:val="003C11E0"/>
    <w:rsid w:val="003C2536"/>
    <w:rsid w:val="003C262F"/>
    <w:rsid w:val="003C7085"/>
    <w:rsid w:val="003D11AD"/>
    <w:rsid w:val="003E50DB"/>
    <w:rsid w:val="003E630D"/>
    <w:rsid w:val="003E6B6D"/>
    <w:rsid w:val="003E73DE"/>
    <w:rsid w:val="003F761F"/>
    <w:rsid w:val="00402BAD"/>
    <w:rsid w:val="0040300C"/>
    <w:rsid w:val="00406314"/>
    <w:rsid w:val="00412C8B"/>
    <w:rsid w:val="00416551"/>
    <w:rsid w:val="00421983"/>
    <w:rsid w:val="004220C1"/>
    <w:rsid w:val="004277C1"/>
    <w:rsid w:val="00431ED2"/>
    <w:rsid w:val="0043287A"/>
    <w:rsid w:val="00445043"/>
    <w:rsid w:val="00445CDA"/>
    <w:rsid w:val="00455886"/>
    <w:rsid w:val="00455B11"/>
    <w:rsid w:val="004571FA"/>
    <w:rsid w:val="0046683A"/>
    <w:rsid w:val="0046723B"/>
    <w:rsid w:val="004678CA"/>
    <w:rsid w:val="00470F33"/>
    <w:rsid w:val="00476407"/>
    <w:rsid w:val="004779B8"/>
    <w:rsid w:val="004B4377"/>
    <w:rsid w:val="004B556B"/>
    <w:rsid w:val="004C5D67"/>
    <w:rsid w:val="004D0BCD"/>
    <w:rsid w:val="004D31D8"/>
    <w:rsid w:val="004D7E40"/>
    <w:rsid w:val="00500387"/>
    <w:rsid w:val="0050702C"/>
    <w:rsid w:val="00510489"/>
    <w:rsid w:val="00517BE6"/>
    <w:rsid w:val="00522539"/>
    <w:rsid w:val="0052757D"/>
    <w:rsid w:val="005340C3"/>
    <w:rsid w:val="00541841"/>
    <w:rsid w:val="005437B7"/>
    <w:rsid w:val="00553D4A"/>
    <w:rsid w:val="005601D3"/>
    <w:rsid w:val="00580FB5"/>
    <w:rsid w:val="0058609D"/>
    <w:rsid w:val="0058677B"/>
    <w:rsid w:val="00592653"/>
    <w:rsid w:val="00594363"/>
    <w:rsid w:val="00596D75"/>
    <w:rsid w:val="005B5BD2"/>
    <w:rsid w:val="005B7A52"/>
    <w:rsid w:val="005C71FE"/>
    <w:rsid w:val="005D4257"/>
    <w:rsid w:val="005D4597"/>
    <w:rsid w:val="005F1657"/>
    <w:rsid w:val="005F38F8"/>
    <w:rsid w:val="00606F07"/>
    <w:rsid w:val="00606F18"/>
    <w:rsid w:val="00607F53"/>
    <w:rsid w:val="00612CB0"/>
    <w:rsid w:val="00631311"/>
    <w:rsid w:val="00652EC6"/>
    <w:rsid w:val="006673FA"/>
    <w:rsid w:val="00676CAD"/>
    <w:rsid w:val="0068088A"/>
    <w:rsid w:val="006957EF"/>
    <w:rsid w:val="00696D7F"/>
    <w:rsid w:val="006B023F"/>
    <w:rsid w:val="006B2E7D"/>
    <w:rsid w:val="006B473A"/>
    <w:rsid w:val="006B5D8D"/>
    <w:rsid w:val="006D20F6"/>
    <w:rsid w:val="006D78F6"/>
    <w:rsid w:val="006F5C67"/>
    <w:rsid w:val="006F6C79"/>
    <w:rsid w:val="0070124E"/>
    <w:rsid w:val="00722AB5"/>
    <w:rsid w:val="00723B77"/>
    <w:rsid w:val="00724BFE"/>
    <w:rsid w:val="0072539E"/>
    <w:rsid w:val="00727927"/>
    <w:rsid w:val="007408E2"/>
    <w:rsid w:val="00742CA1"/>
    <w:rsid w:val="00753C0D"/>
    <w:rsid w:val="00755EA4"/>
    <w:rsid w:val="007608FA"/>
    <w:rsid w:val="00761B7E"/>
    <w:rsid w:val="00764CBE"/>
    <w:rsid w:val="00770A78"/>
    <w:rsid w:val="00787247"/>
    <w:rsid w:val="00797836"/>
    <w:rsid w:val="007A4CC8"/>
    <w:rsid w:val="007B300C"/>
    <w:rsid w:val="007C4F28"/>
    <w:rsid w:val="007E3330"/>
    <w:rsid w:val="007E334D"/>
    <w:rsid w:val="007F4EE8"/>
    <w:rsid w:val="008055C7"/>
    <w:rsid w:val="00813FF1"/>
    <w:rsid w:val="00826F6C"/>
    <w:rsid w:val="008771FF"/>
    <w:rsid w:val="008773EF"/>
    <w:rsid w:val="00882FC5"/>
    <w:rsid w:val="008874EF"/>
    <w:rsid w:val="008A3942"/>
    <w:rsid w:val="008B1718"/>
    <w:rsid w:val="008B3810"/>
    <w:rsid w:val="008C6437"/>
    <w:rsid w:val="008D0134"/>
    <w:rsid w:val="008D39D9"/>
    <w:rsid w:val="008E38FE"/>
    <w:rsid w:val="008E46DE"/>
    <w:rsid w:val="008E4F84"/>
    <w:rsid w:val="008F01D9"/>
    <w:rsid w:val="008F01F3"/>
    <w:rsid w:val="008F1AE4"/>
    <w:rsid w:val="008F2B91"/>
    <w:rsid w:val="009000F4"/>
    <w:rsid w:val="00901F08"/>
    <w:rsid w:val="0090306E"/>
    <w:rsid w:val="0092175C"/>
    <w:rsid w:val="00923009"/>
    <w:rsid w:val="00924E0C"/>
    <w:rsid w:val="00925D98"/>
    <w:rsid w:val="009275E3"/>
    <w:rsid w:val="00971F45"/>
    <w:rsid w:val="00975218"/>
    <w:rsid w:val="00981117"/>
    <w:rsid w:val="009B440B"/>
    <w:rsid w:val="009B70B8"/>
    <w:rsid w:val="009B7F56"/>
    <w:rsid w:val="009D30D0"/>
    <w:rsid w:val="009E4324"/>
    <w:rsid w:val="009E4A91"/>
    <w:rsid w:val="009E73D6"/>
    <w:rsid w:val="009F02E9"/>
    <w:rsid w:val="009F5E90"/>
    <w:rsid w:val="00A1515D"/>
    <w:rsid w:val="00A27EF0"/>
    <w:rsid w:val="00A3661A"/>
    <w:rsid w:val="00A374AF"/>
    <w:rsid w:val="00A37EED"/>
    <w:rsid w:val="00A77E07"/>
    <w:rsid w:val="00A919F1"/>
    <w:rsid w:val="00A93553"/>
    <w:rsid w:val="00A93F19"/>
    <w:rsid w:val="00AA35DB"/>
    <w:rsid w:val="00AB43B8"/>
    <w:rsid w:val="00AB5300"/>
    <w:rsid w:val="00AC2255"/>
    <w:rsid w:val="00AC738D"/>
    <w:rsid w:val="00AD221A"/>
    <w:rsid w:val="00AE321A"/>
    <w:rsid w:val="00AF398A"/>
    <w:rsid w:val="00AF5D5F"/>
    <w:rsid w:val="00AF7707"/>
    <w:rsid w:val="00B0641B"/>
    <w:rsid w:val="00B06D8F"/>
    <w:rsid w:val="00B14607"/>
    <w:rsid w:val="00B15246"/>
    <w:rsid w:val="00B21799"/>
    <w:rsid w:val="00B314A9"/>
    <w:rsid w:val="00B328E5"/>
    <w:rsid w:val="00B411BF"/>
    <w:rsid w:val="00B41484"/>
    <w:rsid w:val="00B52447"/>
    <w:rsid w:val="00B63D07"/>
    <w:rsid w:val="00B72668"/>
    <w:rsid w:val="00B74448"/>
    <w:rsid w:val="00B800D0"/>
    <w:rsid w:val="00B827EA"/>
    <w:rsid w:val="00B84513"/>
    <w:rsid w:val="00B97A94"/>
    <w:rsid w:val="00BA31E1"/>
    <w:rsid w:val="00BC2E99"/>
    <w:rsid w:val="00BC61C6"/>
    <w:rsid w:val="00BD0C93"/>
    <w:rsid w:val="00BD78EC"/>
    <w:rsid w:val="00BE6893"/>
    <w:rsid w:val="00C14F61"/>
    <w:rsid w:val="00C15724"/>
    <w:rsid w:val="00C20196"/>
    <w:rsid w:val="00C2584C"/>
    <w:rsid w:val="00C36CD1"/>
    <w:rsid w:val="00C4566B"/>
    <w:rsid w:val="00C515CB"/>
    <w:rsid w:val="00C75DDB"/>
    <w:rsid w:val="00C8788D"/>
    <w:rsid w:val="00C9297E"/>
    <w:rsid w:val="00C93F10"/>
    <w:rsid w:val="00C965A2"/>
    <w:rsid w:val="00CA3B52"/>
    <w:rsid w:val="00CB33DF"/>
    <w:rsid w:val="00CB4C20"/>
    <w:rsid w:val="00CB6F50"/>
    <w:rsid w:val="00CC4949"/>
    <w:rsid w:val="00CD4217"/>
    <w:rsid w:val="00CD77F3"/>
    <w:rsid w:val="00CE1667"/>
    <w:rsid w:val="00CE3C46"/>
    <w:rsid w:val="00CE5E81"/>
    <w:rsid w:val="00D052F0"/>
    <w:rsid w:val="00D05EFD"/>
    <w:rsid w:val="00D07120"/>
    <w:rsid w:val="00D07A4C"/>
    <w:rsid w:val="00D31DC5"/>
    <w:rsid w:val="00D34F90"/>
    <w:rsid w:val="00D40958"/>
    <w:rsid w:val="00D41959"/>
    <w:rsid w:val="00D43C2B"/>
    <w:rsid w:val="00D464A5"/>
    <w:rsid w:val="00D53B98"/>
    <w:rsid w:val="00D56DB9"/>
    <w:rsid w:val="00D6125E"/>
    <w:rsid w:val="00D638F6"/>
    <w:rsid w:val="00D64CCE"/>
    <w:rsid w:val="00D66590"/>
    <w:rsid w:val="00D678BE"/>
    <w:rsid w:val="00D76AE3"/>
    <w:rsid w:val="00D86CB3"/>
    <w:rsid w:val="00D86D34"/>
    <w:rsid w:val="00DB28BD"/>
    <w:rsid w:val="00DB3FF4"/>
    <w:rsid w:val="00DB4BDD"/>
    <w:rsid w:val="00DB7564"/>
    <w:rsid w:val="00DB75B3"/>
    <w:rsid w:val="00DB7635"/>
    <w:rsid w:val="00DC25F5"/>
    <w:rsid w:val="00DD0A62"/>
    <w:rsid w:val="00DD3000"/>
    <w:rsid w:val="00DD3423"/>
    <w:rsid w:val="00DD5640"/>
    <w:rsid w:val="00DF46AB"/>
    <w:rsid w:val="00DF7A82"/>
    <w:rsid w:val="00E26B02"/>
    <w:rsid w:val="00E26CE4"/>
    <w:rsid w:val="00E42578"/>
    <w:rsid w:val="00E4279B"/>
    <w:rsid w:val="00E471AC"/>
    <w:rsid w:val="00E61E9E"/>
    <w:rsid w:val="00E670CE"/>
    <w:rsid w:val="00E8072D"/>
    <w:rsid w:val="00E858DB"/>
    <w:rsid w:val="00E86AA2"/>
    <w:rsid w:val="00EA55AB"/>
    <w:rsid w:val="00EB1753"/>
    <w:rsid w:val="00EB4EE8"/>
    <w:rsid w:val="00EC2FB6"/>
    <w:rsid w:val="00ECD7BF"/>
    <w:rsid w:val="00ED2302"/>
    <w:rsid w:val="00EF5396"/>
    <w:rsid w:val="00F018EE"/>
    <w:rsid w:val="00F139A1"/>
    <w:rsid w:val="00F263B4"/>
    <w:rsid w:val="00F37E5E"/>
    <w:rsid w:val="00F42649"/>
    <w:rsid w:val="00F44FB7"/>
    <w:rsid w:val="00F452FF"/>
    <w:rsid w:val="00F55924"/>
    <w:rsid w:val="00F559E7"/>
    <w:rsid w:val="00F66D8A"/>
    <w:rsid w:val="00F73D1C"/>
    <w:rsid w:val="00F976E8"/>
    <w:rsid w:val="00FA250F"/>
    <w:rsid w:val="00FA26FD"/>
    <w:rsid w:val="00FA3905"/>
    <w:rsid w:val="00FA4D60"/>
    <w:rsid w:val="00FB186F"/>
    <w:rsid w:val="00FC0C5B"/>
    <w:rsid w:val="00FD3B4C"/>
    <w:rsid w:val="00FD7142"/>
    <w:rsid w:val="00FE7789"/>
    <w:rsid w:val="00FF13C9"/>
    <w:rsid w:val="00FF1830"/>
    <w:rsid w:val="019326CE"/>
    <w:rsid w:val="01BD3A13"/>
    <w:rsid w:val="028BD396"/>
    <w:rsid w:val="02DD47F6"/>
    <w:rsid w:val="034533BD"/>
    <w:rsid w:val="03F654F8"/>
    <w:rsid w:val="0447B6F3"/>
    <w:rsid w:val="0452F600"/>
    <w:rsid w:val="059E535E"/>
    <w:rsid w:val="05C6614A"/>
    <w:rsid w:val="05F61268"/>
    <w:rsid w:val="068114B0"/>
    <w:rsid w:val="0722DD73"/>
    <w:rsid w:val="077969F6"/>
    <w:rsid w:val="07EAA320"/>
    <w:rsid w:val="084F3814"/>
    <w:rsid w:val="0913B0F5"/>
    <w:rsid w:val="0942F68F"/>
    <w:rsid w:val="094EE23A"/>
    <w:rsid w:val="0972072F"/>
    <w:rsid w:val="09AE0733"/>
    <w:rsid w:val="0A9CD871"/>
    <w:rsid w:val="0AB5F36F"/>
    <w:rsid w:val="0B14AA5A"/>
    <w:rsid w:val="0B419D7A"/>
    <w:rsid w:val="0B9CBE13"/>
    <w:rsid w:val="0BE005B1"/>
    <w:rsid w:val="0C419BEA"/>
    <w:rsid w:val="0DEEBB0E"/>
    <w:rsid w:val="0E9911CA"/>
    <w:rsid w:val="0EAB1A6A"/>
    <w:rsid w:val="0F4CCEE4"/>
    <w:rsid w:val="0F59ED0C"/>
    <w:rsid w:val="0F5E09BB"/>
    <w:rsid w:val="0F7B343D"/>
    <w:rsid w:val="0FBA97E8"/>
    <w:rsid w:val="0FEDCBF0"/>
    <w:rsid w:val="10E8F954"/>
    <w:rsid w:val="1156080E"/>
    <w:rsid w:val="1168BAAD"/>
    <w:rsid w:val="12FCA836"/>
    <w:rsid w:val="13EB1796"/>
    <w:rsid w:val="142C2837"/>
    <w:rsid w:val="144527C4"/>
    <w:rsid w:val="14D052AB"/>
    <w:rsid w:val="14F038C1"/>
    <w:rsid w:val="15197C8B"/>
    <w:rsid w:val="156D8F92"/>
    <w:rsid w:val="157B9C15"/>
    <w:rsid w:val="159DA161"/>
    <w:rsid w:val="15AFEE88"/>
    <w:rsid w:val="161EC525"/>
    <w:rsid w:val="168F4473"/>
    <w:rsid w:val="16904C50"/>
    <w:rsid w:val="173F13F1"/>
    <w:rsid w:val="180EC455"/>
    <w:rsid w:val="181E4ACB"/>
    <w:rsid w:val="1843B636"/>
    <w:rsid w:val="1845E08E"/>
    <w:rsid w:val="18919171"/>
    <w:rsid w:val="193CE529"/>
    <w:rsid w:val="194BF65A"/>
    <w:rsid w:val="1978C3FB"/>
    <w:rsid w:val="19C4D636"/>
    <w:rsid w:val="1A54DF9F"/>
    <w:rsid w:val="1ADB8F32"/>
    <w:rsid w:val="1B8CA64C"/>
    <w:rsid w:val="1BA7B626"/>
    <w:rsid w:val="1C41F238"/>
    <w:rsid w:val="1C4CA43D"/>
    <w:rsid w:val="1CBD3DC1"/>
    <w:rsid w:val="1CFA998E"/>
    <w:rsid w:val="1D429CD7"/>
    <w:rsid w:val="1D84480C"/>
    <w:rsid w:val="1E8D9847"/>
    <w:rsid w:val="1EB569A8"/>
    <w:rsid w:val="1ECEED8C"/>
    <w:rsid w:val="1F82B510"/>
    <w:rsid w:val="1F9ECD0E"/>
    <w:rsid w:val="1FC6E8A6"/>
    <w:rsid w:val="201D11BD"/>
    <w:rsid w:val="2039E245"/>
    <w:rsid w:val="2056CB62"/>
    <w:rsid w:val="206E1629"/>
    <w:rsid w:val="20891347"/>
    <w:rsid w:val="20DE4F49"/>
    <w:rsid w:val="2109BE19"/>
    <w:rsid w:val="21A7B583"/>
    <w:rsid w:val="21CFE81B"/>
    <w:rsid w:val="21E3CA50"/>
    <w:rsid w:val="2245AFB4"/>
    <w:rsid w:val="22468CB9"/>
    <w:rsid w:val="2285719E"/>
    <w:rsid w:val="23B7D365"/>
    <w:rsid w:val="247F1925"/>
    <w:rsid w:val="24B33A25"/>
    <w:rsid w:val="24BF4D80"/>
    <w:rsid w:val="24CF1D81"/>
    <w:rsid w:val="25660B6F"/>
    <w:rsid w:val="25BCBC3D"/>
    <w:rsid w:val="25DE90A1"/>
    <w:rsid w:val="262D36C9"/>
    <w:rsid w:val="26382A69"/>
    <w:rsid w:val="26EADFE3"/>
    <w:rsid w:val="270C0BEC"/>
    <w:rsid w:val="273B502D"/>
    <w:rsid w:val="2785E15A"/>
    <w:rsid w:val="27CEB14B"/>
    <w:rsid w:val="28BA8351"/>
    <w:rsid w:val="29995D9A"/>
    <w:rsid w:val="29C41785"/>
    <w:rsid w:val="29E77344"/>
    <w:rsid w:val="2A0C5345"/>
    <w:rsid w:val="2A22E4AC"/>
    <w:rsid w:val="2A4372F3"/>
    <w:rsid w:val="2AD24558"/>
    <w:rsid w:val="2C1291F7"/>
    <w:rsid w:val="2CAD5934"/>
    <w:rsid w:val="2D25C33F"/>
    <w:rsid w:val="2D544FF1"/>
    <w:rsid w:val="2E4D425A"/>
    <w:rsid w:val="2F622F55"/>
    <w:rsid w:val="2F842231"/>
    <w:rsid w:val="2F8581AF"/>
    <w:rsid w:val="30507FB4"/>
    <w:rsid w:val="3092600B"/>
    <w:rsid w:val="30E7ABEE"/>
    <w:rsid w:val="314E81CD"/>
    <w:rsid w:val="318780E3"/>
    <w:rsid w:val="31FC201C"/>
    <w:rsid w:val="32770CFE"/>
    <w:rsid w:val="327D24E8"/>
    <w:rsid w:val="33AE7A31"/>
    <w:rsid w:val="3488C35E"/>
    <w:rsid w:val="348A209B"/>
    <w:rsid w:val="34C95DEF"/>
    <w:rsid w:val="359DA084"/>
    <w:rsid w:val="37849D7C"/>
    <w:rsid w:val="383D82C7"/>
    <w:rsid w:val="386E6FD1"/>
    <w:rsid w:val="38A3F15D"/>
    <w:rsid w:val="38FD9753"/>
    <w:rsid w:val="39395D89"/>
    <w:rsid w:val="398A8390"/>
    <w:rsid w:val="39FAED63"/>
    <w:rsid w:val="3A4AF301"/>
    <w:rsid w:val="3A698EEA"/>
    <w:rsid w:val="3A96683C"/>
    <w:rsid w:val="3ACB705F"/>
    <w:rsid w:val="3B6842D6"/>
    <w:rsid w:val="3BAC7076"/>
    <w:rsid w:val="3BF60E09"/>
    <w:rsid w:val="3CDA22F5"/>
    <w:rsid w:val="3D03161D"/>
    <w:rsid w:val="3D0FC7D5"/>
    <w:rsid w:val="3D1289AA"/>
    <w:rsid w:val="3D1F29ED"/>
    <w:rsid w:val="3D9B8FA8"/>
    <w:rsid w:val="3DAF526B"/>
    <w:rsid w:val="3E60D563"/>
    <w:rsid w:val="3EDDFC98"/>
    <w:rsid w:val="3F0C1592"/>
    <w:rsid w:val="403487A1"/>
    <w:rsid w:val="4069D4D8"/>
    <w:rsid w:val="4132F935"/>
    <w:rsid w:val="418F9DE7"/>
    <w:rsid w:val="419746D2"/>
    <w:rsid w:val="42A5178B"/>
    <w:rsid w:val="42C58F6E"/>
    <w:rsid w:val="42D68244"/>
    <w:rsid w:val="43317174"/>
    <w:rsid w:val="437354BB"/>
    <w:rsid w:val="43A02A04"/>
    <w:rsid w:val="43C79A9B"/>
    <w:rsid w:val="43E169C3"/>
    <w:rsid w:val="4542B118"/>
    <w:rsid w:val="455E984C"/>
    <w:rsid w:val="457D7701"/>
    <w:rsid w:val="45CCF3B8"/>
    <w:rsid w:val="45E56E0E"/>
    <w:rsid w:val="46FFE228"/>
    <w:rsid w:val="483200EE"/>
    <w:rsid w:val="488AD2E1"/>
    <w:rsid w:val="48A39B9F"/>
    <w:rsid w:val="48B4F9DE"/>
    <w:rsid w:val="48F33CEA"/>
    <w:rsid w:val="4935207C"/>
    <w:rsid w:val="494F8153"/>
    <w:rsid w:val="4AEBABC3"/>
    <w:rsid w:val="4B5880C8"/>
    <w:rsid w:val="4BC329AC"/>
    <w:rsid w:val="4C3808A9"/>
    <w:rsid w:val="4D1939E7"/>
    <w:rsid w:val="4D3516BF"/>
    <w:rsid w:val="4D5252D4"/>
    <w:rsid w:val="4D6C17BD"/>
    <w:rsid w:val="4DA0E352"/>
    <w:rsid w:val="4E51F682"/>
    <w:rsid w:val="4EC46B2C"/>
    <w:rsid w:val="4F52B81B"/>
    <w:rsid w:val="4F69188B"/>
    <w:rsid w:val="4F88B472"/>
    <w:rsid w:val="4FE67804"/>
    <w:rsid w:val="509B5B2B"/>
    <w:rsid w:val="50D4C9A2"/>
    <w:rsid w:val="5113D940"/>
    <w:rsid w:val="515A9ECB"/>
    <w:rsid w:val="51807910"/>
    <w:rsid w:val="519382A1"/>
    <w:rsid w:val="51B8057F"/>
    <w:rsid w:val="51EFEE21"/>
    <w:rsid w:val="52D3C309"/>
    <w:rsid w:val="5323059B"/>
    <w:rsid w:val="53B64DCE"/>
    <w:rsid w:val="54EE8246"/>
    <w:rsid w:val="554E6885"/>
    <w:rsid w:val="55C2755C"/>
    <w:rsid w:val="55CF1BC1"/>
    <w:rsid w:val="55FFCFBE"/>
    <w:rsid w:val="5624D2A6"/>
    <w:rsid w:val="563ECCED"/>
    <w:rsid w:val="565F7AE7"/>
    <w:rsid w:val="566E7668"/>
    <w:rsid w:val="5699E7D9"/>
    <w:rsid w:val="56C07D9A"/>
    <w:rsid w:val="57262246"/>
    <w:rsid w:val="58E48D37"/>
    <w:rsid w:val="5904701A"/>
    <w:rsid w:val="5904D69C"/>
    <w:rsid w:val="5923C43A"/>
    <w:rsid w:val="598B8AF5"/>
    <w:rsid w:val="5A4195E9"/>
    <w:rsid w:val="5A5DFEF4"/>
    <w:rsid w:val="5A77D113"/>
    <w:rsid w:val="5AA28234"/>
    <w:rsid w:val="5AD7B924"/>
    <w:rsid w:val="5AF177AC"/>
    <w:rsid w:val="5B038E35"/>
    <w:rsid w:val="5CE34480"/>
    <w:rsid w:val="5CF9942B"/>
    <w:rsid w:val="5D5FDC70"/>
    <w:rsid w:val="5D7566D6"/>
    <w:rsid w:val="5FC246BF"/>
    <w:rsid w:val="612C870C"/>
    <w:rsid w:val="61320FF5"/>
    <w:rsid w:val="615567B4"/>
    <w:rsid w:val="6193B6AE"/>
    <w:rsid w:val="61B3FCC2"/>
    <w:rsid w:val="63303C8C"/>
    <w:rsid w:val="63CC7198"/>
    <w:rsid w:val="64431636"/>
    <w:rsid w:val="64654167"/>
    <w:rsid w:val="64F61355"/>
    <w:rsid w:val="656AEE55"/>
    <w:rsid w:val="65C28326"/>
    <w:rsid w:val="65C2E683"/>
    <w:rsid w:val="65C6D884"/>
    <w:rsid w:val="6601C1E7"/>
    <w:rsid w:val="66563885"/>
    <w:rsid w:val="69491481"/>
    <w:rsid w:val="6A229D4E"/>
    <w:rsid w:val="6A3F04BF"/>
    <w:rsid w:val="6A53683F"/>
    <w:rsid w:val="6A88112C"/>
    <w:rsid w:val="6B40D91F"/>
    <w:rsid w:val="6C30E484"/>
    <w:rsid w:val="6CA3592E"/>
    <w:rsid w:val="6DB97628"/>
    <w:rsid w:val="6E4B9BD1"/>
    <w:rsid w:val="6E963753"/>
    <w:rsid w:val="6EA7AB20"/>
    <w:rsid w:val="6EA9E2B1"/>
    <w:rsid w:val="6EBB1D88"/>
    <w:rsid w:val="6F8C57B5"/>
    <w:rsid w:val="6FD36D2D"/>
    <w:rsid w:val="70B55D1F"/>
    <w:rsid w:val="713AC19B"/>
    <w:rsid w:val="713E418E"/>
    <w:rsid w:val="717B9AFF"/>
    <w:rsid w:val="720C3F67"/>
    <w:rsid w:val="72B90CC4"/>
    <w:rsid w:val="72FB7ABA"/>
    <w:rsid w:val="732B816E"/>
    <w:rsid w:val="73394BE8"/>
    <w:rsid w:val="74473799"/>
    <w:rsid w:val="745141E0"/>
    <w:rsid w:val="7553B125"/>
    <w:rsid w:val="765B3471"/>
    <w:rsid w:val="76FA4C55"/>
    <w:rsid w:val="7709E546"/>
    <w:rsid w:val="771EA062"/>
    <w:rsid w:val="775686A8"/>
    <w:rsid w:val="77EA6A48"/>
    <w:rsid w:val="7821F3A0"/>
    <w:rsid w:val="787CC42D"/>
    <w:rsid w:val="78ADC666"/>
    <w:rsid w:val="7902457F"/>
    <w:rsid w:val="7912A29F"/>
    <w:rsid w:val="799E13AF"/>
    <w:rsid w:val="7A58559E"/>
    <w:rsid w:val="7ACF0129"/>
    <w:rsid w:val="7B3148E5"/>
    <w:rsid w:val="7B4175D3"/>
    <w:rsid w:val="7B56FCE9"/>
    <w:rsid w:val="7B7A3C2E"/>
    <w:rsid w:val="7B85024D"/>
    <w:rsid w:val="7C0DE236"/>
    <w:rsid w:val="7CA0B372"/>
    <w:rsid w:val="7CB8A33F"/>
    <w:rsid w:val="7D0A2CB8"/>
    <w:rsid w:val="7D18D567"/>
    <w:rsid w:val="7D829B44"/>
    <w:rsid w:val="7DD2E15B"/>
    <w:rsid w:val="7E08B665"/>
    <w:rsid w:val="7E171327"/>
    <w:rsid w:val="7E47E0C8"/>
    <w:rsid w:val="7ED0F951"/>
    <w:rsid w:val="7FC507CF"/>
    <w:rsid w:val="7FDBE0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E1D8"/>
  <w15:chartTrackingRefBased/>
  <w15:docId w15:val="{C742DD7C-E4B6-4EF9-B3ED-9ACD457B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CB3"/>
    <w:pPr>
      <w:spacing w:after="120" w:line="264" w:lineRule="auto"/>
    </w:pPr>
    <w:rPr>
      <w:rFonts w:ascii="Garamond" w:hAnsi="Garamond"/>
      <w:sz w:val="26"/>
    </w:rPr>
  </w:style>
  <w:style w:type="paragraph" w:styleId="Heading1">
    <w:name w:val="heading 1"/>
    <w:basedOn w:val="Normal"/>
    <w:next w:val="Normal"/>
    <w:link w:val="Heading1Char"/>
    <w:uiPriority w:val="9"/>
    <w:qFormat/>
    <w:rsid w:val="00761B7E"/>
    <w:pPr>
      <w:keepNext/>
      <w:keepLines/>
      <w:pBdr>
        <w:bottom w:val="single" w:sz="4" w:space="1" w:color="806000" w:themeColor="accent4" w:themeShade="80"/>
      </w:pBdr>
      <w:spacing w:before="320" w:after="80"/>
      <w:outlineLvl w:val="0"/>
    </w:pPr>
    <w:rPr>
      <w:rFonts w:ascii="Century Gothic" w:eastAsiaTheme="majorEastAsia" w:hAnsi="Century Gothic" w:cs="Times New Roman (Headings CS)"/>
      <w:b/>
      <w:color w:val="806000" w:themeColor="accent4" w:themeShade="80"/>
      <w:spacing w:val="10"/>
      <w:sz w:val="24"/>
      <w:szCs w:val="22"/>
    </w:rPr>
  </w:style>
  <w:style w:type="paragraph" w:styleId="Heading2">
    <w:name w:val="heading 2"/>
    <w:basedOn w:val="Normal"/>
    <w:next w:val="Normal"/>
    <w:link w:val="Heading2Char"/>
    <w:uiPriority w:val="9"/>
    <w:unhideWhenUsed/>
    <w:qFormat/>
    <w:rsid w:val="00AE321A"/>
    <w:pPr>
      <w:keepNext/>
      <w:keepLines/>
      <w:spacing w:before="280" w:after="40" w:line="240" w:lineRule="auto"/>
      <w:outlineLvl w:val="1"/>
    </w:pPr>
    <w:rPr>
      <w:rFonts w:ascii="Century Gothic" w:eastAsiaTheme="majorEastAsia" w:hAnsi="Century Gothic" w:cs="Times New Roman (Headings CS)"/>
      <w:b/>
      <w:bCs/>
      <w:color w:val="1F3864" w:themeColor="accent1" w:themeShade="80"/>
      <w:spacing w:val="10"/>
      <w:sz w:val="24"/>
    </w:rPr>
  </w:style>
  <w:style w:type="paragraph" w:styleId="Heading3">
    <w:name w:val="heading 3"/>
    <w:basedOn w:val="Heading2"/>
    <w:next w:val="Normal"/>
    <w:link w:val="Heading3Char"/>
    <w:uiPriority w:val="9"/>
    <w:unhideWhenUsed/>
    <w:qFormat/>
    <w:rsid w:val="00172EF2"/>
    <w:pPr>
      <w:outlineLvl w:val="2"/>
    </w:pPr>
    <w:rPr>
      <w:b w:val="0"/>
      <w:bCs w:val="0"/>
      <w:i/>
      <w:iCs/>
    </w:rPr>
  </w:style>
  <w:style w:type="paragraph" w:styleId="Heading4">
    <w:name w:val="heading 4"/>
    <w:basedOn w:val="Heading3"/>
    <w:next w:val="Normal"/>
    <w:link w:val="Heading4Char"/>
    <w:uiPriority w:val="9"/>
    <w:unhideWhenUsed/>
    <w:qFormat/>
    <w:rsid w:val="00E42578"/>
    <w:pPr>
      <w:outlineLvl w:val="3"/>
    </w:pPr>
    <w:rPr>
      <w:i w:val="0"/>
      <w:iCs w:val="0"/>
      <w:sz w:val="21"/>
      <w:szCs w:val="21"/>
    </w:rPr>
  </w:style>
  <w:style w:type="paragraph" w:styleId="Heading5">
    <w:name w:val="heading 5"/>
    <w:basedOn w:val="Heading4"/>
    <w:next w:val="Normal"/>
    <w:link w:val="Heading5Char"/>
    <w:uiPriority w:val="9"/>
    <w:unhideWhenUsed/>
    <w:qFormat/>
    <w:rsid w:val="00AC2255"/>
    <w:pPr>
      <w:outlineLvl w:val="4"/>
    </w:pPr>
  </w:style>
  <w:style w:type="paragraph" w:styleId="Heading6">
    <w:name w:val="heading 6"/>
    <w:basedOn w:val="Heading5"/>
    <w:next w:val="Normal"/>
    <w:link w:val="Heading6Char"/>
    <w:uiPriority w:val="9"/>
    <w:unhideWhenUsed/>
    <w:qFormat/>
    <w:rsid w:val="00AC2255"/>
    <w:pPr>
      <w:outlineLvl w:val="5"/>
    </w:pPr>
  </w:style>
  <w:style w:type="paragraph" w:styleId="Heading7">
    <w:name w:val="heading 7"/>
    <w:basedOn w:val="Heading6"/>
    <w:next w:val="Normal"/>
    <w:link w:val="Heading7Char"/>
    <w:uiPriority w:val="9"/>
    <w:unhideWhenUsed/>
    <w:qFormat/>
    <w:rsid w:val="00AC2255"/>
    <w:pPr>
      <w:outlineLvl w:val="6"/>
    </w:pPr>
  </w:style>
  <w:style w:type="paragraph" w:styleId="Heading8">
    <w:name w:val="heading 8"/>
    <w:basedOn w:val="Heading7"/>
    <w:next w:val="Normal"/>
    <w:link w:val="Heading8Char"/>
    <w:uiPriority w:val="9"/>
    <w:unhideWhenUsed/>
    <w:qFormat/>
    <w:rsid w:val="00AC2255"/>
    <w:pPr>
      <w:outlineLvl w:val="7"/>
    </w:pPr>
  </w:style>
  <w:style w:type="paragraph" w:styleId="Heading9">
    <w:name w:val="heading 9"/>
    <w:basedOn w:val="Heading4"/>
    <w:next w:val="Normal"/>
    <w:link w:val="Heading9Char"/>
    <w:uiPriority w:val="9"/>
    <w:unhideWhenUsed/>
    <w:qFormat/>
    <w:rsid w:val="00606F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D5"/>
    <w:rPr>
      <w:rFonts w:ascii="Garamond" w:hAnsi="Garamond"/>
    </w:rPr>
  </w:style>
  <w:style w:type="paragraph" w:styleId="Footer">
    <w:name w:val="footer"/>
    <w:basedOn w:val="Normal"/>
    <w:link w:val="FooterChar"/>
    <w:uiPriority w:val="99"/>
    <w:unhideWhenUsed/>
    <w:rsid w:val="0030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D5"/>
    <w:rPr>
      <w:rFonts w:ascii="Garamond" w:hAnsi="Garamond"/>
    </w:rPr>
  </w:style>
  <w:style w:type="table" w:styleId="TableGrid">
    <w:name w:val="Table Grid"/>
    <w:basedOn w:val="TableNormal"/>
    <w:uiPriority w:val="39"/>
    <w:rsid w:val="0030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77C1"/>
    <w:pPr>
      <w:suppressAutoHyphens/>
      <w:snapToGrid w:val="0"/>
      <w:spacing w:after="0"/>
      <w:contextualSpacing/>
      <w:outlineLvl w:val="0"/>
    </w:pPr>
    <w:rPr>
      <w:rFonts w:ascii="Century Gothic" w:eastAsiaTheme="majorEastAsia" w:hAnsi="Century Gothic" w:cs="Times New Roman (Headings CS)"/>
      <w:b/>
      <w:color w:val="1F3864" w:themeColor="accent1" w:themeShade="80"/>
      <w:spacing w:val="4"/>
      <w:kern w:val="28"/>
      <w:sz w:val="36"/>
      <w:szCs w:val="56"/>
    </w:rPr>
  </w:style>
  <w:style w:type="character" w:customStyle="1" w:styleId="TitleChar">
    <w:name w:val="Title Char"/>
    <w:basedOn w:val="DefaultParagraphFont"/>
    <w:link w:val="Title"/>
    <w:uiPriority w:val="10"/>
    <w:rsid w:val="004277C1"/>
    <w:rPr>
      <w:rFonts w:ascii="Century Gothic" w:eastAsiaTheme="majorEastAsia" w:hAnsi="Century Gothic" w:cs="Times New Roman (Headings CS)"/>
      <w:b/>
      <w:color w:val="1F3864" w:themeColor="accent1" w:themeShade="80"/>
      <w:spacing w:val="4"/>
      <w:kern w:val="28"/>
      <w:sz w:val="36"/>
      <w:szCs w:val="56"/>
    </w:rPr>
  </w:style>
  <w:style w:type="character" w:customStyle="1" w:styleId="Heading1Char">
    <w:name w:val="Heading 1 Char"/>
    <w:basedOn w:val="DefaultParagraphFont"/>
    <w:link w:val="Heading1"/>
    <w:uiPriority w:val="9"/>
    <w:rsid w:val="00761B7E"/>
    <w:rPr>
      <w:rFonts w:ascii="Century Gothic" w:eastAsiaTheme="majorEastAsia" w:hAnsi="Century Gothic" w:cs="Times New Roman (Headings CS)"/>
      <w:b/>
      <w:color w:val="806000" w:themeColor="accent4" w:themeShade="80"/>
      <w:spacing w:val="10"/>
      <w:szCs w:val="22"/>
    </w:rPr>
  </w:style>
  <w:style w:type="character" w:customStyle="1" w:styleId="Heading2Char">
    <w:name w:val="Heading 2 Char"/>
    <w:basedOn w:val="DefaultParagraphFont"/>
    <w:link w:val="Heading2"/>
    <w:uiPriority w:val="9"/>
    <w:rsid w:val="00AE321A"/>
    <w:rPr>
      <w:rFonts w:ascii="Century Gothic" w:eastAsiaTheme="majorEastAsia" w:hAnsi="Century Gothic" w:cs="Times New Roman (Headings CS)"/>
      <w:b/>
      <w:bCs/>
      <w:color w:val="1F3864" w:themeColor="accent1" w:themeShade="80"/>
      <w:spacing w:val="10"/>
    </w:rPr>
  </w:style>
  <w:style w:type="character" w:customStyle="1" w:styleId="Heading3Char">
    <w:name w:val="Heading 3 Char"/>
    <w:basedOn w:val="DefaultParagraphFont"/>
    <w:link w:val="Heading3"/>
    <w:uiPriority w:val="9"/>
    <w:rsid w:val="00172EF2"/>
    <w:rPr>
      <w:rFonts w:ascii="Century Gothic" w:eastAsiaTheme="majorEastAsia" w:hAnsi="Century Gothic" w:cs="Times New Roman (Headings CS)"/>
      <w:i/>
      <w:iCs/>
      <w:color w:val="1F3864" w:themeColor="accent1" w:themeShade="80"/>
      <w:spacing w:val="10"/>
    </w:rPr>
  </w:style>
  <w:style w:type="character" w:customStyle="1" w:styleId="Heading4Char">
    <w:name w:val="Heading 4 Char"/>
    <w:basedOn w:val="DefaultParagraphFont"/>
    <w:link w:val="Heading4"/>
    <w:uiPriority w:val="9"/>
    <w:rsid w:val="00E42578"/>
    <w:rPr>
      <w:rFonts w:ascii="Century Gothic" w:eastAsiaTheme="majorEastAsia" w:hAnsi="Century Gothic" w:cs="Times New Roman (Headings CS)"/>
      <w:color w:val="1F3864" w:themeColor="accent1" w:themeShade="80"/>
      <w:spacing w:val="10"/>
      <w:sz w:val="21"/>
      <w:szCs w:val="21"/>
    </w:rPr>
  </w:style>
  <w:style w:type="character" w:customStyle="1" w:styleId="Heading5Char">
    <w:name w:val="Heading 5 Char"/>
    <w:basedOn w:val="DefaultParagraphFont"/>
    <w:link w:val="Heading5"/>
    <w:uiPriority w:val="9"/>
    <w:rsid w:val="00AC2255"/>
    <w:rPr>
      <w:rFonts w:ascii="Century Gothic" w:eastAsiaTheme="majorEastAsia" w:hAnsi="Century Gothic" w:cs="Times New Roman (Headings CS)"/>
      <w:i/>
      <w:iCs/>
      <w:color w:val="1F3864" w:themeColor="accent1" w:themeShade="80"/>
      <w:spacing w:val="10"/>
    </w:rPr>
  </w:style>
  <w:style w:type="paragraph" w:styleId="BalloonText">
    <w:name w:val="Balloon Text"/>
    <w:basedOn w:val="Normal"/>
    <w:link w:val="BalloonTextChar"/>
    <w:uiPriority w:val="99"/>
    <w:semiHidden/>
    <w:unhideWhenUsed/>
    <w:rsid w:val="004063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314"/>
    <w:rPr>
      <w:rFonts w:ascii="Times New Roman" w:hAnsi="Times New Roman" w:cs="Times New Roman"/>
      <w:sz w:val="18"/>
      <w:szCs w:val="18"/>
    </w:rPr>
  </w:style>
  <w:style w:type="character" w:customStyle="1" w:styleId="Heading6Char">
    <w:name w:val="Heading 6 Char"/>
    <w:basedOn w:val="DefaultParagraphFont"/>
    <w:link w:val="Heading6"/>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7Char">
    <w:name w:val="Heading 7 Char"/>
    <w:basedOn w:val="DefaultParagraphFont"/>
    <w:link w:val="Heading7"/>
    <w:uiPriority w:val="9"/>
    <w:rsid w:val="00AC2255"/>
    <w:rPr>
      <w:rFonts w:ascii="Century Gothic" w:eastAsiaTheme="majorEastAsia" w:hAnsi="Century Gothic" w:cs="Times New Roman (Headings CS)"/>
      <w:i/>
      <w:iCs/>
      <w:color w:val="1F3864" w:themeColor="accent1" w:themeShade="80"/>
      <w:spacing w:val="10"/>
    </w:rPr>
  </w:style>
  <w:style w:type="paragraph" w:styleId="Subtitle">
    <w:name w:val="Subtitle"/>
    <w:basedOn w:val="Normal"/>
    <w:next w:val="Normal"/>
    <w:link w:val="SubtitleChar"/>
    <w:uiPriority w:val="11"/>
    <w:qFormat/>
    <w:rsid w:val="00F139A1"/>
    <w:pPr>
      <w:numPr>
        <w:ilvl w:val="1"/>
      </w:numPr>
    </w:pPr>
    <w:rPr>
      <w:rFonts w:ascii="Century Gothic" w:eastAsiaTheme="minorEastAsia" w:hAnsi="Century Gothic" w:cs="Times New Roman (Body CS)"/>
      <w:b/>
      <w:color w:val="1F3864" w:themeColor="accent1" w:themeShade="80"/>
      <w:spacing w:val="4"/>
      <w:sz w:val="28"/>
      <w:szCs w:val="22"/>
    </w:rPr>
  </w:style>
  <w:style w:type="character" w:customStyle="1" w:styleId="SubtitleChar">
    <w:name w:val="Subtitle Char"/>
    <w:basedOn w:val="DefaultParagraphFont"/>
    <w:link w:val="Subtitle"/>
    <w:uiPriority w:val="11"/>
    <w:rsid w:val="00F139A1"/>
    <w:rPr>
      <w:rFonts w:ascii="Century Gothic" w:eastAsiaTheme="minorEastAsia" w:hAnsi="Century Gothic" w:cs="Times New Roman (Body CS)"/>
      <w:b/>
      <w:color w:val="1F3864" w:themeColor="accent1" w:themeShade="80"/>
      <w:spacing w:val="4"/>
      <w:sz w:val="28"/>
      <w:szCs w:val="22"/>
    </w:rPr>
  </w:style>
  <w:style w:type="paragraph" w:styleId="ListParagraph">
    <w:name w:val="List Paragraph"/>
    <w:basedOn w:val="Normal"/>
    <w:uiPriority w:val="34"/>
    <w:qFormat/>
    <w:rsid w:val="00A1515D"/>
    <w:pPr>
      <w:ind w:left="720"/>
      <w:contextualSpacing/>
    </w:pPr>
  </w:style>
  <w:style w:type="character" w:styleId="Hyperlink">
    <w:name w:val="Hyperlink"/>
    <w:basedOn w:val="DefaultParagraphFont"/>
    <w:uiPriority w:val="99"/>
    <w:unhideWhenUsed/>
    <w:rsid w:val="00E4279B"/>
    <w:rPr>
      <w:color w:val="385623" w:themeColor="accent6" w:themeShade="80"/>
      <w:u w:val="single"/>
    </w:rPr>
  </w:style>
  <w:style w:type="character" w:styleId="UnresolvedMention">
    <w:name w:val="Unresolved Mention"/>
    <w:basedOn w:val="DefaultParagraphFont"/>
    <w:uiPriority w:val="99"/>
    <w:semiHidden/>
    <w:unhideWhenUsed/>
    <w:rsid w:val="00476407"/>
    <w:rPr>
      <w:color w:val="605E5C"/>
      <w:shd w:val="clear" w:color="auto" w:fill="E1DFDD"/>
    </w:rPr>
  </w:style>
  <w:style w:type="character" w:styleId="PageNumber">
    <w:name w:val="page number"/>
    <w:basedOn w:val="DefaultParagraphFont"/>
    <w:uiPriority w:val="99"/>
    <w:semiHidden/>
    <w:unhideWhenUsed/>
    <w:rsid w:val="0024225E"/>
    <w:rPr>
      <w:color w:val="4779B1"/>
      <w:sz w:val="22"/>
    </w:rPr>
  </w:style>
  <w:style w:type="paragraph" w:styleId="ListBullet">
    <w:name w:val="List Bullet"/>
    <w:basedOn w:val="Normal"/>
    <w:uiPriority w:val="99"/>
    <w:unhideWhenUsed/>
    <w:rsid w:val="00CB6F50"/>
    <w:pPr>
      <w:numPr>
        <w:numId w:val="12"/>
      </w:numPr>
      <w:contextualSpacing/>
    </w:pPr>
  </w:style>
  <w:style w:type="character" w:customStyle="1" w:styleId="Heading8Char">
    <w:name w:val="Heading 8 Char"/>
    <w:basedOn w:val="DefaultParagraphFont"/>
    <w:link w:val="Heading8"/>
    <w:uiPriority w:val="9"/>
    <w:rsid w:val="00AC2255"/>
    <w:rPr>
      <w:rFonts w:ascii="Century Gothic" w:eastAsiaTheme="majorEastAsia" w:hAnsi="Century Gothic" w:cs="Times New Roman (Headings CS)"/>
      <w:i/>
      <w:iCs/>
      <w:color w:val="1F3864" w:themeColor="accent1" w:themeShade="80"/>
      <w:spacing w:val="10"/>
    </w:rPr>
  </w:style>
  <w:style w:type="character" w:customStyle="1" w:styleId="Heading9Char">
    <w:name w:val="Heading 9 Char"/>
    <w:basedOn w:val="DefaultParagraphFont"/>
    <w:link w:val="Heading9"/>
    <w:uiPriority w:val="9"/>
    <w:rsid w:val="00606F07"/>
    <w:rPr>
      <w:rFonts w:ascii="Century Gothic" w:eastAsiaTheme="majorEastAsia" w:hAnsi="Century Gothic" w:cs="Times New Roman (Headings CS)"/>
      <w:color w:val="1F3864" w:themeColor="accent1" w:themeShade="80"/>
      <w:spacing w:val="10"/>
      <w:sz w:val="21"/>
      <w:szCs w:val="21"/>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206FB5"/>
    <w:rPr>
      <w:rFonts w:ascii="Garamond" w:hAnsi="Garamond"/>
      <w:sz w:val="26"/>
    </w:rPr>
  </w:style>
  <w:style w:type="character" w:styleId="FollowedHyperlink">
    <w:name w:val="FollowedHyperlink"/>
    <w:basedOn w:val="DefaultParagraphFont"/>
    <w:uiPriority w:val="99"/>
    <w:semiHidden/>
    <w:unhideWhenUsed/>
    <w:rsid w:val="00A3661A"/>
    <w:rPr>
      <w:color w:val="954F72" w:themeColor="followedHyperlink"/>
      <w:u w:val="single"/>
    </w:rPr>
  </w:style>
  <w:style w:type="character" w:styleId="CommentReference">
    <w:name w:val="annotation reference"/>
    <w:basedOn w:val="DefaultParagraphFont"/>
    <w:uiPriority w:val="99"/>
    <w:semiHidden/>
    <w:unhideWhenUsed/>
    <w:rsid w:val="006F6C79"/>
    <w:rPr>
      <w:sz w:val="16"/>
      <w:szCs w:val="16"/>
    </w:rPr>
  </w:style>
  <w:style w:type="paragraph" w:styleId="CommentText">
    <w:name w:val="annotation text"/>
    <w:basedOn w:val="Normal"/>
    <w:link w:val="CommentTextChar"/>
    <w:uiPriority w:val="99"/>
    <w:unhideWhenUsed/>
    <w:rsid w:val="006F6C79"/>
    <w:pPr>
      <w:spacing w:line="240" w:lineRule="auto"/>
    </w:pPr>
    <w:rPr>
      <w:sz w:val="20"/>
      <w:szCs w:val="20"/>
    </w:rPr>
  </w:style>
  <w:style w:type="character" w:customStyle="1" w:styleId="CommentTextChar">
    <w:name w:val="Comment Text Char"/>
    <w:basedOn w:val="DefaultParagraphFont"/>
    <w:link w:val="CommentText"/>
    <w:uiPriority w:val="99"/>
    <w:rsid w:val="006F6C79"/>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F6C79"/>
    <w:rPr>
      <w:b/>
      <w:bCs/>
    </w:rPr>
  </w:style>
  <w:style w:type="character" w:customStyle="1" w:styleId="CommentSubjectChar">
    <w:name w:val="Comment Subject Char"/>
    <w:basedOn w:val="CommentTextChar"/>
    <w:link w:val="CommentSubject"/>
    <w:uiPriority w:val="99"/>
    <w:semiHidden/>
    <w:rsid w:val="006F6C79"/>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c.ca.gov/pph/" TargetMode="External"/><Relationship Id="rId18" Type="http://schemas.openxmlformats.org/officeDocument/2006/relationships/hyperlink" Target="https://www.cpuc.ca.gov/PA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dminMonitor.com/ca/cpuc" TargetMode="External"/><Relationship Id="rId17" Type="http://schemas.openxmlformats.org/officeDocument/2006/relationships/hyperlink" Target="https://www.cpuc.c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s.cpuc.ca.gov/apex/f?p=401:56:0::NO:RP,57,RIR:P5_PROCEEDING_SELECT:A24120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cpuc.ca.gov/PublishedDocs/Efile/G000/M548/K362/548362332.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pps.cpuc.ca.gov/apex/f?p=401:65:0::NO:RP,57,RIR:P5_PROCEEDING_SELECT:A241200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ublic.advisor@cpuc.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bscribecpuc.cpuc.ca.gov"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ziz\Downloads\Fact%20Sheet%20Template_03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0e16e8-2109-40d9-9dc6-5aa32e4de434">
      <Terms xmlns="http://schemas.microsoft.com/office/infopath/2007/PartnerControls"/>
    </lcf76f155ced4ddcb4097134ff3c332f>
    <TaxCatchAll xmlns="0c4a6f31-d38c-4f21-8422-a05a021154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02EFE806E8844CA82F152E15806D4C" ma:contentTypeVersion="13" ma:contentTypeDescription="Create a new document." ma:contentTypeScope="" ma:versionID="cf36e1d38775d4b08aaab457fdf8851b">
  <xsd:schema xmlns:xsd="http://www.w3.org/2001/XMLSchema" xmlns:xs="http://www.w3.org/2001/XMLSchema" xmlns:p="http://schemas.microsoft.com/office/2006/metadata/properties" xmlns:ns2="800e16e8-2109-40d9-9dc6-5aa32e4de434" xmlns:ns3="0c4a6f31-d38c-4f21-8422-a05a02115431" targetNamespace="http://schemas.microsoft.com/office/2006/metadata/properties" ma:root="true" ma:fieldsID="ea1a4fa9ff3498d17c5658e7e4ee9c9b" ns2:_="" ns3:_="">
    <xsd:import namespace="800e16e8-2109-40d9-9dc6-5aa32e4de434"/>
    <xsd:import namespace="0c4a6f31-d38c-4f21-8422-a05a02115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16e8-2109-40d9-9dc6-5aa32e4d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a6f31-d38c-4f21-8422-a05a02115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03537c-a2d3-4190-9cbc-8242d354f57c}" ma:internalName="TaxCatchAll" ma:showField="CatchAllData" ma:web="0c4a6f31-d38c-4f21-8422-a05a02115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EE518-F0A2-424A-8C2D-E1334E02CD2C}">
  <ds:schemaRefs>
    <ds:schemaRef ds:uri="http://schemas.openxmlformats.org/officeDocument/2006/bibliography"/>
  </ds:schemaRefs>
</ds:datastoreItem>
</file>

<file path=customXml/itemProps2.xml><?xml version="1.0" encoding="utf-8"?>
<ds:datastoreItem xmlns:ds="http://schemas.openxmlformats.org/officeDocument/2006/customXml" ds:itemID="{A3854F23-3793-471B-8EE8-A9E072A7A704}">
  <ds:schemaRefs>
    <ds:schemaRef ds:uri="http://schemas.microsoft.com/sharepoint/v3/contenttype/forms"/>
  </ds:schemaRefs>
</ds:datastoreItem>
</file>

<file path=customXml/itemProps3.xml><?xml version="1.0" encoding="utf-8"?>
<ds:datastoreItem xmlns:ds="http://schemas.openxmlformats.org/officeDocument/2006/customXml" ds:itemID="{C42A16F9-6B02-4800-A398-4FF79AB31CC9}">
  <ds:schemaRefs>
    <ds:schemaRef ds:uri="http://schemas.microsoft.com/office/2006/metadata/properties"/>
    <ds:schemaRef ds:uri="http://schemas.microsoft.com/office/infopath/2007/PartnerControls"/>
    <ds:schemaRef ds:uri="800e16e8-2109-40d9-9dc6-5aa32e4de434"/>
    <ds:schemaRef ds:uri="0c4a6f31-d38c-4f21-8422-a05a02115431"/>
  </ds:schemaRefs>
</ds:datastoreItem>
</file>

<file path=customXml/itemProps4.xml><?xml version="1.0" encoding="utf-8"?>
<ds:datastoreItem xmlns:ds="http://schemas.openxmlformats.org/officeDocument/2006/customXml" ds:itemID="{54382A77-56D4-4786-AA04-76556CCF8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16e8-2109-40d9-9dc6-5aa32e4de434"/>
    <ds:schemaRef ds:uri="0c4a6f31-d38c-4f21-8422-a05a02115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7159c6-f1df-4ef5-8d04-65c7d856c1d1}" enabled="0" method="" siteId="{837159c6-f1df-4ef5-8d04-65c7d856c1d1}" removed="1"/>
</clbl:labelList>
</file>

<file path=docProps/app.xml><?xml version="1.0" encoding="utf-8"?>
<Properties xmlns="http://schemas.openxmlformats.org/officeDocument/2006/extended-properties" xmlns:vt="http://schemas.openxmlformats.org/officeDocument/2006/docPropsVTypes">
  <Template>Fact Sheet Template_0322</Template>
  <TotalTime>5</TotalTime>
  <Pages>3</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creator>Cheung, Alyssa</dc:creator>
  <cp:lastModifiedBy>Focus Interpreting</cp:lastModifiedBy>
  <cp:revision>8</cp:revision>
  <cp:lastPrinted>2020-05-15T20:59:00Z</cp:lastPrinted>
  <dcterms:created xsi:type="dcterms:W3CDTF">2025-07-02T05:25:00Z</dcterms:created>
  <dcterms:modified xsi:type="dcterms:W3CDTF">2025-07-08T15:19:00Z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0x010100A702EFE806E8844CA82F152E15806D4C</vt:lpwstr>
  </property>
  <property fmtid="{D5CDD505-2E9C-101B-9397-08002B2CF9AE}" pid="3" name="MediaServiceImageTags">
    <vt:lpwstr/>
  </property>
</Properties>
</file>