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14FD8" w14:textId="6640CD7E" w:rsidR="00566076" w:rsidRDefault="00C21BE2">
      <w:pPr>
        <w:pStyle w:val="BodyText"/>
        <w:rPr>
          <w:rFonts w:ascii="Times New Roman"/>
          <w:sz w:val="28"/>
        </w:rPr>
      </w:pPr>
      <w:r>
        <w:rPr>
          <w:noProof/>
        </w:rPr>
        <w:drawing>
          <wp:anchor distT="0" distB="0" distL="114300" distR="114300" simplePos="0" relativeHeight="251664384" behindDoc="1" locked="0" layoutInCell="1" allowOverlap="1" wp14:anchorId="66A69D88" wp14:editId="20F658C7">
            <wp:simplePos x="0" y="0"/>
            <wp:positionH relativeFrom="page">
              <wp:align>right</wp:align>
            </wp:positionH>
            <wp:positionV relativeFrom="paragraph">
              <wp:posOffset>-105410</wp:posOffset>
            </wp:positionV>
            <wp:extent cx="7772400" cy="1171528"/>
            <wp:effectExtent l="0" t="0" r="0" b="0"/>
            <wp:wrapNone/>
            <wp:docPr id="1758605304" name="Picture 1758605304" descr="Comisión De Servicios Públicos De California&#10;Hoja Inf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05304" name="Picture 4" descr="Comisión De Servicios Públicos De California&#10;Hoja Informativa"/>
                    <pic:cNvPicPr/>
                  </pic:nvPicPr>
                  <pic:blipFill>
                    <a:blip r:embed="rId11">
                      <a:extLst>
                        <a:ext uri="{28A0092B-C50C-407E-A947-70E740481C1C}">
                          <a14:useLocalDpi xmlns:a14="http://schemas.microsoft.com/office/drawing/2010/main" val="0"/>
                        </a:ext>
                      </a:extLst>
                    </a:blip>
                    <a:stretch>
                      <a:fillRect/>
                    </a:stretch>
                  </pic:blipFill>
                  <pic:spPr>
                    <a:xfrm>
                      <a:off x="0" y="0"/>
                      <a:ext cx="7772400" cy="1171528"/>
                    </a:xfrm>
                    <a:prstGeom prst="rect">
                      <a:avLst/>
                    </a:prstGeom>
                  </pic:spPr>
                </pic:pic>
              </a:graphicData>
            </a:graphic>
            <wp14:sizeRelH relativeFrom="page">
              <wp14:pctWidth>0</wp14:pctWidth>
            </wp14:sizeRelH>
            <wp14:sizeRelV relativeFrom="page">
              <wp14:pctHeight>0</wp14:pctHeight>
            </wp14:sizeRelV>
          </wp:anchor>
        </w:drawing>
      </w:r>
    </w:p>
    <w:p w14:paraId="0D50EE4F" w14:textId="77777777" w:rsidR="00566076" w:rsidRDefault="00566076">
      <w:pPr>
        <w:pStyle w:val="BodyText"/>
        <w:rPr>
          <w:rFonts w:ascii="Times New Roman"/>
          <w:sz w:val="28"/>
        </w:rPr>
      </w:pPr>
    </w:p>
    <w:p w14:paraId="74D30232" w14:textId="77777777" w:rsidR="00566076" w:rsidRDefault="00566076">
      <w:pPr>
        <w:pStyle w:val="BodyText"/>
        <w:rPr>
          <w:rFonts w:ascii="Times New Roman"/>
          <w:sz w:val="28"/>
        </w:rPr>
      </w:pPr>
    </w:p>
    <w:p w14:paraId="5E082C87" w14:textId="77777777" w:rsidR="00566076" w:rsidRDefault="00566076">
      <w:pPr>
        <w:pStyle w:val="BodyText"/>
        <w:rPr>
          <w:rFonts w:ascii="Times New Roman"/>
          <w:sz w:val="28"/>
        </w:rPr>
      </w:pPr>
    </w:p>
    <w:p w14:paraId="1273F75F" w14:textId="77777777" w:rsidR="00BA1397" w:rsidRDefault="00BA1397">
      <w:pPr>
        <w:ind w:left="480"/>
        <w:rPr>
          <w:color w:val="FF0000"/>
          <w:sz w:val="28"/>
        </w:rPr>
      </w:pPr>
    </w:p>
    <w:p w14:paraId="5B06AF4A" w14:textId="3C39DA2E" w:rsidR="00566076" w:rsidRPr="002464BA" w:rsidRDefault="00C21BE2">
      <w:pPr>
        <w:ind w:left="480"/>
        <w:rPr>
          <w:sz w:val="28"/>
          <w:lang w:val="es-ES"/>
        </w:rPr>
      </w:pPr>
      <w:r>
        <w:rPr>
          <w:color w:val="FF0000"/>
          <w:sz w:val="28"/>
          <w:lang w:val="es"/>
        </w:rPr>
        <w:t>Folleto informativo</w:t>
      </w:r>
    </w:p>
    <w:p w14:paraId="2A7F8958" w14:textId="77777777" w:rsidR="00566076" w:rsidRPr="002464BA" w:rsidRDefault="00C21BE2">
      <w:pPr>
        <w:pStyle w:val="Title"/>
        <w:rPr>
          <w:u w:val="none"/>
          <w:lang w:val="es-ES"/>
        </w:rPr>
      </w:pPr>
      <w:r>
        <w:rPr>
          <w:color w:val="B4C5E7"/>
          <w:u w:color="B4C5E7"/>
          <w:lang w:val="es"/>
        </w:rPr>
        <w:t>AUDIENCIA DE PARTICIPACIÓN PÚBLICA</w:t>
      </w:r>
    </w:p>
    <w:p w14:paraId="79C4B82D" w14:textId="77777777" w:rsidR="00566076" w:rsidRPr="002464BA" w:rsidRDefault="00566076">
      <w:pPr>
        <w:pStyle w:val="BodyText"/>
        <w:spacing w:before="168"/>
        <w:rPr>
          <w:b/>
          <w:sz w:val="28"/>
          <w:lang w:val="es-ES"/>
        </w:rPr>
      </w:pPr>
    </w:p>
    <w:p w14:paraId="5D927E80" w14:textId="77777777" w:rsidR="00A329DF" w:rsidRDefault="00C21BE2">
      <w:pPr>
        <w:ind w:right="142"/>
        <w:jc w:val="right"/>
        <w:rPr>
          <w:b/>
          <w:color w:val="1F3863"/>
          <w:sz w:val="28"/>
        </w:rPr>
      </w:pPr>
      <w:r w:rsidRPr="002464BA">
        <w:rPr>
          <w:b/>
          <w:color w:val="1F3863"/>
          <w:sz w:val="28"/>
        </w:rPr>
        <w:t>Liberty Utilities (CalPeco Electric) LLC (Liberty)</w:t>
      </w:r>
    </w:p>
    <w:p w14:paraId="0ADA93EE" w14:textId="1FD5866B" w:rsidR="00566076" w:rsidRPr="002464BA" w:rsidRDefault="00C21BE2">
      <w:pPr>
        <w:ind w:right="142"/>
        <w:jc w:val="right"/>
        <w:rPr>
          <w:b/>
          <w:sz w:val="28"/>
          <w:lang w:val="es-ES"/>
        </w:rPr>
      </w:pPr>
      <w:r>
        <w:rPr>
          <w:b/>
          <w:color w:val="1F3863"/>
          <w:sz w:val="28"/>
          <w:lang w:val="es"/>
        </w:rPr>
        <w:t>Caso de Tarifa General del Año de Prueba 2025</w:t>
      </w:r>
    </w:p>
    <w:p w14:paraId="7E69D56B" w14:textId="3C5EA7EA" w:rsidR="00566076" w:rsidRPr="002464BA" w:rsidRDefault="00C21BE2">
      <w:pPr>
        <w:spacing w:before="34"/>
        <w:ind w:right="141"/>
        <w:jc w:val="right"/>
        <w:rPr>
          <w:sz w:val="24"/>
          <w:lang w:val="es-ES"/>
        </w:rPr>
      </w:pPr>
      <w:r>
        <w:rPr>
          <w:color w:val="1F3863"/>
          <w:sz w:val="24"/>
          <w:lang w:val="es"/>
        </w:rPr>
        <w:t>Solicitud (A.)24-09-010</w:t>
      </w:r>
    </w:p>
    <w:p w14:paraId="3D2D6068" w14:textId="1B0642E1" w:rsidR="00566076" w:rsidRPr="002464BA" w:rsidRDefault="00C21BE2">
      <w:pPr>
        <w:spacing w:before="29"/>
        <w:ind w:right="139"/>
        <w:jc w:val="right"/>
        <w:rPr>
          <w:sz w:val="24"/>
          <w:lang w:val="es-ES"/>
        </w:rPr>
      </w:pPr>
      <w:r w:rsidRPr="00031A45">
        <w:rPr>
          <w:color w:val="1F3863"/>
          <w:sz w:val="24"/>
          <w:lang w:val="es"/>
        </w:rPr>
        <w:t>Agosto de 2025</w:t>
      </w:r>
    </w:p>
    <w:p w14:paraId="10D85D69" w14:textId="77777777" w:rsidR="00566076" w:rsidRPr="002464BA" w:rsidRDefault="00566076">
      <w:pPr>
        <w:pStyle w:val="BodyText"/>
        <w:spacing w:before="56"/>
        <w:rPr>
          <w:sz w:val="24"/>
          <w:lang w:val="es-ES"/>
        </w:rPr>
      </w:pPr>
    </w:p>
    <w:p w14:paraId="578440A3" w14:textId="7716DF5E" w:rsidR="00566076" w:rsidRPr="002464BA" w:rsidRDefault="00C21BE2">
      <w:pPr>
        <w:pStyle w:val="Heading1"/>
        <w:rPr>
          <w:lang w:val="es-ES"/>
        </w:rPr>
      </w:pPr>
      <w:r>
        <w:rPr>
          <w:noProof/>
        </w:rPr>
        <mc:AlternateContent>
          <mc:Choice Requires="wps">
            <w:drawing>
              <wp:anchor distT="0" distB="0" distL="0" distR="0" simplePos="0" relativeHeight="251660288" behindDoc="1" locked="0" layoutInCell="1" allowOverlap="1" wp14:anchorId="25B89320" wp14:editId="34F0FB62">
                <wp:simplePos x="0" y="0"/>
                <wp:positionH relativeFrom="page">
                  <wp:posOffset>438150</wp:posOffset>
                </wp:positionH>
                <wp:positionV relativeFrom="paragraph">
                  <wp:posOffset>218101</wp:posOffset>
                </wp:positionV>
                <wp:extent cx="6896734" cy="6350"/>
                <wp:effectExtent l="0" t="0" r="0" b="0"/>
                <wp:wrapTopAndBottom/>
                <wp:docPr id="2" name="Graphic 2"/>
                <wp:cNvGraphicFramePr/>
                <a:graphic xmlns:a="http://schemas.openxmlformats.org/drawingml/2006/main">
                  <a:graphicData uri="http://schemas.microsoft.com/office/word/2010/wordprocessingShape">
                    <wps:wsp>
                      <wps:cNvSpPr/>
                      <wps:spPr>
                        <a:xfrm>
                          <a:off x="0" y="0"/>
                          <a:ext cx="6896734" cy="6350"/>
                        </a:xfrm>
                        <a:custGeom>
                          <a:avLst/>
                          <a:gdLst/>
                          <a:ahLst/>
                          <a:cxnLst/>
                          <a:rect l="l" t="t" r="r" b="b"/>
                          <a:pathLst>
                            <a:path w="6896734" h="6350">
                              <a:moveTo>
                                <a:pt x="6896112" y="0"/>
                              </a:moveTo>
                              <a:lnTo>
                                <a:pt x="0" y="0"/>
                              </a:lnTo>
                              <a:lnTo>
                                <a:pt x="0" y="6108"/>
                              </a:lnTo>
                              <a:lnTo>
                                <a:pt x="6896112" y="6108"/>
                              </a:lnTo>
                              <a:lnTo>
                                <a:pt x="6896112" y="0"/>
                              </a:lnTo>
                              <a:close/>
                            </a:path>
                          </a:pathLst>
                        </a:custGeom>
                        <a:solidFill>
                          <a:srgbClr val="805F00"/>
                        </a:solidFill>
                      </wps:spPr>
                      <wps:bodyPr wrap="square" lIns="0" tIns="0" rIns="0" bIns="0" rtlCol="0">
                        <a:prstTxWarp prst="textNoShape">
                          <a:avLst/>
                        </a:prstTxWarp>
                      </wps:bodyPr>
                    </wps:wsp>
                  </a:graphicData>
                </a:graphic>
              </wp:anchor>
            </w:drawing>
          </mc:Choice>
          <mc:Fallback>
            <w:pict>
              <v:shape id="Graphic 2" o:spid="_x0000_s1025" style="width:543.05pt;height:0.5pt;margin-top:17.15pt;margin-left:34.5pt;mso-position-horizontal-relative:page;mso-wrap-distance-bottom:0;mso-wrap-distance-left:0;mso-wrap-distance-right:0;mso-wrap-distance-top:0;mso-wrap-style:square;position:absolute;v-text-anchor:top;visibility:visible;z-index:-251651072" coordsize="6896734,6350" path="m6896112,l,,,6108l6896112,6108l6896112,xe" fillcolor="#805f00" stroked="f">
                <v:path arrowok="t"/>
                <w10:wrap type="topAndBottom"/>
              </v:shape>
            </w:pict>
          </mc:Fallback>
        </mc:AlternateContent>
      </w:r>
      <w:bookmarkStart w:id="0" w:name="What_Is_a_General_rate_Case_(GRC)_Phase_"/>
      <w:bookmarkEnd w:id="0"/>
      <w:r w:rsidR="7C83C81D">
        <w:rPr>
          <w:color w:val="805F00"/>
          <w:lang w:val="es"/>
        </w:rPr>
        <w:t>¿De qué trata la Solicitud del Caso de Tarifa General de Liberty?</w:t>
      </w:r>
    </w:p>
    <w:p w14:paraId="07B08F99" w14:textId="77777777" w:rsidR="00566076" w:rsidRPr="002464BA" w:rsidRDefault="00566076">
      <w:pPr>
        <w:pStyle w:val="BodyText"/>
        <w:spacing w:before="34"/>
        <w:rPr>
          <w:b/>
          <w:lang w:val="es-ES"/>
        </w:rPr>
      </w:pPr>
    </w:p>
    <w:p w14:paraId="1A62584F" w14:textId="51A8704B" w:rsidR="006E7DD5" w:rsidRPr="002464BA" w:rsidRDefault="00C21BE2" w:rsidP="004A1A59">
      <w:pPr>
        <w:pStyle w:val="BodyText"/>
        <w:spacing w:before="1"/>
        <w:ind w:left="479"/>
        <w:rPr>
          <w:color w:val="1F3863"/>
          <w:lang w:val="es-ES"/>
        </w:rPr>
      </w:pPr>
      <w:bookmarkStart w:id="1" w:name="As_directed_by_the_California_Public_Uti"/>
      <w:bookmarkEnd w:id="1"/>
      <w:r w:rsidRPr="2E75D0A1">
        <w:rPr>
          <w:color w:val="1F3863"/>
          <w:lang w:val="es"/>
        </w:rPr>
        <w:t>La Comisión de Servicios Públicos de California (CPUC, por sus siglas en inglés) requiere que cada tres años Liberty presente una solicitud de Caso de Tarifa General (GRC, por sus siglas en inglés). En su solicitud actual, A.24-09-010, que se presentó el 20 de septiembre de 2024, Liberty solicita a la CPUC que autorice un incremento en sus tarifas eléctricas (con efecto a partir del 1 de enero de 2025), incluido un aumento en los requisitos de ingresos y cambios en el diseño de sus tarifas. Esta solicitud p</w:t>
      </w:r>
      <w:r w:rsidRPr="2E75D0A1">
        <w:rPr>
          <w:color w:val="1F3863"/>
          <w:lang w:val="es"/>
        </w:rPr>
        <w:t xml:space="preserve">resenta los costes estimados de Liberty para la prestación de servicios, la operación de su sistema eléctrico y los proyectos de capital para el año de prueba (AP) 2025, con ajustes después del año de prueba para las adiciones de capital en los años 2026 y 2027. Estos costes incluyen los de operación y mantenimiento (OyM), los administrativos y generales (AyG), la depreciación y el capital.  La CPUC examinará minuciosamente la solicitud de Liberty para decidir las tarifas que está autorizada a cobrar a sus </w:t>
      </w:r>
      <w:r w:rsidRPr="2E75D0A1">
        <w:rPr>
          <w:color w:val="1F3863"/>
          <w:lang w:val="es"/>
        </w:rPr>
        <w:t xml:space="preserve">clientes y la cantidad de ingresos que puede obtener anualmente (requisito de ingresos).  </w:t>
      </w:r>
    </w:p>
    <w:p w14:paraId="1A291B32" w14:textId="77777777" w:rsidR="00566076" w:rsidRPr="002464BA" w:rsidRDefault="00566076">
      <w:pPr>
        <w:pStyle w:val="BodyText"/>
        <w:spacing w:before="76"/>
        <w:rPr>
          <w:lang w:val="es-ES"/>
        </w:rPr>
      </w:pPr>
    </w:p>
    <w:p w14:paraId="4A0DF6E2" w14:textId="139CE521" w:rsidR="00032743" w:rsidRPr="002464BA" w:rsidRDefault="00C21BE2" w:rsidP="00032743">
      <w:pPr>
        <w:pStyle w:val="Heading1"/>
        <w:rPr>
          <w:lang w:val="es-ES"/>
        </w:rPr>
      </w:pPr>
      <w:r w:rsidRPr="00E16F17">
        <w:rPr>
          <w:noProof/>
        </w:rPr>
        <mc:AlternateContent>
          <mc:Choice Requires="wps">
            <w:drawing>
              <wp:anchor distT="0" distB="0" distL="0" distR="0" simplePos="0" relativeHeight="251659264" behindDoc="1" locked="0" layoutInCell="1" allowOverlap="1" wp14:anchorId="1BE8A064" wp14:editId="465DE23C">
                <wp:simplePos x="0" y="0"/>
                <wp:positionH relativeFrom="page">
                  <wp:posOffset>438150</wp:posOffset>
                </wp:positionH>
                <wp:positionV relativeFrom="paragraph">
                  <wp:posOffset>218101</wp:posOffset>
                </wp:positionV>
                <wp:extent cx="6896734" cy="6350"/>
                <wp:effectExtent l="0" t="0" r="0" b="0"/>
                <wp:wrapTopAndBottom/>
                <wp:docPr id="1645637045" name="Graphic 2"/>
                <wp:cNvGraphicFramePr/>
                <a:graphic xmlns:a="http://schemas.openxmlformats.org/drawingml/2006/main">
                  <a:graphicData uri="http://schemas.microsoft.com/office/word/2010/wordprocessingShape">
                    <wps:wsp>
                      <wps:cNvSpPr/>
                      <wps:spPr>
                        <a:xfrm>
                          <a:off x="0" y="0"/>
                          <a:ext cx="6896734" cy="6350"/>
                        </a:xfrm>
                        <a:custGeom>
                          <a:avLst/>
                          <a:gdLst/>
                          <a:ahLst/>
                          <a:cxnLst/>
                          <a:rect l="l" t="t" r="r" b="b"/>
                          <a:pathLst>
                            <a:path w="6896734" h="6350">
                              <a:moveTo>
                                <a:pt x="6896112" y="0"/>
                              </a:moveTo>
                              <a:lnTo>
                                <a:pt x="0" y="0"/>
                              </a:lnTo>
                              <a:lnTo>
                                <a:pt x="0" y="6108"/>
                              </a:lnTo>
                              <a:lnTo>
                                <a:pt x="6896112" y="6108"/>
                              </a:lnTo>
                              <a:lnTo>
                                <a:pt x="6896112" y="0"/>
                              </a:lnTo>
                              <a:close/>
                            </a:path>
                          </a:pathLst>
                        </a:custGeom>
                        <a:solidFill>
                          <a:srgbClr val="805F00"/>
                        </a:solidFill>
                      </wps:spPr>
                      <wps:bodyPr wrap="square" lIns="0" tIns="0" rIns="0" bIns="0" rtlCol="0">
                        <a:prstTxWarp prst="textNoShape">
                          <a:avLst/>
                        </a:prstTxWarp>
                      </wps:bodyPr>
                    </wps:wsp>
                  </a:graphicData>
                </a:graphic>
              </wp:anchor>
            </w:drawing>
          </mc:Choice>
          <mc:Fallback>
            <w:pict>
              <v:shape id="Graphic 2" o:spid="_x0000_s1026" style="width:543.05pt;height:0.5pt;margin-top:17.15pt;margin-left:34.5pt;mso-position-horizontal-relative:page;mso-wrap-distance-bottom:0;mso-wrap-distance-left:0;mso-wrap-distance-right:0;mso-wrap-distance-top:0;mso-wrap-style:square;position:absolute;v-text-anchor:top;visibility:visible;z-index:-251658240" coordsize="6896734,6350" path="m6896112,l,,,6108l6896112,6108l6896112,xe" fillcolor="#805f00" stroked="f">
                <v:path arrowok="t"/>
                <w10:wrap type="topAndBottom"/>
              </v:shape>
            </w:pict>
          </mc:Fallback>
        </mc:AlternateContent>
      </w:r>
      <w:r w:rsidRPr="00E16F17">
        <w:rPr>
          <w:color w:val="805F00"/>
          <w:lang w:val="es"/>
        </w:rPr>
        <w:t>¿Qué implicará para usted el incremento tarifario solicitado por Liberty?</w:t>
      </w:r>
    </w:p>
    <w:p w14:paraId="14C50EAD" w14:textId="77777777" w:rsidR="00032743" w:rsidRPr="002464BA" w:rsidRDefault="00032743" w:rsidP="00032743">
      <w:pPr>
        <w:pStyle w:val="BodyText"/>
        <w:spacing w:before="34"/>
        <w:rPr>
          <w:b/>
          <w:lang w:val="es-ES"/>
        </w:rPr>
      </w:pPr>
    </w:p>
    <w:p w14:paraId="6B30F3EE" w14:textId="712603A7" w:rsidR="00FA6FA6" w:rsidRPr="002464BA" w:rsidRDefault="00C21BE2" w:rsidP="00032743">
      <w:pPr>
        <w:pStyle w:val="BodyText"/>
        <w:spacing w:before="1"/>
        <w:ind w:left="479"/>
        <w:rPr>
          <w:color w:val="1F3863"/>
          <w:lang w:val="es-ES"/>
        </w:rPr>
      </w:pPr>
      <w:r w:rsidRPr="2E75D0A1">
        <w:rPr>
          <w:color w:val="1F3863"/>
          <w:lang w:val="es"/>
        </w:rPr>
        <w:t xml:space="preserve">Liberty solicita a la CPUC la aprobación de su propuesta de ingresos base necesarios para el AP 2025 de $247,920 millones, lo que refleja un aumento global de los ingresos del 19,1%, o $39,773 millones de su cantidad autorizada actualmente.  Tal como se muestra en la tabla siguiente, la factura de un cliente residencial promedio no inscrito a Tarifas Alternativas de Energía de California (California Alternate Rates for Energy, non-CARE) que consuma 548 kilovatios hora (kWh) al mes incrementaría en promedio </w:t>
      </w:r>
      <w:r w:rsidRPr="2E75D0A1">
        <w:rPr>
          <w:color w:val="1F3863"/>
          <w:lang w:val="es"/>
        </w:rPr>
        <w:t>a $37.51 al mes, es decir, un 20,6%, si se aprueba la solicitud de Liberty.</w:t>
      </w:r>
    </w:p>
    <w:p w14:paraId="00632E64" w14:textId="77777777" w:rsidR="00BC6740" w:rsidRPr="002464BA" w:rsidRDefault="00BC6740" w:rsidP="00032743">
      <w:pPr>
        <w:pStyle w:val="BodyText"/>
        <w:spacing w:before="1"/>
        <w:ind w:left="479"/>
        <w:rPr>
          <w:color w:val="1F3863"/>
          <w:lang w:val="es-ES"/>
        </w:rPr>
      </w:pPr>
    </w:p>
    <w:tbl>
      <w:tblPr>
        <w:tblStyle w:val="TableGrid"/>
        <w:tblW w:w="0" w:type="auto"/>
        <w:tblInd w:w="648" w:type="dxa"/>
        <w:tblLook w:val="04A0" w:firstRow="1" w:lastRow="0" w:firstColumn="1" w:lastColumn="0" w:noHBand="0" w:noVBand="1"/>
      </w:tblPr>
      <w:tblGrid>
        <w:gridCol w:w="2059"/>
        <w:gridCol w:w="2221"/>
        <w:gridCol w:w="2222"/>
        <w:gridCol w:w="2223"/>
        <w:gridCol w:w="2037"/>
      </w:tblGrid>
      <w:tr w:rsidR="003D1E80" w14:paraId="1576D914" w14:textId="77777777" w:rsidTr="2E75D0A1">
        <w:tc>
          <w:tcPr>
            <w:tcW w:w="2063" w:type="dxa"/>
            <w:vAlign w:val="center"/>
          </w:tcPr>
          <w:p w14:paraId="55F76202" w14:textId="478EF2C1" w:rsidR="00BC6740" w:rsidRPr="002464BA" w:rsidRDefault="00C21BE2" w:rsidP="00BC6740">
            <w:pPr>
              <w:pStyle w:val="BodyText"/>
              <w:spacing w:before="1"/>
              <w:jc w:val="center"/>
              <w:rPr>
                <w:b/>
                <w:bCs/>
                <w:color w:val="1F3863"/>
                <w:lang w:val="es-ES"/>
              </w:rPr>
            </w:pPr>
            <w:r>
              <w:rPr>
                <w:b/>
                <w:bCs/>
                <w:color w:val="1F3863"/>
                <w:lang w:val="es"/>
              </w:rPr>
              <w:t>Consumo Mensual de Clientes Residenciales</w:t>
            </w:r>
          </w:p>
        </w:tc>
        <w:tc>
          <w:tcPr>
            <w:tcW w:w="2231" w:type="dxa"/>
            <w:vAlign w:val="center"/>
          </w:tcPr>
          <w:p w14:paraId="0E77D4E0" w14:textId="2FCD048B" w:rsidR="00BC6740" w:rsidRPr="00BC6740" w:rsidRDefault="00C21BE2" w:rsidP="00BC6740">
            <w:pPr>
              <w:pStyle w:val="BodyText"/>
              <w:spacing w:before="1"/>
              <w:jc w:val="center"/>
              <w:rPr>
                <w:b/>
                <w:bCs/>
                <w:color w:val="1F3863"/>
              </w:rPr>
            </w:pPr>
            <w:r w:rsidRPr="2E75D0A1">
              <w:rPr>
                <w:b/>
                <w:bCs/>
                <w:color w:val="1F3863"/>
                <w:lang w:val="es"/>
              </w:rPr>
              <w:t>Factura Promedio Actual 2024</w:t>
            </w:r>
          </w:p>
        </w:tc>
        <w:tc>
          <w:tcPr>
            <w:tcW w:w="2231" w:type="dxa"/>
            <w:vAlign w:val="center"/>
          </w:tcPr>
          <w:p w14:paraId="262E494D" w14:textId="2314446F" w:rsidR="00BC6740" w:rsidRPr="00BC6740" w:rsidRDefault="00C21BE2" w:rsidP="00BC6740">
            <w:pPr>
              <w:pStyle w:val="BodyText"/>
              <w:spacing w:before="1"/>
              <w:jc w:val="center"/>
              <w:rPr>
                <w:b/>
                <w:bCs/>
                <w:color w:val="1F3863"/>
              </w:rPr>
            </w:pPr>
            <w:r w:rsidRPr="2E75D0A1">
              <w:rPr>
                <w:b/>
                <w:bCs/>
                <w:color w:val="1F3863"/>
                <w:lang w:val="es"/>
              </w:rPr>
              <w:t>Factura Promedio Propuesta para 2025</w:t>
            </w:r>
          </w:p>
        </w:tc>
        <w:tc>
          <w:tcPr>
            <w:tcW w:w="2231" w:type="dxa"/>
            <w:vAlign w:val="center"/>
          </w:tcPr>
          <w:p w14:paraId="58BEE417" w14:textId="4F1C5221" w:rsidR="00BC6740" w:rsidRPr="00BC6740" w:rsidRDefault="00C21BE2" w:rsidP="00BC6740">
            <w:pPr>
              <w:pStyle w:val="BodyText"/>
              <w:spacing w:before="1"/>
              <w:jc w:val="center"/>
              <w:rPr>
                <w:b/>
                <w:bCs/>
                <w:color w:val="1F3863"/>
              </w:rPr>
            </w:pPr>
            <w:r w:rsidRPr="00BC6740">
              <w:rPr>
                <w:b/>
                <w:bCs/>
                <w:color w:val="1F3863"/>
                <w:lang w:val="es"/>
              </w:rPr>
              <w:t>Incremento ($)</w:t>
            </w:r>
          </w:p>
        </w:tc>
        <w:tc>
          <w:tcPr>
            <w:tcW w:w="2044" w:type="dxa"/>
            <w:vAlign w:val="center"/>
          </w:tcPr>
          <w:p w14:paraId="2E412D62" w14:textId="7280C1F7" w:rsidR="00BC6740" w:rsidRPr="00BC6740" w:rsidRDefault="00C21BE2" w:rsidP="00BC6740">
            <w:pPr>
              <w:pStyle w:val="BodyText"/>
              <w:spacing w:before="1"/>
              <w:jc w:val="center"/>
              <w:rPr>
                <w:b/>
                <w:bCs/>
                <w:color w:val="1F3863"/>
              </w:rPr>
            </w:pPr>
            <w:r w:rsidRPr="00BC6740">
              <w:rPr>
                <w:b/>
                <w:bCs/>
                <w:color w:val="1F3863"/>
                <w:lang w:val="es"/>
              </w:rPr>
              <w:t>Aumento porcentual de 2024 a 2025</w:t>
            </w:r>
          </w:p>
        </w:tc>
      </w:tr>
      <w:tr w:rsidR="003D1E80" w14:paraId="7403E1B6" w14:textId="77777777" w:rsidTr="2E75D0A1">
        <w:tc>
          <w:tcPr>
            <w:tcW w:w="2063" w:type="dxa"/>
            <w:vAlign w:val="center"/>
          </w:tcPr>
          <w:p w14:paraId="0B728AE4" w14:textId="522D427E" w:rsidR="00BC6740" w:rsidRPr="007D753D" w:rsidRDefault="00C21BE2" w:rsidP="00BC6740">
            <w:pPr>
              <w:pStyle w:val="BodyText"/>
              <w:spacing w:before="1"/>
              <w:jc w:val="center"/>
              <w:rPr>
                <w:color w:val="1F3863"/>
              </w:rPr>
            </w:pPr>
            <w:r>
              <w:rPr>
                <w:color w:val="1F3863"/>
                <w:lang w:val="es"/>
              </w:rPr>
              <w:t>548 kWh</w:t>
            </w:r>
          </w:p>
        </w:tc>
        <w:tc>
          <w:tcPr>
            <w:tcW w:w="2231" w:type="dxa"/>
            <w:vAlign w:val="center"/>
          </w:tcPr>
          <w:p w14:paraId="44471043" w14:textId="321FD1E5" w:rsidR="00BC6740" w:rsidRPr="007D753D" w:rsidRDefault="00C21BE2" w:rsidP="00BC6740">
            <w:pPr>
              <w:pStyle w:val="BodyText"/>
              <w:spacing w:before="1"/>
              <w:jc w:val="center"/>
              <w:rPr>
                <w:color w:val="1F3863"/>
              </w:rPr>
            </w:pPr>
            <w:r w:rsidRPr="007D753D">
              <w:rPr>
                <w:color w:val="1F3863"/>
                <w:lang w:val="es"/>
              </w:rPr>
              <w:t>$182.10</w:t>
            </w:r>
          </w:p>
        </w:tc>
        <w:tc>
          <w:tcPr>
            <w:tcW w:w="2231" w:type="dxa"/>
            <w:vAlign w:val="center"/>
          </w:tcPr>
          <w:p w14:paraId="7547C675" w14:textId="2D4529E3" w:rsidR="00BC6740" w:rsidRPr="007D753D" w:rsidRDefault="00C21BE2" w:rsidP="00BC6740">
            <w:pPr>
              <w:pStyle w:val="BodyText"/>
              <w:spacing w:before="1"/>
              <w:jc w:val="center"/>
              <w:rPr>
                <w:color w:val="1F3863"/>
              </w:rPr>
            </w:pPr>
            <w:r w:rsidRPr="007D753D">
              <w:rPr>
                <w:color w:val="1F3863"/>
                <w:lang w:val="es"/>
              </w:rPr>
              <w:t>$219.61</w:t>
            </w:r>
          </w:p>
        </w:tc>
        <w:tc>
          <w:tcPr>
            <w:tcW w:w="2231" w:type="dxa"/>
            <w:vAlign w:val="center"/>
          </w:tcPr>
          <w:p w14:paraId="5D957AD3" w14:textId="45252A03" w:rsidR="00BC6740" w:rsidRPr="007D753D" w:rsidRDefault="00C21BE2" w:rsidP="00BC6740">
            <w:pPr>
              <w:pStyle w:val="BodyText"/>
              <w:spacing w:before="1"/>
              <w:jc w:val="center"/>
              <w:rPr>
                <w:color w:val="1F3863"/>
              </w:rPr>
            </w:pPr>
            <w:r w:rsidRPr="007D753D">
              <w:rPr>
                <w:color w:val="1F3863"/>
                <w:lang w:val="es"/>
              </w:rPr>
              <w:t>$37.51</w:t>
            </w:r>
          </w:p>
        </w:tc>
        <w:tc>
          <w:tcPr>
            <w:tcW w:w="2044" w:type="dxa"/>
            <w:vAlign w:val="center"/>
          </w:tcPr>
          <w:p w14:paraId="4A95E876" w14:textId="10650726" w:rsidR="00BC6740" w:rsidRDefault="00C21BE2" w:rsidP="00BC6740">
            <w:pPr>
              <w:pStyle w:val="BodyText"/>
              <w:spacing w:before="1"/>
              <w:jc w:val="center"/>
              <w:rPr>
                <w:color w:val="1F3863"/>
              </w:rPr>
            </w:pPr>
            <w:r w:rsidRPr="007D753D">
              <w:rPr>
                <w:color w:val="1F3863"/>
                <w:lang w:val="es"/>
              </w:rPr>
              <w:t>20.6%</w:t>
            </w:r>
          </w:p>
        </w:tc>
      </w:tr>
    </w:tbl>
    <w:p w14:paraId="688AE733" w14:textId="77777777" w:rsidR="00BC6740" w:rsidRDefault="00BC6740" w:rsidP="00032743">
      <w:pPr>
        <w:pStyle w:val="BodyText"/>
        <w:spacing w:before="1"/>
        <w:ind w:left="479"/>
        <w:rPr>
          <w:color w:val="1F3863"/>
        </w:rPr>
      </w:pPr>
    </w:p>
    <w:p w14:paraId="39E469EE" w14:textId="121E8756" w:rsidR="1ADD8002" w:rsidRPr="002464BA" w:rsidRDefault="00C21BE2" w:rsidP="2E75D0A1">
      <w:pPr>
        <w:pStyle w:val="BodyText"/>
        <w:spacing w:before="1"/>
        <w:ind w:left="479"/>
        <w:rPr>
          <w:color w:val="1F3863"/>
          <w:lang w:val="es-ES"/>
        </w:rPr>
      </w:pPr>
      <w:r w:rsidRPr="2E75D0A1">
        <w:rPr>
          <w:color w:val="1F3863"/>
          <w:lang w:val="es"/>
        </w:rPr>
        <w:t>Para el período 2026-2027, Liberty solicita aumentos de ingresos adicionales en función de sus adiciones de capital propuestas de $91,3 millones en 2026 y $80,4 millones en 2027. Suponiendo que sus proyectos de capital se completen según lo previsto, la factura mensual de un cliente residencial estándar también se incrementaría en esos años.</w:t>
      </w:r>
    </w:p>
    <w:p w14:paraId="1BFAD772" w14:textId="00D3E013" w:rsidR="25A24128" w:rsidRPr="002464BA" w:rsidRDefault="00C21BE2" w:rsidP="4DDCB804">
      <w:pPr>
        <w:pStyle w:val="BodyText"/>
        <w:spacing w:before="76"/>
        <w:ind w:left="479"/>
        <w:rPr>
          <w:lang w:val="es-ES"/>
        </w:rPr>
      </w:pPr>
      <w:r>
        <w:rPr>
          <w:lang w:val="es"/>
        </w:rPr>
        <w:t xml:space="preserve">Los incrementos tarifarios demandados por Liberty para 2025 en esta solicitud figuran en la notificación a los clientes enviada el año pasado. Puede consultarse en </w:t>
      </w:r>
      <w:hyperlink r:id="rId12" w:history="1">
        <w:r w:rsidR="00E2357B" w:rsidRPr="00E2357B">
          <w:rPr>
            <w:rStyle w:val="Hyperlink"/>
            <w:lang w:val="es"/>
          </w:rPr>
          <w:t>rebrand.ly/libertygrcnotice</w:t>
        </w:r>
      </w:hyperlink>
      <w:r>
        <w:rPr>
          <w:lang w:val="es"/>
        </w:rPr>
        <w:t xml:space="preserve">.  </w:t>
      </w:r>
    </w:p>
    <w:p w14:paraId="3ED60135" w14:textId="27078FE4" w:rsidR="1DDD8583" w:rsidRPr="002464BA" w:rsidRDefault="00C21BE2">
      <w:pPr>
        <w:rPr>
          <w:sz w:val="20"/>
          <w:szCs w:val="20"/>
          <w:lang w:val="es-ES"/>
        </w:rPr>
      </w:pPr>
      <w:r w:rsidRPr="002464BA">
        <w:rPr>
          <w:lang w:val="es-ES"/>
        </w:rPr>
        <w:br w:type="page"/>
      </w:r>
    </w:p>
    <w:p w14:paraId="6827DBF1" w14:textId="77777777" w:rsidR="1DDD8583" w:rsidRPr="002464BA" w:rsidRDefault="1DDD8583" w:rsidP="1DDD8583">
      <w:pPr>
        <w:pStyle w:val="BodyText"/>
        <w:spacing w:before="76"/>
        <w:ind w:left="479"/>
        <w:rPr>
          <w:lang w:val="es-ES"/>
        </w:rPr>
      </w:pPr>
    </w:p>
    <w:p w14:paraId="3613AC6F" w14:textId="69C567DB" w:rsidR="00736CE6" w:rsidRPr="002464BA" w:rsidRDefault="00C21BE2" w:rsidP="00736CE6">
      <w:pPr>
        <w:pStyle w:val="Heading1"/>
        <w:rPr>
          <w:lang w:val="es-ES"/>
        </w:rPr>
      </w:pPr>
      <w:r w:rsidRPr="002A40DC">
        <w:rPr>
          <w:noProof/>
        </w:rPr>
        <mc:AlternateContent>
          <mc:Choice Requires="wps">
            <w:drawing>
              <wp:anchor distT="0" distB="0" distL="0" distR="0" simplePos="0" relativeHeight="251663360" behindDoc="1" locked="0" layoutInCell="1" allowOverlap="1" wp14:anchorId="1ABD03B2" wp14:editId="60438CB8">
                <wp:simplePos x="0" y="0"/>
                <wp:positionH relativeFrom="page">
                  <wp:posOffset>438150</wp:posOffset>
                </wp:positionH>
                <wp:positionV relativeFrom="paragraph">
                  <wp:posOffset>217569</wp:posOffset>
                </wp:positionV>
                <wp:extent cx="6896734" cy="6350"/>
                <wp:effectExtent l="0" t="0" r="0" b="0"/>
                <wp:wrapTopAndBottom/>
                <wp:docPr id="243171700" name="Graphic 3"/>
                <wp:cNvGraphicFramePr/>
                <a:graphic xmlns:a="http://schemas.openxmlformats.org/drawingml/2006/main">
                  <a:graphicData uri="http://schemas.microsoft.com/office/word/2010/wordprocessingShape">
                    <wps:wsp>
                      <wps:cNvSpPr/>
                      <wps:spPr>
                        <a:xfrm>
                          <a:off x="0" y="0"/>
                          <a:ext cx="6896734" cy="6350"/>
                        </a:xfrm>
                        <a:custGeom>
                          <a:avLst/>
                          <a:gdLst/>
                          <a:ahLst/>
                          <a:cxnLst/>
                          <a:rect l="l" t="t" r="r" b="b"/>
                          <a:pathLst>
                            <a:path w="6896734" h="6350">
                              <a:moveTo>
                                <a:pt x="6896112" y="0"/>
                              </a:moveTo>
                              <a:lnTo>
                                <a:pt x="0" y="0"/>
                              </a:lnTo>
                              <a:lnTo>
                                <a:pt x="0" y="6096"/>
                              </a:lnTo>
                              <a:lnTo>
                                <a:pt x="6896112" y="6096"/>
                              </a:lnTo>
                              <a:lnTo>
                                <a:pt x="6896112" y="0"/>
                              </a:lnTo>
                              <a:close/>
                            </a:path>
                          </a:pathLst>
                        </a:custGeom>
                        <a:solidFill>
                          <a:srgbClr val="805F00"/>
                        </a:solidFill>
                      </wps:spPr>
                      <wps:bodyPr wrap="square" lIns="0" tIns="0" rIns="0" bIns="0" rtlCol="0">
                        <a:prstTxWarp prst="textNoShape">
                          <a:avLst/>
                        </a:prstTxWarp>
                      </wps:bodyPr>
                    </wps:wsp>
                  </a:graphicData>
                </a:graphic>
              </wp:anchor>
            </w:drawing>
          </mc:Choice>
          <mc:Fallback>
            <w:pict>
              <v:shape id="Graphic 3" o:spid="_x0000_s1027" style="width:543.05pt;height:0.5pt;margin-top:17.15pt;margin-left:34.5pt;mso-position-horizontal-relative:page;mso-wrap-distance-bottom:0;mso-wrap-distance-left:0;mso-wrap-distance-right:0;mso-wrap-distance-top:0;mso-wrap-style:square;position:absolute;v-text-anchor:top;visibility:visible;z-index:-251648000" coordsize="6896734,6350" path="m6896112,l,,,6096l6896112,6096l6896112,xe" fillcolor="#805f00" stroked="f">
                <v:path arrowok="t"/>
                <w10:wrap type="topAndBottom"/>
              </v:shape>
            </w:pict>
          </mc:Fallback>
        </mc:AlternateContent>
      </w:r>
      <w:r w:rsidRPr="002A40DC">
        <w:rPr>
          <w:color w:val="805F00"/>
          <w:lang w:val="es"/>
        </w:rPr>
        <w:t>¿Cuáles son los principales factores de coste de la solicitud de Liberty?</w:t>
      </w:r>
    </w:p>
    <w:p w14:paraId="72A6A415" w14:textId="77777777" w:rsidR="003C7BF5" w:rsidRDefault="00C21BE2" w:rsidP="00492D8F">
      <w:pPr>
        <w:pStyle w:val="BodyText"/>
        <w:spacing w:before="81" w:line="264" w:lineRule="auto"/>
        <w:ind w:left="480" w:hanging="1"/>
        <w:rPr>
          <w:color w:val="002060"/>
        </w:rPr>
      </w:pPr>
      <w:r w:rsidRPr="00372D74">
        <w:rPr>
          <w:color w:val="002060"/>
          <w:lang w:val="es"/>
        </w:rPr>
        <w:t xml:space="preserve">● Seguro contra incendios forestales: </w:t>
      </w:r>
    </w:p>
    <w:p w14:paraId="499F745E" w14:textId="436256D0" w:rsidR="003C7BF5" w:rsidRPr="002464BA" w:rsidRDefault="00C21BE2" w:rsidP="003C7BF5">
      <w:pPr>
        <w:pStyle w:val="BodyText"/>
        <w:numPr>
          <w:ilvl w:val="0"/>
          <w:numId w:val="6"/>
        </w:numPr>
        <w:spacing w:before="81" w:line="264" w:lineRule="auto"/>
        <w:rPr>
          <w:color w:val="002060"/>
          <w:lang w:val="es-ES"/>
        </w:rPr>
      </w:pPr>
      <w:r>
        <w:rPr>
          <w:color w:val="002060"/>
          <w:lang w:val="es"/>
        </w:rPr>
        <w:t xml:space="preserve">Prevé $31,706 millones en primas de seguros contra incendios forestales para 2025; en función de la prima real de 2024 de $30,989 millones. </w:t>
      </w:r>
    </w:p>
    <w:p w14:paraId="166CF175" w14:textId="55135A8D" w:rsidR="00492D8F" w:rsidRPr="002464BA" w:rsidRDefault="00C21BE2" w:rsidP="003C7BF5">
      <w:pPr>
        <w:pStyle w:val="BodyText"/>
        <w:numPr>
          <w:ilvl w:val="0"/>
          <w:numId w:val="6"/>
        </w:numPr>
        <w:spacing w:before="81" w:line="264" w:lineRule="auto"/>
        <w:rPr>
          <w:color w:val="002060"/>
          <w:lang w:val="es-ES"/>
        </w:rPr>
      </w:pPr>
      <w:r w:rsidRPr="0B0FB71A">
        <w:rPr>
          <w:color w:val="002060"/>
          <w:lang w:val="es"/>
        </w:rPr>
        <w:t>La previsión supone un incremento de $23,76 millones con respecto al gasto autorizado para 2024, lo que representa el 60% del aumento de los requisitos de ingresos solicitados por Liberty, o el 70% del incremento de los gastos de OyM y AyG solicitados.</w:t>
      </w:r>
    </w:p>
    <w:p w14:paraId="2AF6B65E" w14:textId="4276F61C" w:rsidR="007630BF" w:rsidRDefault="00C21BE2" w:rsidP="00492D8F">
      <w:pPr>
        <w:pStyle w:val="BodyText"/>
        <w:spacing w:before="81" w:line="264" w:lineRule="auto"/>
        <w:ind w:left="480" w:hanging="1"/>
        <w:rPr>
          <w:color w:val="1F3863"/>
        </w:rPr>
      </w:pPr>
      <w:r w:rsidRPr="11A34694">
        <w:rPr>
          <w:color w:val="1F3863"/>
          <w:lang w:val="es"/>
        </w:rPr>
        <w:t xml:space="preserve">● Mitigación de incendios forestales: </w:t>
      </w:r>
    </w:p>
    <w:p w14:paraId="2C707319" w14:textId="381A9D66" w:rsidR="007630BF" w:rsidRPr="002464BA" w:rsidRDefault="00C21BE2" w:rsidP="007630BF">
      <w:pPr>
        <w:pStyle w:val="BodyText"/>
        <w:numPr>
          <w:ilvl w:val="0"/>
          <w:numId w:val="4"/>
        </w:numPr>
        <w:spacing w:before="81" w:line="264" w:lineRule="auto"/>
        <w:rPr>
          <w:color w:val="1F3863"/>
          <w:lang w:val="es-ES"/>
        </w:rPr>
      </w:pPr>
      <w:r>
        <w:rPr>
          <w:color w:val="1F3863"/>
          <w:lang w:val="es"/>
        </w:rPr>
        <w:t>Prevé unos gastos de capital por importe de $45,098 millones en 2025, lo que supone un incremento de $20,526 millones con respecto a 2024.</w:t>
      </w:r>
    </w:p>
    <w:p w14:paraId="75749CD7" w14:textId="07B9BB2D" w:rsidR="00372D74" w:rsidRPr="002464BA" w:rsidRDefault="00C21BE2" w:rsidP="1DDD8583">
      <w:pPr>
        <w:pStyle w:val="BodyText"/>
        <w:spacing w:before="81" w:line="264" w:lineRule="auto"/>
        <w:ind w:left="450"/>
        <w:rPr>
          <w:color w:val="1F3863"/>
          <w:lang w:val="es-ES"/>
        </w:rPr>
      </w:pPr>
      <w:r w:rsidRPr="1DDD8583">
        <w:rPr>
          <w:color w:val="1F3863"/>
          <w:lang w:val="es"/>
        </w:rPr>
        <w:t xml:space="preserve">● </w:t>
      </w:r>
      <w:r w:rsidR="004E38CC" w:rsidRPr="1DDD8583">
        <w:rPr>
          <w:color w:val="002060"/>
          <w:lang w:val="es"/>
        </w:rPr>
        <w:t xml:space="preserve">Seguridad y confiabilidad de distribución y de subestaciones: </w:t>
      </w:r>
    </w:p>
    <w:p w14:paraId="070C378D" w14:textId="6D9E8483" w:rsidR="004E38CC" w:rsidRPr="002464BA" w:rsidRDefault="00C21BE2" w:rsidP="0075657B">
      <w:pPr>
        <w:pStyle w:val="BodyText"/>
        <w:numPr>
          <w:ilvl w:val="0"/>
          <w:numId w:val="5"/>
        </w:numPr>
        <w:spacing w:before="81" w:line="264" w:lineRule="auto"/>
        <w:rPr>
          <w:color w:val="1F3863"/>
          <w:lang w:val="es-ES"/>
        </w:rPr>
      </w:pPr>
      <w:r>
        <w:rPr>
          <w:color w:val="1F3863"/>
          <w:lang w:val="es"/>
        </w:rPr>
        <w:t>Inversión en proyectos de seguridad y fiabilidad, incluida la sustitución de infraestructuras obsoletas.</w:t>
      </w:r>
    </w:p>
    <w:p w14:paraId="432ADBF9" w14:textId="1B158B24" w:rsidR="0075657B" w:rsidRPr="002464BA" w:rsidRDefault="00C21BE2" w:rsidP="00682C72">
      <w:pPr>
        <w:pStyle w:val="BodyText"/>
        <w:numPr>
          <w:ilvl w:val="0"/>
          <w:numId w:val="5"/>
        </w:numPr>
        <w:spacing w:before="81" w:line="264" w:lineRule="auto"/>
        <w:rPr>
          <w:color w:val="1F3863"/>
          <w:lang w:val="es-ES"/>
        </w:rPr>
      </w:pPr>
      <w:r>
        <w:rPr>
          <w:color w:val="1F3863"/>
          <w:lang w:val="es"/>
        </w:rPr>
        <w:t>Prevé unos gastos de capital por importe de $19,658 millones en 2025, lo que supone un incremento de $8,902 millones con respecto a 2024.</w:t>
      </w:r>
    </w:p>
    <w:p w14:paraId="5F92D5DD" w14:textId="77777777" w:rsidR="000125CD" w:rsidRPr="002464BA" w:rsidRDefault="00C21BE2" w:rsidP="00C47C1D">
      <w:pPr>
        <w:pStyle w:val="BodyText"/>
        <w:spacing w:before="81" w:line="264" w:lineRule="auto"/>
        <w:ind w:left="630" w:hanging="180"/>
        <w:rPr>
          <w:color w:val="1F3863"/>
          <w:lang w:val="es-ES"/>
        </w:rPr>
      </w:pPr>
      <w:r w:rsidRPr="00372D74">
        <w:rPr>
          <w:color w:val="1F3863"/>
          <w:lang w:val="es"/>
        </w:rPr>
        <w:t xml:space="preserve">● Rentabilidad sobre el capital (ROE, por su siglas en inglés): </w:t>
      </w:r>
    </w:p>
    <w:p w14:paraId="45E2DBF9" w14:textId="7F19ACCD" w:rsidR="00A114AC" w:rsidRPr="002464BA" w:rsidRDefault="00C21BE2" w:rsidP="00E62778">
      <w:pPr>
        <w:pStyle w:val="BodyText"/>
        <w:numPr>
          <w:ilvl w:val="0"/>
          <w:numId w:val="10"/>
        </w:numPr>
        <w:spacing w:before="81" w:line="264" w:lineRule="auto"/>
        <w:rPr>
          <w:color w:val="1F3863"/>
          <w:lang w:val="es-ES"/>
        </w:rPr>
      </w:pPr>
      <w:r>
        <w:rPr>
          <w:color w:val="1F3863"/>
          <w:lang w:val="es"/>
        </w:rPr>
        <w:t>Aumento de la ROE del 10% al 11% en 2025 debido a los mayores riesgos a los que se enfrentan los inversionistas.  La Tasa de Rentabilidad (RoR, por sus siglas en inglés) resultante para 2025 es del 8,568%.</w:t>
      </w:r>
    </w:p>
    <w:p w14:paraId="0D402FBF" w14:textId="77777777" w:rsidR="00A114AC" w:rsidRPr="002464BA" w:rsidRDefault="00A114AC" w:rsidP="1DDD8583">
      <w:pPr>
        <w:pStyle w:val="BodyText"/>
        <w:spacing w:before="81" w:line="264" w:lineRule="auto"/>
        <w:ind w:left="450"/>
        <w:rPr>
          <w:color w:val="1F3863"/>
          <w:lang w:val="es-ES"/>
        </w:rPr>
      </w:pPr>
    </w:p>
    <w:p w14:paraId="7B67CA85" w14:textId="77777777" w:rsidR="00112D76" w:rsidRPr="002464BA" w:rsidRDefault="00112D76" w:rsidP="002157A6">
      <w:pPr>
        <w:pStyle w:val="BodyText"/>
        <w:spacing w:before="81" w:line="264" w:lineRule="auto"/>
        <w:ind w:left="480" w:hanging="1"/>
        <w:rPr>
          <w:color w:val="1F3863"/>
          <w:lang w:val="es-ES"/>
        </w:rPr>
      </w:pPr>
    </w:p>
    <w:p w14:paraId="3E9C9266" w14:textId="0106FE6A" w:rsidR="00566076" w:rsidRPr="002464BA" w:rsidRDefault="00C21BE2">
      <w:pPr>
        <w:pStyle w:val="Heading1"/>
        <w:rPr>
          <w:lang w:val="es-ES"/>
        </w:rPr>
      </w:pPr>
      <w:r>
        <w:rPr>
          <w:noProof/>
        </w:rPr>
        <mc:AlternateContent>
          <mc:Choice Requires="wps">
            <w:drawing>
              <wp:anchor distT="0" distB="0" distL="0" distR="0" simplePos="0" relativeHeight="251661312" behindDoc="1" locked="0" layoutInCell="1" allowOverlap="1" wp14:anchorId="1A7A4C82" wp14:editId="60D5CCA6">
                <wp:simplePos x="0" y="0"/>
                <wp:positionH relativeFrom="page">
                  <wp:posOffset>438150</wp:posOffset>
                </wp:positionH>
                <wp:positionV relativeFrom="paragraph">
                  <wp:posOffset>218132</wp:posOffset>
                </wp:positionV>
                <wp:extent cx="6896734" cy="6350"/>
                <wp:effectExtent l="0" t="0" r="0" b="0"/>
                <wp:wrapTopAndBottom/>
                <wp:docPr id="4" name="Graphic 4"/>
                <wp:cNvGraphicFramePr/>
                <a:graphic xmlns:a="http://schemas.openxmlformats.org/drawingml/2006/main">
                  <a:graphicData uri="http://schemas.microsoft.com/office/word/2010/wordprocessingShape">
                    <wps:wsp>
                      <wps:cNvSpPr/>
                      <wps:spPr>
                        <a:xfrm>
                          <a:off x="0" y="0"/>
                          <a:ext cx="6896734" cy="6350"/>
                        </a:xfrm>
                        <a:custGeom>
                          <a:avLst/>
                          <a:gdLst/>
                          <a:ahLst/>
                          <a:cxnLst/>
                          <a:rect l="l" t="t" r="r" b="b"/>
                          <a:pathLst>
                            <a:path w="6896734" h="6350">
                              <a:moveTo>
                                <a:pt x="6896112" y="0"/>
                              </a:moveTo>
                              <a:lnTo>
                                <a:pt x="0" y="0"/>
                              </a:lnTo>
                              <a:lnTo>
                                <a:pt x="0" y="6108"/>
                              </a:lnTo>
                              <a:lnTo>
                                <a:pt x="6896112" y="6108"/>
                              </a:lnTo>
                              <a:lnTo>
                                <a:pt x="6896112" y="0"/>
                              </a:lnTo>
                              <a:close/>
                            </a:path>
                          </a:pathLst>
                        </a:custGeom>
                        <a:solidFill>
                          <a:srgbClr val="805F00"/>
                        </a:solidFill>
                      </wps:spPr>
                      <wps:bodyPr wrap="square" lIns="0" tIns="0" rIns="0" bIns="0" rtlCol="0">
                        <a:prstTxWarp prst="textNoShape">
                          <a:avLst/>
                        </a:prstTxWarp>
                      </wps:bodyPr>
                    </wps:wsp>
                  </a:graphicData>
                </a:graphic>
              </wp:anchor>
            </w:drawing>
          </mc:Choice>
          <mc:Fallback>
            <w:pict>
              <v:shape id="Graphic 4" o:spid="_x0000_s1028" style="width:543.05pt;height:0.5pt;margin-top:17.2pt;margin-left:34.5pt;mso-position-horizontal-relative:page;mso-wrap-distance-bottom:0;mso-wrap-distance-left:0;mso-wrap-distance-right:0;mso-wrap-distance-top:0;mso-wrap-style:square;position:absolute;v-text-anchor:top;visibility:visible;z-index:-251650048" coordsize="6896734,6350" path="m6896112,l,,,6108l6896112,6108l6896112,xe" fillcolor="#805f00" stroked="f">
                <v:path arrowok="t"/>
                <w10:wrap type="topAndBottom"/>
              </v:shape>
            </w:pict>
          </mc:Fallback>
        </mc:AlternateContent>
      </w:r>
      <w:bookmarkStart w:id="2" w:name="What_are_SDG&amp;E’s_Residential_Rate_Design"/>
      <w:bookmarkEnd w:id="2"/>
      <w:r>
        <w:rPr>
          <w:color w:val="805F00"/>
          <w:lang w:val="es"/>
        </w:rPr>
        <w:t>¿Cuáles son las propuestas de diseño tarifario de Liberty?</w:t>
      </w:r>
    </w:p>
    <w:p w14:paraId="7643BDC2" w14:textId="566C7D56" w:rsidR="00891912" w:rsidRPr="002464BA" w:rsidRDefault="00C21BE2" w:rsidP="00891912">
      <w:pPr>
        <w:pStyle w:val="BodyText"/>
        <w:spacing w:before="81" w:line="264" w:lineRule="auto"/>
        <w:ind w:left="480" w:hanging="1"/>
        <w:rPr>
          <w:color w:val="1F3863"/>
          <w:lang w:val="es-ES"/>
        </w:rPr>
      </w:pPr>
      <w:r>
        <w:rPr>
          <w:color w:val="1F3863"/>
          <w:lang w:val="es"/>
        </w:rPr>
        <w:t>Liberty propone varios cambios en la forma de asignación de sus tarifas (diseño tarifario):</w:t>
      </w:r>
    </w:p>
    <w:p w14:paraId="16C9E65D" w14:textId="545E9A60" w:rsidR="00891912" w:rsidRPr="002464BA" w:rsidRDefault="00C21BE2" w:rsidP="00891912">
      <w:pPr>
        <w:pStyle w:val="BodyText"/>
        <w:numPr>
          <w:ilvl w:val="0"/>
          <w:numId w:val="8"/>
        </w:numPr>
        <w:spacing w:before="81" w:line="264" w:lineRule="auto"/>
        <w:rPr>
          <w:lang w:val="es-ES"/>
        </w:rPr>
      </w:pPr>
      <w:r w:rsidRPr="00891912">
        <w:rPr>
          <w:color w:val="1F3863"/>
          <w:lang w:val="es"/>
        </w:rPr>
        <w:t xml:space="preserve">Consolidación de las Tarifas Residenciales: combinar sus tarifas residenciales permanentes y no permanentes en una única tarifa residencial. Los dos grupos de clientes se convertirían en uno solo y, por consiguiente, se les aplicaría la misma tarifa. </w:t>
      </w:r>
    </w:p>
    <w:p w14:paraId="478373D3" w14:textId="7DDFB401" w:rsidR="00566076" w:rsidRPr="002464BA" w:rsidRDefault="00C21BE2" w:rsidP="32936E33">
      <w:pPr>
        <w:pStyle w:val="BodyText"/>
        <w:numPr>
          <w:ilvl w:val="0"/>
          <w:numId w:val="8"/>
        </w:numPr>
        <w:spacing w:before="78" w:line="264" w:lineRule="auto"/>
        <w:rPr>
          <w:color w:val="002060"/>
          <w:lang w:val="es-ES"/>
        </w:rPr>
      </w:pPr>
      <w:r w:rsidRPr="075E666E">
        <w:rPr>
          <w:color w:val="002060"/>
          <w:lang w:val="es"/>
        </w:rPr>
        <w:t>Avance hacia tarifas basadas en costes: una transición completa a tarifas basadas en costes para todas las clases de clientes podría suponer un impacto sustancial en la factura de algunos clientes, por lo que Liberty propone un avance gradual del 10% hacia tarifas que reflejen mejor el coste marginal del servicio y una asignación de ingresos adecuada. Esto es consistente con los Principios del Diseño de Tarifas de la Comisión establecidos en D.23-04-040.</w:t>
      </w:r>
    </w:p>
    <w:p w14:paraId="678BEEA6" w14:textId="77777777" w:rsidR="004E5CD8" w:rsidRPr="002464BA" w:rsidRDefault="004E5CD8" w:rsidP="004E5CD8">
      <w:pPr>
        <w:pStyle w:val="BodyText"/>
        <w:spacing w:before="78" w:line="264" w:lineRule="auto"/>
        <w:rPr>
          <w:color w:val="002060"/>
          <w:lang w:val="es-ES"/>
        </w:rPr>
      </w:pPr>
    </w:p>
    <w:p w14:paraId="40DF7721" w14:textId="77777777" w:rsidR="004E5CD8" w:rsidRPr="002464BA" w:rsidRDefault="004E5CD8" w:rsidP="004E5CD8">
      <w:pPr>
        <w:pStyle w:val="BodyText"/>
        <w:spacing w:before="78" w:line="264" w:lineRule="auto"/>
        <w:rPr>
          <w:lang w:val="es-ES"/>
        </w:rPr>
      </w:pPr>
    </w:p>
    <w:p w14:paraId="18FF4B55" w14:textId="77777777" w:rsidR="00566076" w:rsidRPr="002464BA" w:rsidRDefault="00C21BE2">
      <w:pPr>
        <w:pStyle w:val="Heading1"/>
        <w:spacing w:before="1"/>
        <w:rPr>
          <w:lang w:val="es-ES"/>
        </w:rPr>
      </w:pPr>
      <w:r>
        <w:rPr>
          <w:noProof/>
        </w:rPr>
        <mc:AlternateContent>
          <mc:Choice Requires="wps">
            <w:drawing>
              <wp:anchor distT="0" distB="0" distL="0" distR="0" simplePos="0" relativeHeight="251662336" behindDoc="1" locked="0" layoutInCell="1" allowOverlap="1" wp14:anchorId="0518E9B4" wp14:editId="27CA595C">
                <wp:simplePos x="0" y="0"/>
                <wp:positionH relativeFrom="page">
                  <wp:posOffset>438150</wp:posOffset>
                </wp:positionH>
                <wp:positionV relativeFrom="paragraph">
                  <wp:posOffset>218684</wp:posOffset>
                </wp:positionV>
                <wp:extent cx="6896734" cy="6350"/>
                <wp:effectExtent l="0" t="0" r="0" b="0"/>
                <wp:wrapTopAndBottom/>
                <wp:docPr id="9" name="Graphic 9"/>
                <wp:cNvGraphicFramePr/>
                <a:graphic xmlns:a="http://schemas.openxmlformats.org/drawingml/2006/main">
                  <a:graphicData uri="http://schemas.microsoft.com/office/word/2010/wordprocessingShape">
                    <wps:wsp>
                      <wps:cNvSpPr/>
                      <wps:spPr>
                        <a:xfrm>
                          <a:off x="0" y="0"/>
                          <a:ext cx="6896734" cy="6350"/>
                        </a:xfrm>
                        <a:custGeom>
                          <a:avLst/>
                          <a:gdLst/>
                          <a:ahLst/>
                          <a:cxnLst/>
                          <a:rect l="l" t="t" r="r" b="b"/>
                          <a:pathLst>
                            <a:path w="6896734" h="6350">
                              <a:moveTo>
                                <a:pt x="6896112" y="0"/>
                              </a:moveTo>
                              <a:lnTo>
                                <a:pt x="0" y="0"/>
                              </a:lnTo>
                              <a:lnTo>
                                <a:pt x="0" y="6096"/>
                              </a:lnTo>
                              <a:lnTo>
                                <a:pt x="6896112" y="6096"/>
                              </a:lnTo>
                              <a:lnTo>
                                <a:pt x="6896112" y="0"/>
                              </a:lnTo>
                              <a:close/>
                            </a:path>
                          </a:pathLst>
                        </a:custGeom>
                        <a:solidFill>
                          <a:srgbClr val="805F00"/>
                        </a:solidFill>
                      </wps:spPr>
                      <wps:bodyPr wrap="square" lIns="0" tIns="0" rIns="0" bIns="0" rtlCol="0">
                        <a:prstTxWarp prst="textNoShape">
                          <a:avLst/>
                        </a:prstTxWarp>
                      </wps:bodyPr>
                    </wps:wsp>
                  </a:graphicData>
                </a:graphic>
              </wp:anchor>
            </w:drawing>
          </mc:Choice>
          <mc:Fallback>
            <w:pict>
              <v:shape id="Graphic 9" o:spid="_x0000_s1029" style="width:543.05pt;height:0.5pt;margin-top:17.2pt;margin-left:34.5pt;mso-position-horizontal-relative:page;mso-wrap-distance-bottom:0;mso-wrap-distance-left:0;mso-wrap-distance-right:0;mso-wrap-distance-top:0;mso-wrap-style:square;position:absolute;v-text-anchor:top;visibility:visible;z-index:-251649024" coordsize="6896734,6350" path="m6896112,l,,,6096l6896112,6096l6896112,xe" fillcolor="#805f00" stroked="f">
                <v:path arrowok="t"/>
                <w10:wrap type="topAndBottom"/>
              </v:shape>
            </w:pict>
          </mc:Fallback>
        </mc:AlternateContent>
      </w:r>
      <w:bookmarkStart w:id="3" w:name="How_Can_I_Have_My_Voice_Heard?"/>
      <w:bookmarkEnd w:id="3"/>
      <w:r>
        <w:rPr>
          <w:color w:val="805F00"/>
          <w:lang w:val="es"/>
        </w:rPr>
        <w:t>¿Cómo puedo hacer que me escuchen?</w:t>
      </w:r>
    </w:p>
    <w:p w14:paraId="14F9C204" w14:textId="77777777" w:rsidR="00566076" w:rsidRPr="002464BA" w:rsidRDefault="00C21BE2">
      <w:pPr>
        <w:pStyle w:val="ListParagraph"/>
        <w:numPr>
          <w:ilvl w:val="0"/>
          <w:numId w:val="1"/>
        </w:numPr>
        <w:tabs>
          <w:tab w:val="left" w:pos="1199"/>
        </w:tabs>
        <w:spacing w:before="81" w:line="264" w:lineRule="auto"/>
        <w:ind w:right="569"/>
        <w:rPr>
          <w:rFonts w:ascii="Wingdings" w:hAnsi="Wingdings"/>
          <w:sz w:val="20"/>
          <w:lang w:val="es-ES"/>
        </w:rPr>
      </w:pPr>
      <w:r>
        <w:rPr>
          <w:color w:val="1F3863"/>
          <w:sz w:val="20"/>
          <w:lang w:val="es"/>
        </w:rPr>
        <w:t xml:space="preserve">Hablando en la próxima audiencia de participación pública de CPUC. La lista de fechas, horarios y acceso a la convocatoria está disponible en: </w:t>
      </w:r>
      <w:hyperlink r:id="rId13">
        <w:r w:rsidR="00566076">
          <w:rPr>
            <w:color w:val="385522"/>
            <w:sz w:val="20"/>
            <w:u w:val="single" w:color="385522"/>
            <w:lang w:val="es"/>
          </w:rPr>
          <w:t>www.cpuc.ca.gov/pph</w:t>
        </w:r>
        <w:r w:rsidR="00566076">
          <w:rPr>
            <w:sz w:val="20"/>
            <w:lang w:val="es"/>
          </w:rPr>
          <w:t>.</w:t>
        </w:r>
      </w:hyperlink>
    </w:p>
    <w:p w14:paraId="4C94C787" w14:textId="25C6A40C" w:rsidR="00566076" w:rsidRPr="002464BA" w:rsidRDefault="00C21BE2">
      <w:pPr>
        <w:pStyle w:val="ListParagraph"/>
        <w:numPr>
          <w:ilvl w:val="0"/>
          <w:numId w:val="1"/>
        </w:numPr>
        <w:tabs>
          <w:tab w:val="left" w:pos="1199"/>
        </w:tabs>
        <w:spacing w:line="264" w:lineRule="auto"/>
        <w:ind w:right="440"/>
        <w:rPr>
          <w:rFonts w:ascii="Wingdings" w:hAnsi="Wingdings"/>
          <w:sz w:val="20"/>
          <w:lang w:val="es-ES"/>
        </w:rPr>
      </w:pPr>
      <w:r>
        <w:rPr>
          <w:color w:val="1F3863"/>
          <w:sz w:val="20"/>
          <w:lang w:val="es"/>
        </w:rPr>
        <w:t xml:space="preserve">Envíe sus comentarios por vía electrónica a la CPUC utilizando el botón "Añadir Comentario Público" en la pestaña "Comentario Público" de la Tarjeta de Expediente para A.24-09-010.   También puede consultar otros comentarios públicos relacionados con esta solicitud en: </w:t>
      </w:r>
      <w:hyperlink r:id="rId14">
        <w:r w:rsidR="00566076">
          <w:rPr>
            <w:color w:val="385522"/>
            <w:sz w:val="20"/>
            <w:u w:val="single" w:color="385522"/>
            <w:lang w:val="es"/>
          </w:rPr>
          <w:t>Procedimiento</w:t>
        </w:r>
      </w:hyperlink>
      <w:r w:rsidR="00267C1F">
        <w:rPr>
          <w:color w:val="385522"/>
          <w:sz w:val="20"/>
          <w:u w:val="single" w:color="385522"/>
          <w:lang w:val="es"/>
        </w:rPr>
        <w:t xml:space="preserve"> A-24-09-010 (</w:t>
      </w:r>
      <w:hyperlink r:id="rId15" w:history="1">
        <w:r w:rsidR="004510EF">
          <w:rPr>
            <w:rStyle w:val="Hyperlink"/>
            <w:sz w:val="20"/>
            <w:lang w:val="es"/>
          </w:rPr>
          <w:t>apps.cpuc.ca.gov/c/A2409010</w:t>
        </w:r>
      </w:hyperlink>
      <w:r w:rsidR="00015504">
        <w:rPr>
          <w:color w:val="385522"/>
          <w:sz w:val="20"/>
          <w:u w:val="single" w:color="385522"/>
          <w:lang w:val="es"/>
        </w:rPr>
        <w:t>)</w:t>
      </w:r>
    </w:p>
    <w:p w14:paraId="02B7691A" w14:textId="00B74F5C" w:rsidR="00566076" w:rsidRPr="002464BA" w:rsidRDefault="00C21BE2">
      <w:pPr>
        <w:pStyle w:val="ListParagraph"/>
        <w:numPr>
          <w:ilvl w:val="0"/>
          <w:numId w:val="1"/>
        </w:numPr>
        <w:tabs>
          <w:tab w:val="left" w:pos="1200"/>
        </w:tabs>
        <w:spacing w:line="264" w:lineRule="auto"/>
        <w:ind w:left="1200" w:right="401"/>
        <w:rPr>
          <w:rFonts w:ascii="Wingdings" w:hAnsi="Wingdings"/>
          <w:color w:val="1F3863"/>
          <w:sz w:val="20"/>
          <w:lang w:val="es-ES"/>
        </w:rPr>
      </w:pPr>
      <w:r>
        <w:rPr>
          <w:color w:val="1F3863"/>
          <w:sz w:val="20"/>
          <w:lang w:val="es"/>
        </w:rPr>
        <w:t>Envíe una carta al Asesor Público de la CPUC, incluya el número de procedimiento y el nombre A.24-09-010 Liberty GRC a: Oficina del Asesor Público de la CPUC, 505 Van Ness Ave., San Francisco, CA 94102.</w:t>
      </w:r>
    </w:p>
    <w:p w14:paraId="5147C2DE" w14:textId="77777777" w:rsidR="00566076" w:rsidRPr="002464BA" w:rsidRDefault="00566076">
      <w:pPr>
        <w:pStyle w:val="BodyText"/>
        <w:rPr>
          <w:sz w:val="22"/>
          <w:lang w:val="es-ES"/>
        </w:rPr>
      </w:pPr>
    </w:p>
    <w:p w14:paraId="20B8D329" w14:textId="77777777" w:rsidR="00566076" w:rsidRPr="002464BA" w:rsidRDefault="00566076">
      <w:pPr>
        <w:pStyle w:val="BodyText"/>
        <w:spacing w:before="200"/>
        <w:rPr>
          <w:sz w:val="22"/>
          <w:lang w:val="es-ES"/>
        </w:rPr>
      </w:pPr>
    </w:p>
    <w:p w14:paraId="6D898690" w14:textId="49120263" w:rsidR="00566076" w:rsidRPr="002464BA" w:rsidRDefault="00566076">
      <w:pPr>
        <w:spacing w:before="1"/>
        <w:ind w:left="480"/>
        <w:rPr>
          <w:rFonts w:ascii="Garamond"/>
          <w:lang w:val="es-ES"/>
        </w:rPr>
      </w:pPr>
    </w:p>
    <w:sectPr w:rsidR="00566076" w:rsidRPr="002464BA">
      <w:headerReference w:type="first" r:id="rId16"/>
      <w:pgSz w:w="12240" w:h="15840"/>
      <w:pgMar w:top="160" w:right="58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3C7A" w14:textId="77777777" w:rsidR="00C21BE2" w:rsidRDefault="00C21BE2">
      <w:r>
        <w:separator/>
      </w:r>
    </w:p>
  </w:endnote>
  <w:endnote w:type="continuationSeparator" w:id="0">
    <w:p w14:paraId="651ADBD6" w14:textId="77777777" w:rsidR="00C21BE2" w:rsidRDefault="00C2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651A6" w14:textId="77777777" w:rsidR="00C21BE2" w:rsidRDefault="00C21BE2">
      <w:r>
        <w:separator/>
      </w:r>
    </w:p>
  </w:footnote>
  <w:footnote w:type="continuationSeparator" w:id="0">
    <w:p w14:paraId="0874C431" w14:textId="77777777" w:rsidR="00C21BE2" w:rsidRDefault="00C2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003D1E80" w14:paraId="67B041E0" w14:textId="77777777" w:rsidTr="1DDD8583">
      <w:trPr>
        <w:trHeight w:val="300"/>
      </w:trPr>
      <w:tc>
        <w:tcPr>
          <w:tcW w:w="3805" w:type="dxa"/>
        </w:tcPr>
        <w:p w14:paraId="6C5FFC65" w14:textId="0817E508" w:rsidR="1DDD8583" w:rsidRDefault="1DDD8583" w:rsidP="1DDD8583">
          <w:pPr>
            <w:pStyle w:val="Header"/>
            <w:ind w:left="-115"/>
          </w:pPr>
        </w:p>
      </w:tc>
      <w:tc>
        <w:tcPr>
          <w:tcW w:w="3805" w:type="dxa"/>
        </w:tcPr>
        <w:p w14:paraId="3B6E90F0" w14:textId="7E74D003" w:rsidR="1DDD8583" w:rsidRDefault="1DDD8583" w:rsidP="1DDD8583">
          <w:pPr>
            <w:pStyle w:val="Header"/>
            <w:jc w:val="center"/>
          </w:pPr>
        </w:p>
      </w:tc>
      <w:tc>
        <w:tcPr>
          <w:tcW w:w="3805" w:type="dxa"/>
        </w:tcPr>
        <w:p w14:paraId="6BE23BE2" w14:textId="1D52B224" w:rsidR="1DDD8583" w:rsidRDefault="1DDD8583" w:rsidP="1DDD8583">
          <w:pPr>
            <w:pStyle w:val="Header"/>
            <w:ind w:right="-115"/>
            <w:jc w:val="right"/>
          </w:pPr>
        </w:p>
      </w:tc>
    </w:tr>
  </w:tbl>
  <w:p w14:paraId="18DE2D84" w14:textId="2D265DE5" w:rsidR="1DDD8583" w:rsidRDefault="1DDD8583" w:rsidP="1DDD8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3A9"/>
    <w:multiLevelType w:val="hybridMultilevel"/>
    <w:tmpl w:val="4B8CA300"/>
    <w:lvl w:ilvl="0" w:tplc="B6F2DA40">
      <w:start w:val="1"/>
      <w:numFmt w:val="bullet"/>
      <w:lvlText w:val=""/>
      <w:lvlJc w:val="left"/>
      <w:pPr>
        <w:ind w:left="1199" w:hanging="360"/>
      </w:pPr>
      <w:rPr>
        <w:rFonts w:ascii="Symbol" w:hAnsi="Symbol" w:hint="default"/>
      </w:rPr>
    </w:lvl>
    <w:lvl w:ilvl="1" w:tplc="8CF4078E" w:tentative="1">
      <w:start w:val="1"/>
      <w:numFmt w:val="bullet"/>
      <w:lvlText w:val="o"/>
      <w:lvlJc w:val="left"/>
      <w:pPr>
        <w:ind w:left="1919" w:hanging="360"/>
      </w:pPr>
      <w:rPr>
        <w:rFonts w:ascii="Courier New" w:hAnsi="Courier New" w:cs="Courier New" w:hint="default"/>
      </w:rPr>
    </w:lvl>
    <w:lvl w:ilvl="2" w:tplc="3CDE7C1A" w:tentative="1">
      <w:start w:val="1"/>
      <w:numFmt w:val="bullet"/>
      <w:lvlText w:val=""/>
      <w:lvlJc w:val="left"/>
      <w:pPr>
        <w:ind w:left="2639" w:hanging="360"/>
      </w:pPr>
      <w:rPr>
        <w:rFonts w:ascii="Wingdings" w:hAnsi="Wingdings" w:hint="default"/>
      </w:rPr>
    </w:lvl>
    <w:lvl w:ilvl="3" w:tplc="56B85218" w:tentative="1">
      <w:start w:val="1"/>
      <w:numFmt w:val="bullet"/>
      <w:lvlText w:val=""/>
      <w:lvlJc w:val="left"/>
      <w:pPr>
        <w:ind w:left="3359" w:hanging="360"/>
      </w:pPr>
      <w:rPr>
        <w:rFonts w:ascii="Symbol" w:hAnsi="Symbol" w:hint="default"/>
      </w:rPr>
    </w:lvl>
    <w:lvl w:ilvl="4" w:tplc="F7C25A20" w:tentative="1">
      <w:start w:val="1"/>
      <w:numFmt w:val="bullet"/>
      <w:lvlText w:val="o"/>
      <w:lvlJc w:val="left"/>
      <w:pPr>
        <w:ind w:left="4079" w:hanging="360"/>
      </w:pPr>
      <w:rPr>
        <w:rFonts w:ascii="Courier New" w:hAnsi="Courier New" w:cs="Courier New" w:hint="default"/>
      </w:rPr>
    </w:lvl>
    <w:lvl w:ilvl="5" w:tplc="002006FA" w:tentative="1">
      <w:start w:val="1"/>
      <w:numFmt w:val="bullet"/>
      <w:lvlText w:val=""/>
      <w:lvlJc w:val="left"/>
      <w:pPr>
        <w:ind w:left="4799" w:hanging="360"/>
      </w:pPr>
      <w:rPr>
        <w:rFonts w:ascii="Wingdings" w:hAnsi="Wingdings" w:hint="default"/>
      </w:rPr>
    </w:lvl>
    <w:lvl w:ilvl="6" w:tplc="ED1011CE" w:tentative="1">
      <w:start w:val="1"/>
      <w:numFmt w:val="bullet"/>
      <w:lvlText w:val=""/>
      <w:lvlJc w:val="left"/>
      <w:pPr>
        <w:ind w:left="5519" w:hanging="360"/>
      </w:pPr>
      <w:rPr>
        <w:rFonts w:ascii="Symbol" w:hAnsi="Symbol" w:hint="default"/>
      </w:rPr>
    </w:lvl>
    <w:lvl w:ilvl="7" w:tplc="807ECEBE" w:tentative="1">
      <w:start w:val="1"/>
      <w:numFmt w:val="bullet"/>
      <w:lvlText w:val="o"/>
      <w:lvlJc w:val="left"/>
      <w:pPr>
        <w:ind w:left="6239" w:hanging="360"/>
      </w:pPr>
      <w:rPr>
        <w:rFonts w:ascii="Courier New" w:hAnsi="Courier New" w:cs="Courier New" w:hint="default"/>
      </w:rPr>
    </w:lvl>
    <w:lvl w:ilvl="8" w:tplc="EB76A570" w:tentative="1">
      <w:start w:val="1"/>
      <w:numFmt w:val="bullet"/>
      <w:lvlText w:val=""/>
      <w:lvlJc w:val="left"/>
      <w:pPr>
        <w:ind w:left="6959" w:hanging="360"/>
      </w:pPr>
      <w:rPr>
        <w:rFonts w:ascii="Wingdings" w:hAnsi="Wingdings" w:hint="default"/>
      </w:rPr>
    </w:lvl>
  </w:abstractNum>
  <w:abstractNum w:abstractNumId="1" w15:restartNumberingAfterBreak="0">
    <w:nsid w:val="06366FBA"/>
    <w:multiLevelType w:val="hybridMultilevel"/>
    <w:tmpl w:val="24D0C6AE"/>
    <w:lvl w:ilvl="0" w:tplc="971691AE">
      <w:start w:val="1"/>
      <w:numFmt w:val="bullet"/>
      <w:lvlText w:val=""/>
      <w:lvlJc w:val="left"/>
      <w:pPr>
        <w:ind w:left="1199" w:hanging="360"/>
      </w:pPr>
      <w:rPr>
        <w:rFonts w:ascii="Symbol" w:hAnsi="Symbol" w:hint="default"/>
      </w:rPr>
    </w:lvl>
    <w:lvl w:ilvl="1" w:tplc="388CD1B6" w:tentative="1">
      <w:start w:val="1"/>
      <w:numFmt w:val="bullet"/>
      <w:lvlText w:val="o"/>
      <w:lvlJc w:val="left"/>
      <w:pPr>
        <w:ind w:left="1919" w:hanging="360"/>
      </w:pPr>
      <w:rPr>
        <w:rFonts w:ascii="Courier New" w:hAnsi="Courier New" w:cs="Courier New" w:hint="default"/>
      </w:rPr>
    </w:lvl>
    <w:lvl w:ilvl="2" w:tplc="BE987462" w:tentative="1">
      <w:start w:val="1"/>
      <w:numFmt w:val="bullet"/>
      <w:lvlText w:val=""/>
      <w:lvlJc w:val="left"/>
      <w:pPr>
        <w:ind w:left="2639" w:hanging="360"/>
      </w:pPr>
      <w:rPr>
        <w:rFonts w:ascii="Wingdings" w:hAnsi="Wingdings" w:hint="default"/>
      </w:rPr>
    </w:lvl>
    <w:lvl w:ilvl="3" w:tplc="6AF23B02" w:tentative="1">
      <w:start w:val="1"/>
      <w:numFmt w:val="bullet"/>
      <w:lvlText w:val=""/>
      <w:lvlJc w:val="left"/>
      <w:pPr>
        <w:ind w:left="3359" w:hanging="360"/>
      </w:pPr>
      <w:rPr>
        <w:rFonts w:ascii="Symbol" w:hAnsi="Symbol" w:hint="default"/>
      </w:rPr>
    </w:lvl>
    <w:lvl w:ilvl="4" w:tplc="0D38A3B8" w:tentative="1">
      <w:start w:val="1"/>
      <w:numFmt w:val="bullet"/>
      <w:lvlText w:val="o"/>
      <w:lvlJc w:val="left"/>
      <w:pPr>
        <w:ind w:left="4079" w:hanging="360"/>
      </w:pPr>
      <w:rPr>
        <w:rFonts w:ascii="Courier New" w:hAnsi="Courier New" w:cs="Courier New" w:hint="default"/>
      </w:rPr>
    </w:lvl>
    <w:lvl w:ilvl="5" w:tplc="4092A83C" w:tentative="1">
      <w:start w:val="1"/>
      <w:numFmt w:val="bullet"/>
      <w:lvlText w:val=""/>
      <w:lvlJc w:val="left"/>
      <w:pPr>
        <w:ind w:left="4799" w:hanging="360"/>
      </w:pPr>
      <w:rPr>
        <w:rFonts w:ascii="Wingdings" w:hAnsi="Wingdings" w:hint="default"/>
      </w:rPr>
    </w:lvl>
    <w:lvl w:ilvl="6" w:tplc="AD74E28A" w:tentative="1">
      <w:start w:val="1"/>
      <w:numFmt w:val="bullet"/>
      <w:lvlText w:val=""/>
      <w:lvlJc w:val="left"/>
      <w:pPr>
        <w:ind w:left="5519" w:hanging="360"/>
      </w:pPr>
      <w:rPr>
        <w:rFonts w:ascii="Symbol" w:hAnsi="Symbol" w:hint="default"/>
      </w:rPr>
    </w:lvl>
    <w:lvl w:ilvl="7" w:tplc="78C4518A" w:tentative="1">
      <w:start w:val="1"/>
      <w:numFmt w:val="bullet"/>
      <w:lvlText w:val="o"/>
      <w:lvlJc w:val="left"/>
      <w:pPr>
        <w:ind w:left="6239" w:hanging="360"/>
      </w:pPr>
      <w:rPr>
        <w:rFonts w:ascii="Courier New" w:hAnsi="Courier New" w:cs="Courier New" w:hint="default"/>
      </w:rPr>
    </w:lvl>
    <w:lvl w:ilvl="8" w:tplc="97401190" w:tentative="1">
      <w:start w:val="1"/>
      <w:numFmt w:val="bullet"/>
      <w:lvlText w:val=""/>
      <w:lvlJc w:val="left"/>
      <w:pPr>
        <w:ind w:left="6959" w:hanging="360"/>
      </w:pPr>
      <w:rPr>
        <w:rFonts w:ascii="Wingdings" w:hAnsi="Wingdings" w:hint="default"/>
      </w:rPr>
    </w:lvl>
  </w:abstractNum>
  <w:abstractNum w:abstractNumId="2" w15:restartNumberingAfterBreak="0">
    <w:nsid w:val="1D656038"/>
    <w:multiLevelType w:val="hybridMultilevel"/>
    <w:tmpl w:val="09705FF4"/>
    <w:lvl w:ilvl="0" w:tplc="360E1DF2">
      <w:start w:val="1"/>
      <w:numFmt w:val="bullet"/>
      <w:lvlText w:val="o"/>
      <w:lvlJc w:val="left"/>
      <w:pPr>
        <w:ind w:left="1199" w:hanging="360"/>
      </w:pPr>
      <w:rPr>
        <w:rFonts w:ascii="Courier New" w:hAnsi="Courier New" w:cs="Courier New" w:hint="default"/>
      </w:rPr>
    </w:lvl>
    <w:lvl w:ilvl="1" w:tplc="3A9CEFC4" w:tentative="1">
      <w:start w:val="1"/>
      <w:numFmt w:val="bullet"/>
      <w:lvlText w:val="o"/>
      <w:lvlJc w:val="left"/>
      <w:pPr>
        <w:ind w:left="1919" w:hanging="360"/>
      </w:pPr>
      <w:rPr>
        <w:rFonts w:ascii="Courier New" w:hAnsi="Courier New" w:cs="Courier New" w:hint="default"/>
      </w:rPr>
    </w:lvl>
    <w:lvl w:ilvl="2" w:tplc="B1CEB58C" w:tentative="1">
      <w:start w:val="1"/>
      <w:numFmt w:val="bullet"/>
      <w:lvlText w:val=""/>
      <w:lvlJc w:val="left"/>
      <w:pPr>
        <w:ind w:left="2639" w:hanging="360"/>
      </w:pPr>
      <w:rPr>
        <w:rFonts w:ascii="Wingdings" w:hAnsi="Wingdings" w:hint="default"/>
      </w:rPr>
    </w:lvl>
    <w:lvl w:ilvl="3" w:tplc="60AAB7CC" w:tentative="1">
      <w:start w:val="1"/>
      <w:numFmt w:val="bullet"/>
      <w:lvlText w:val=""/>
      <w:lvlJc w:val="left"/>
      <w:pPr>
        <w:ind w:left="3359" w:hanging="360"/>
      </w:pPr>
      <w:rPr>
        <w:rFonts w:ascii="Symbol" w:hAnsi="Symbol" w:hint="default"/>
      </w:rPr>
    </w:lvl>
    <w:lvl w:ilvl="4" w:tplc="8ED4FA7E" w:tentative="1">
      <w:start w:val="1"/>
      <w:numFmt w:val="bullet"/>
      <w:lvlText w:val="o"/>
      <w:lvlJc w:val="left"/>
      <w:pPr>
        <w:ind w:left="4079" w:hanging="360"/>
      </w:pPr>
      <w:rPr>
        <w:rFonts w:ascii="Courier New" w:hAnsi="Courier New" w:cs="Courier New" w:hint="default"/>
      </w:rPr>
    </w:lvl>
    <w:lvl w:ilvl="5" w:tplc="6CF44ACE" w:tentative="1">
      <w:start w:val="1"/>
      <w:numFmt w:val="bullet"/>
      <w:lvlText w:val=""/>
      <w:lvlJc w:val="left"/>
      <w:pPr>
        <w:ind w:left="4799" w:hanging="360"/>
      </w:pPr>
      <w:rPr>
        <w:rFonts w:ascii="Wingdings" w:hAnsi="Wingdings" w:hint="default"/>
      </w:rPr>
    </w:lvl>
    <w:lvl w:ilvl="6" w:tplc="132A86D2" w:tentative="1">
      <w:start w:val="1"/>
      <w:numFmt w:val="bullet"/>
      <w:lvlText w:val=""/>
      <w:lvlJc w:val="left"/>
      <w:pPr>
        <w:ind w:left="5519" w:hanging="360"/>
      </w:pPr>
      <w:rPr>
        <w:rFonts w:ascii="Symbol" w:hAnsi="Symbol" w:hint="default"/>
      </w:rPr>
    </w:lvl>
    <w:lvl w:ilvl="7" w:tplc="852A0EF4" w:tentative="1">
      <w:start w:val="1"/>
      <w:numFmt w:val="bullet"/>
      <w:lvlText w:val="o"/>
      <w:lvlJc w:val="left"/>
      <w:pPr>
        <w:ind w:left="6239" w:hanging="360"/>
      </w:pPr>
      <w:rPr>
        <w:rFonts w:ascii="Courier New" w:hAnsi="Courier New" w:cs="Courier New" w:hint="default"/>
      </w:rPr>
    </w:lvl>
    <w:lvl w:ilvl="8" w:tplc="0F02024A" w:tentative="1">
      <w:start w:val="1"/>
      <w:numFmt w:val="bullet"/>
      <w:lvlText w:val=""/>
      <w:lvlJc w:val="left"/>
      <w:pPr>
        <w:ind w:left="6959" w:hanging="360"/>
      </w:pPr>
      <w:rPr>
        <w:rFonts w:ascii="Wingdings" w:hAnsi="Wingdings" w:hint="default"/>
      </w:rPr>
    </w:lvl>
  </w:abstractNum>
  <w:abstractNum w:abstractNumId="3" w15:restartNumberingAfterBreak="0">
    <w:nsid w:val="1EC823FF"/>
    <w:multiLevelType w:val="hybridMultilevel"/>
    <w:tmpl w:val="3E721C36"/>
    <w:lvl w:ilvl="0" w:tplc="285EF472">
      <w:start w:val="1"/>
      <w:numFmt w:val="bullet"/>
      <w:lvlText w:val="o"/>
      <w:lvlJc w:val="left"/>
      <w:pPr>
        <w:ind w:left="1080" w:hanging="360"/>
      </w:pPr>
      <w:rPr>
        <w:rFonts w:ascii="Courier New" w:hAnsi="Courier New" w:cs="Courier New" w:hint="default"/>
      </w:rPr>
    </w:lvl>
    <w:lvl w:ilvl="1" w:tplc="6E6ED2B8" w:tentative="1">
      <w:start w:val="1"/>
      <w:numFmt w:val="bullet"/>
      <w:lvlText w:val="o"/>
      <w:lvlJc w:val="left"/>
      <w:pPr>
        <w:ind w:left="1800" w:hanging="360"/>
      </w:pPr>
      <w:rPr>
        <w:rFonts w:ascii="Courier New" w:hAnsi="Courier New" w:cs="Courier New" w:hint="default"/>
      </w:rPr>
    </w:lvl>
    <w:lvl w:ilvl="2" w:tplc="8E6C539C" w:tentative="1">
      <w:start w:val="1"/>
      <w:numFmt w:val="bullet"/>
      <w:lvlText w:val=""/>
      <w:lvlJc w:val="left"/>
      <w:pPr>
        <w:ind w:left="2520" w:hanging="360"/>
      </w:pPr>
      <w:rPr>
        <w:rFonts w:ascii="Wingdings" w:hAnsi="Wingdings" w:hint="default"/>
      </w:rPr>
    </w:lvl>
    <w:lvl w:ilvl="3" w:tplc="15B2B2DC" w:tentative="1">
      <w:start w:val="1"/>
      <w:numFmt w:val="bullet"/>
      <w:lvlText w:val=""/>
      <w:lvlJc w:val="left"/>
      <w:pPr>
        <w:ind w:left="3240" w:hanging="360"/>
      </w:pPr>
      <w:rPr>
        <w:rFonts w:ascii="Symbol" w:hAnsi="Symbol" w:hint="default"/>
      </w:rPr>
    </w:lvl>
    <w:lvl w:ilvl="4" w:tplc="177A0A30" w:tentative="1">
      <w:start w:val="1"/>
      <w:numFmt w:val="bullet"/>
      <w:lvlText w:val="o"/>
      <w:lvlJc w:val="left"/>
      <w:pPr>
        <w:ind w:left="3960" w:hanging="360"/>
      </w:pPr>
      <w:rPr>
        <w:rFonts w:ascii="Courier New" w:hAnsi="Courier New" w:cs="Courier New" w:hint="default"/>
      </w:rPr>
    </w:lvl>
    <w:lvl w:ilvl="5" w:tplc="24EA9B1A" w:tentative="1">
      <w:start w:val="1"/>
      <w:numFmt w:val="bullet"/>
      <w:lvlText w:val=""/>
      <w:lvlJc w:val="left"/>
      <w:pPr>
        <w:ind w:left="4680" w:hanging="360"/>
      </w:pPr>
      <w:rPr>
        <w:rFonts w:ascii="Wingdings" w:hAnsi="Wingdings" w:hint="default"/>
      </w:rPr>
    </w:lvl>
    <w:lvl w:ilvl="6" w:tplc="D6C290BC" w:tentative="1">
      <w:start w:val="1"/>
      <w:numFmt w:val="bullet"/>
      <w:lvlText w:val=""/>
      <w:lvlJc w:val="left"/>
      <w:pPr>
        <w:ind w:left="5400" w:hanging="360"/>
      </w:pPr>
      <w:rPr>
        <w:rFonts w:ascii="Symbol" w:hAnsi="Symbol" w:hint="default"/>
      </w:rPr>
    </w:lvl>
    <w:lvl w:ilvl="7" w:tplc="E1DE87D8" w:tentative="1">
      <w:start w:val="1"/>
      <w:numFmt w:val="bullet"/>
      <w:lvlText w:val="o"/>
      <w:lvlJc w:val="left"/>
      <w:pPr>
        <w:ind w:left="6120" w:hanging="360"/>
      </w:pPr>
      <w:rPr>
        <w:rFonts w:ascii="Courier New" w:hAnsi="Courier New" w:cs="Courier New" w:hint="default"/>
      </w:rPr>
    </w:lvl>
    <w:lvl w:ilvl="8" w:tplc="F8D25286" w:tentative="1">
      <w:start w:val="1"/>
      <w:numFmt w:val="bullet"/>
      <w:lvlText w:val=""/>
      <w:lvlJc w:val="left"/>
      <w:pPr>
        <w:ind w:left="6840" w:hanging="360"/>
      </w:pPr>
      <w:rPr>
        <w:rFonts w:ascii="Wingdings" w:hAnsi="Wingdings" w:hint="default"/>
      </w:rPr>
    </w:lvl>
  </w:abstractNum>
  <w:abstractNum w:abstractNumId="4" w15:restartNumberingAfterBreak="0">
    <w:nsid w:val="4D9E5CF3"/>
    <w:multiLevelType w:val="hybridMultilevel"/>
    <w:tmpl w:val="382C5A68"/>
    <w:lvl w:ilvl="0" w:tplc="FB44EF9E">
      <w:numFmt w:val="bullet"/>
      <w:lvlText w:val=""/>
      <w:lvlJc w:val="left"/>
      <w:pPr>
        <w:ind w:left="1199" w:hanging="360"/>
      </w:pPr>
      <w:rPr>
        <w:rFonts w:ascii="Wingdings" w:eastAsia="Wingdings" w:hAnsi="Wingdings" w:cs="Wingdings" w:hint="default"/>
        <w:spacing w:val="0"/>
        <w:w w:val="100"/>
        <w:lang w:val="en-US" w:eastAsia="en-US" w:bidi="ar-SA"/>
      </w:rPr>
    </w:lvl>
    <w:lvl w:ilvl="1" w:tplc="4164180C">
      <w:numFmt w:val="bullet"/>
      <w:lvlText w:val="o"/>
      <w:lvlJc w:val="left"/>
      <w:pPr>
        <w:ind w:left="1919" w:hanging="361"/>
      </w:pPr>
      <w:rPr>
        <w:rFonts w:ascii="Courier New" w:eastAsia="Courier New" w:hAnsi="Courier New" w:cs="Courier New" w:hint="default"/>
        <w:b w:val="0"/>
        <w:bCs w:val="0"/>
        <w:i w:val="0"/>
        <w:iCs w:val="0"/>
        <w:color w:val="1F3863"/>
        <w:spacing w:val="0"/>
        <w:w w:val="100"/>
        <w:sz w:val="20"/>
        <w:szCs w:val="20"/>
        <w:lang w:val="en-US" w:eastAsia="en-US" w:bidi="ar-SA"/>
      </w:rPr>
    </w:lvl>
    <w:lvl w:ilvl="2" w:tplc="CC78C6FE">
      <w:numFmt w:val="bullet"/>
      <w:lvlText w:val="•"/>
      <w:lvlJc w:val="left"/>
      <w:pPr>
        <w:ind w:left="2975" w:hanging="361"/>
      </w:pPr>
      <w:rPr>
        <w:rFonts w:hint="default"/>
        <w:lang w:val="en-US" w:eastAsia="en-US" w:bidi="ar-SA"/>
      </w:rPr>
    </w:lvl>
    <w:lvl w:ilvl="3" w:tplc="AE580102">
      <w:numFmt w:val="bullet"/>
      <w:lvlText w:val="•"/>
      <w:lvlJc w:val="left"/>
      <w:pPr>
        <w:ind w:left="4031" w:hanging="361"/>
      </w:pPr>
      <w:rPr>
        <w:rFonts w:hint="default"/>
        <w:lang w:val="en-US" w:eastAsia="en-US" w:bidi="ar-SA"/>
      </w:rPr>
    </w:lvl>
    <w:lvl w:ilvl="4" w:tplc="2AE05B30">
      <w:numFmt w:val="bullet"/>
      <w:lvlText w:val="•"/>
      <w:lvlJc w:val="left"/>
      <w:pPr>
        <w:ind w:left="5086" w:hanging="361"/>
      </w:pPr>
      <w:rPr>
        <w:rFonts w:hint="default"/>
        <w:lang w:val="en-US" w:eastAsia="en-US" w:bidi="ar-SA"/>
      </w:rPr>
    </w:lvl>
    <w:lvl w:ilvl="5" w:tplc="9C06321C">
      <w:numFmt w:val="bullet"/>
      <w:lvlText w:val="•"/>
      <w:lvlJc w:val="left"/>
      <w:pPr>
        <w:ind w:left="6142" w:hanging="361"/>
      </w:pPr>
      <w:rPr>
        <w:rFonts w:hint="default"/>
        <w:lang w:val="en-US" w:eastAsia="en-US" w:bidi="ar-SA"/>
      </w:rPr>
    </w:lvl>
    <w:lvl w:ilvl="6" w:tplc="BFDA8304">
      <w:numFmt w:val="bullet"/>
      <w:lvlText w:val="•"/>
      <w:lvlJc w:val="left"/>
      <w:pPr>
        <w:ind w:left="7197" w:hanging="361"/>
      </w:pPr>
      <w:rPr>
        <w:rFonts w:hint="default"/>
        <w:lang w:val="en-US" w:eastAsia="en-US" w:bidi="ar-SA"/>
      </w:rPr>
    </w:lvl>
    <w:lvl w:ilvl="7" w:tplc="BC7EA816">
      <w:numFmt w:val="bullet"/>
      <w:lvlText w:val="•"/>
      <w:lvlJc w:val="left"/>
      <w:pPr>
        <w:ind w:left="8253" w:hanging="361"/>
      </w:pPr>
      <w:rPr>
        <w:rFonts w:hint="default"/>
        <w:lang w:val="en-US" w:eastAsia="en-US" w:bidi="ar-SA"/>
      </w:rPr>
    </w:lvl>
    <w:lvl w:ilvl="8" w:tplc="EA5C50B4">
      <w:numFmt w:val="bullet"/>
      <w:lvlText w:val="•"/>
      <w:lvlJc w:val="left"/>
      <w:pPr>
        <w:ind w:left="9308" w:hanging="361"/>
      </w:pPr>
      <w:rPr>
        <w:rFonts w:hint="default"/>
        <w:lang w:val="en-US" w:eastAsia="en-US" w:bidi="ar-SA"/>
      </w:rPr>
    </w:lvl>
  </w:abstractNum>
  <w:abstractNum w:abstractNumId="5" w15:restartNumberingAfterBreak="0">
    <w:nsid w:val="69C0344B"/>
    <w:multiLevelType w:val="hybridMultilevel"/>
    <w:tmpl w:val="E1AAEF7E"/>
    <w:lvl w:ilvl="0" w:tplc="FA7C163C">
      <w:start w:val="1"/>
      <w:numFmt w:val="bullet"/>
      <w:lvlText w:val="o"/>
      <w:lvlJc w:val="left"/>
      <w:pPr>
        <w:ind w:left="1199" w:hanging="360"/>
      </w:pPr>
      <w:rPr>
        <w:rFonts w:ascii="Courier New" w:hAnsi="Courier New" w:cs="Courier New" w:hint="default"/>
      </w:rPr>
    </w:lvl>
    <w:lvl w:ilvl="1" w:tplc="75EAEEFE" w:tentative="1">
      <w:start w:val="1"/>
      <w:numFmt w:val="bullet"/>
      <w:lvlText w:val="o"/>
      <w:lvlJc w:val="left"/>
      <w:pPr>
        <w:ind w:left="1919" w:hanging="360"/>
      </w:pPr>
      <w:rPr>
        <w:rFonts w:ascii="Courier New" w:hAnsi="Courier New" w:cs="Courier New" w:hint="default"/>
      </w:rPr>
    </w:lvl>
    <w:lvl w:ilvl="2" w:tplc="408C963C" w:tentative="1">
      <w:start w:val="1"/>
      <w:numFmt w:val="bullet"/>
      <w:lvlText w:val=""/>
      <w:lvlJc w:val="left"/>
      <w:pPr>
        <w:ind w:left="2639" w:hanging="360"/>
      </w:pPr>
      <w:rPr>
        <w:rFonts w:ascii="Wingdings" w:hAnsi="Wingdings" w:hint="default"/>
      </w:rPr>
    </w:lvl>
    <w:lvl w:ilvl="3" w:tplc="E2AC8CE0" w:tentative="1">
      <w:start w:val="1"/>
      <w:numFmt w:val="bullet"/>
      <w:lvlText w:val=""/>
      <w:lvlJc w:val="left"/>
      <w:pPr>
        <w:ind w:left="3359" w:hanging="360"/>
      </w:pPr>
      <w:rPr>
        <w:rFonts w:ascii="Symbol" w:hAnsi="Symbol" w:hint="default"/>
      </w:rPr>
    </w:lvl>
    <w:lvl w:ilvl="4" w:tplc="EB70B9C8" w:tentative="1">
      <w:start w:val="1"/>
      <w:numFmt w:val="bullet"/>
      <w:lvlText w:val="o"/>
      <w:lvlJc w:val="left"/>
      <w:pPr>
        <w:ind w:left="4079" w:hanging="360"/>
      </w:pPr>
      <w:rPr>
        <w:rFonts w:ascii="Courier New" w:hAnsi="Courier New" w:cs="Courier New" w:hint="default"/>
      </w:rPr>
    </w:lvl>
    <w:lvl w:ilvl="5" w:tplc="CF32455E" w:tentative="1">
      <w:start w:val="1"/>
      <w:numFmt w:val="bullet"/>
      <w:lvlText w:val=""/>
      <w:lvlJc w:val="left"/>
      <w:pPr>
        <w:ind w:left="4799" w:hanging="360"/>
      </w:pPr>
      <w:rPr>
        <w:rFonts w:ascii="Wingdings" w:hAnsi="Wingdings" w:hint="default"/>
      </w:rPr>
    </w:lvl>
    <w:lvl w:ilvl="6" w:tplc="B246BA7A" w:tentative="1">
      <w:start w:val="1"/>
      <w:numFmt w:val="bullet"/>
      <w:lvlText w:val=""/>
      <w:lvlJc w:val="left"/>
      <w:pPr>
        <w:ind w:left="5519" w:hanging="360"/>
      </w:pPr>
      <w:rPr>
        <w:rFonts w:ascii="Symbol" w:hAnsi="Symbol" w:hint="default"/>
      </w:rPr>
    </w:lvl>
    <w:lvl w:ilvl="7" w:tplc="4B1AA760" w:tentative="1">
      <w:start w:val="1"/>
      <w:numFmt w:val="bullet"/>
      <w:lvlText w:val="o"/>
      <w:lvlJc w:val="left"/>
      <w:pPr>
        <w:ind w:left="6239" w:hanging="360"/>
      </w:pPr>
      <w:rPr>
        <w:rFonts w:ascii="Courier New" w:hAnsi="Courier New" w:cs="Courier New" w:hint="default"/>
      </w:rPr>
    </w:lvl>
    <w:lvl w:ilvl="8" w:tplc="8B9A243C" w:tentative="1">
      <w:start w:val="1"/>
      <w:numFmt w:val="bullet"/>
      <w:lvlText w:val=""/>
      <w:lvlJc w:val="left"/>
      <w:pPr>
        <w:ind w:left="6959" w:hanging="360"/>
      </w:pPr>
      <w:rPr>
        <w:rFonts w:ascii="Wingdings" w:hAnsi="Wingdings" w:hint="default"/>
      </w:rPr>
    </w:lvl>
  </w:abstractNum>
  <w:abstractNum w:abstractNumId="6" w15:restartNumberingAfterBreak="0">
    <w:nsid w:val="6CFD672E"/>
    <w:multiLevelType w:val="hybridMultilevel"/>
    <w:tmpl w:val="3D381176"/>
    <w:lvl w:ilvl="0" w:tplc="0A6E6018">
      <w:start w:val="1"/>
      <w:numFmt w:val="bullet"/>
      <w:lvlText w:val="o"/>
      <w:lvlJc w:val="left"/>
      <w:pPr>
        <w:ind w:left="1199" w:hanging="360"/>
      </w:pPr>
      <w:rPr>
        <w:rFonts w:ascii="Courier New" w:hAnsi="Courier New" w:cs="Courier New" w:hint="default"/>
      </w:rPr>
    </w:lvl>
    <w:lvl w:ilvl="1" w:tplc="D4ECFF3C" w:tentative="1">
      <w:start w:val="1"/>
      <w:numFmt w:val="bullet"/>
      <w:lvlText w:val="o"/>
      <w:lvlJc w:val="left"/>
      <w:pPr>
        <w:ind w:left="1919" w:hanging="360"/>
      </w:pPr>
      <w:rPr>
        <w:rFonts w:ascii="Courier New" w:hAnsi="Courier New" w:cs="Courier New" w:hint="default"/>
      </w:rPr>
    </w:lvl>
    <w:lvl w:ilvl="2" w:tplc="3F0C399C" w:tentative="1">
      <w:start w:val="1"/>
      <w:numFmt w:val="bullet"/>
      <w:lvlText w:val=""/>
      <w:lvlJc w:val="left"/>
      <w:pPr>
        <w:ind w:left="2639" w:hanging="360"/>
      </w:pPr>
      <w:rPr>
        <w:rFonts w:ascii="Wingdings" w:hAnsi="Wingdings" w:hint="default"/>
      </w:rPr>
    </w:lvl>
    <w:lvl w:ilvl="3" w:tplc="96B0728E" w:tentative="1">
      <w:start w:val="1"/>
      <w:numFmt w:val="bullet"/>
      <w:lvlText w:val=""/>
      <w:lvlJc w:val="left"/>
      <w:pPr>
        <w:ind w:left="3359" w:hanging="360"/>
      </w:pPr>
      <w:rPr>
        <w:rFonts w:ascii="Symbol" w:hAnsi="Symbol" w:hint="default"/>
      </w:rPr>
    </w:lvl>
    <w:lvl w:ilvl="4" w:tplc="115079DE" w:tentative="1">
      <w:start w:val="1"/>
      <w:numFmt w:val="bullet"/>
      <w:lvlText w:val="o"/>
      <w:lvlJc w:val="left"/>
      <w:pPr>
        <w:ind w:left="4079" w:hanging="360"/>
      </w:pPr>
      <w:rPr>
        <w:rFonts w:ascii="Courier New" w:hAnsi="Courier New" w:cs="Courier New" w:hint="default"/>
      </w:rPr>
    </w:lvl>
    <w:lvl w:ilvl="5" w:tplc="D3FABA38" w:tentative="1">
      <w:start w:val="1"/>
      <w:numFmt w:val="bullet"/>
      <w:lvlText w:val=""/>
      <w:lvlJc w:val="left"/>
      <w:pPr>
        <w:ind w:left="4799" w:hanging="360"/>
      </w:pPr>
      <w:rPr>
        <w:rFonts w:ascii="Wingdings" w:hAnsi="Wingdings" w:hint="default"/>
      </w:rPr>
    </w:lvl>
    <w:lvl w:ilvl="6" w:tplc="AA76E7D0" w:tentative="1">
      <w:start w:val="1"/>
      <w:numFmt w:val="bullet"/>
      <w:lvlText w:val=""/>
      <w:lvlJc w:val="left"/>
      <w:pPr>
        <w:ind w:left="5519" w:hanging="360"/>
      </w:pPr>
      <w:rPr>
        <w:rFonts w:ascii="Symbol" w:hAnsi="Symbol" w:hint="default"/>
      </w:rPr>
    </w:lvl>
    <w:lvl w:ilvl="7" w:tplc="D0F8335A" w:tentative="1">
      <w:start w:val="1"/>
      <w:numFmt w:val="bullet"/>
      <w:lvlText w:val="o"/>
      <w:lvlJc w:val="left"/>
      <w:pPr>
        <w:ind w:left="6239" w:hanging="360"/>
      </w:pPr>
      <w:rPr>
        <w:rFonts w:ascii="Courier New" w:hAnsi="Courier New" w:cs="Courier New" w:hint="default"/>
      </w:rPr>
    </w:lvl>
    <w:lvl w:ilvl="8" w:tplc="8648E6C2" w:tentative="1">
      <w:start w:val="1"/>
      <w:numFmt w:val="bullet"/>
      <w:lvlText w:val=""/>
      <w:lvlJc w:val="left"/>
      <w:pPr>
        <w:ind w:left="6959" w:hanging="360"/>
      </w:pPr>
      <w:rPr>
        <w:rFonts w:ascii="Wingdings" w:hAnsi="Wingdings" w:hint="default"/>
      </w:rPr>
    </w:lvl>
  </w:abstractNum>
  <w:abstractNum w:abstractNumId="7" w15:restartNumberingAfterBreak="0">
    <w:nsid w:val="6D674B55"/>
    <w:multiLevelType w:val="hybridMultilevel"/>
    <w:tmpl w:val="7AFEF60A"/>
    <w:lvl w:ilvl="0" w:tplc="1060AF1C">
      <w:numFmt w:val="bullet"/>
      <w:lvlText w:val="▪"/>
      <w:lvlJc w:val="left"/>
      <w:pPr>
        <w:ind w:left="1199" w:hanging="146"/>
      </w:pPr>
      <w:rPr>
        <w:rFonts w:ascii="Century Gothic" w:eastAsia="Century Gothic" w:hAnsi="Century Gothic" w:cs="Century Gothic" w:hint="default"/>
        <w:b w:val="0"/>
        <w:bCs w:val="0"/>
        <w:i w:val="0"/>
        <w:iCs w:val="0"/>
        <w:color w:val="1F3863"/>
        <w:spacing w:val="0"/>
        <w:w w:val="100"/>
        <w:sz w:val="20"/>
        <w:szCs w:val="20"/>
        <w:lang w:val="en-US" w:eastAsia="en-US" w:bidi="ar-SA"/>
      </w:rPr>
    </w:lvl>
    <w:lvl w:ilvl="1" w:tplc="7B70E500">
      <w:numFmt w:val="bullet"/>
      <w:lvlText w:val="•"/>
      <w:lvlJc w:val="left"/>
      <w:pPr>
        <w:ind w:left="2222" w:hanging="146"/>
      </w:pPr>
      <w:rPr>
        <w:rFonts w:hint="default"/>
        <w:lang w:val="en-US" w:eastAsia="en-US" w:bidi="ar-SA"/>
      </w:rPr>
    </w:lvl>
    <w:lvl w:ilvl="2" w:tplc="CA42041E">
      <w:numFmt w:val="bullet"/>
      <w:lvlText w:val="•"/>
      <w:lvlJc w:val="left"/>
      <w:pPr>
        <w:ind w:left="3244" w:hanging="146"/>
      </w:pPr>
      <w:rPr>
        <w:rFonts w:hint="default"/>
        <w:lang w:val="en-US" w:eastAsia="en-US" w:bidi="ar-SA"/>
      </w:rPr>
    </w:lvl>
    <w:lvl w:ilvl="3" w:tplc="69DEE492">
      <w:numFmt w:val="bullet"/>
      <w:lvlText w:val="•"/>
      <w:lvlJc w:val="left"/>
      <w:pPr>
        <w:ind w:left="4266" w:hanging="146"/>
      </w:pPr>
      <w:rPr>
        <w:rFonts w:hint="default"/>
        <w:lang w:val="en-US" w:eastAsia="en-US" w:bidi="ar-SA"/>
      </w:rPr>
    </w:lvl>
    <w:lvl w:ilvl="4" w:tplc="4B149ADC">
      <w:numFmt w:val="bullet"/>
      <w:lvlText w:val="•"/>
      <w:lvlJc w:val="left"/>
      <w:pPr>
        <w:ind w:left="5288" w:hanging="146"/>
      </w:pPr>
      <w:rPr>
        <w:rFonts w:hint="default"/>
        <w:lang w:val="en-US" w:eastAsia="en-US" w:bidi="ar-SA"/>
      </w:rPr>
    </w:lvl>
    <w:lvl w:ilvl="5" w:tplc="6EA2B55A">
      <w:numFmt w:val="bullet"/>
      <w:lvlText w:val="•"/>
      <w:lvlJc w:val="left"/>
      <w:pPr>
        <w:ind w:left="6310" w:hanging="146"/>
      </w:pPr>
      <w:rPr>
        <w:rFonts w:hint="default"/>
        <w:lang w:val="en-US" w:eastAsia="en-US" w:bidi="ar-SA"/>
      </w:rPr>
    </w:lvl>
    <w:lvl w:ilvl="6" w:tplc="AF943300">
      <w:numFmt w:val="bullet"/>
      <w:lvlText w:val="•"/>
      <w:lvlJc w:val="left"/>
      <w:pPr>
        <w:ind w:left="7332" w:hanging="146"/>
      </w:pPr>
      <w:rPr>
        <w:rFonts w:hint="default"/>
        <w:lang w:val="en-US" w:eastAsia="en-US" w:bidi="ar-SA"/>
      </w:rPr>
    </w:lvl>
    <w:lvl w:ilvl="7" w:tplc="D590A45C">
      <w:numFmt w:val="bullet"/>
      <w:lvlText w:val="•"/>
      <w:lvlJc w:val="left"/>
      <w:pPr>
        <w:ind w:left="8354" w:hanging="146"/>
      </w:pPr>
      <w:rPr>
        <w:rFonts w:hint="default"/>
        <w:lang w:val="en-US" w:eastAsia="en-US" w:bidi="ar-SA"/>
      </w:rPr>
    </w:lvl>
    <w:lvl w:ilvl="8" w:tplc="DA8A6D14">
      <w:numFmt w:val="bullet"/>
      <w:lvlText w:val="•"/>
      <w:lvlJc w:val="left"/>
      <w:pPr>
        <w:ind w:left="9376" w:hanging="146"/>
      </w:pPr>
      <w:rPr>
        <w:rFonts w:hint="default"/>
        <w:lang w:val="en-US" w:eastAsia="en-US" w:bidi="ar-SA"/>
      </w:rPr>
    </w:lvl>
  </w:abstractNum>
  <w:abstractNum w:abstractNumId="8" w15:restartNumberingAfterBreak="0">
    <w:nsid w:val="74605DBB"/>
    <w:multiLevelType w:val="hybridMultilevel"/>
    <w:tmpl w:val="44027860"/>
    <w:lvl w:ilvl="0" w:tplc="2D3806B6">
      <w:start w:val="1"/>
      <w:numFmt w:val="bullet"/>
      <w:lvlText w:val="o"/>
      <w:lvlJc w:val="left"/>
      <w:pPr>
        <w:ind w:left="1080" w:hanging="360"/>
      </w:pPr>
      <w:rPr>
        <w:rFonts w:ascii="Courier New" w:hAnsi="Courier New" w:cs="Courier New" w:hint="default"/>
      </w:rPr>
    </w:lvl>
    <w:lvl w:ilvl="1" w:tplc="EBB897F0" w:tentative="1">
      <w:start w:val="1"/>
      <w:numFmt w:val="bullet"/>
      <w:lvlText w:val="o"/>
      <w:lvlJc w:val="left"/>
      <w:pPr>
        <w:ind w:left="1800" w:hanging="360"/>
      </w:pPr>
      <w:rPr>
        <w:rFonts w:ascii="Courier New" w:hAnsi="Courier New" w:cs="Courier New" w:hint="default"/>
      </w:rPr>
    </w:lvl>
    <w:lvl w:ilvl="2" w:tplc="5C9418A8" w:tentative="1">
      <w:start w:val="1"/>
      <w:numFmt w:val="bullet"/>
      <w:lvlText w:val=""/>
      <w:lvlJc w:val="left"/>
      <w:pPr>
        <w:ind w:left="2520" w:hanging="360"/>
      </w:pPr>
      <w:rPr>
        <w:rFonts w:ascii="Wingdings" w:hAnsi="Wingdings" w:hint="default"/>
      </w:rPr>
    </w:lvl>
    <w:lvl w:ilvl="3" w:tplc="51C0885E" w:tentative="1">
      <w:start w:val="1"/>
      <w:numFmt w:val="bullet"/>
      <w:lvlText w:val=""/>
      <w:lvlJc w:val="left"/>
      <w:pPr>
        <w:ind w:left="3240" w:hanging="360"/>
      </w:pPr>
      <w:rPr>
        <w:rFonts w:ascii="Symbol" w:hAnsi="Symbol" w:hint="default"/>
      </w:rPr>
    </w:lvl>
    <w:lvl w:ilvl="4" w:tplc="EB8622F0" w:tentative="1">
      <w:start w:val="1"/>
      <w:numFmt w:val="bullet"/>
      <w:lvlText w:val="o"/>
      <w:lvlJc w:val="left"/>
      <w:pPr>
        <w:ind w:left="3960" w:hanging="360"/>
      </w:pPr>
      <w:rPr>
        <w:rFonts w:ascii="Courier New" w:hAnsi="Courier New" w:cs="Courier New" w:hint="default"/>
      </w:rPr>
    </w:lvl>
    <w:lvl w:ilvl="5" w:tplc="AB6239B8" w:tentative="1">
      <w:start w:val="1"/>
      <w:numFmt w:val="bullet"/>
      <w:lvlText w:val=""/>
      <w:lvlJc w:val="left"/>
      <w:pPr>
        <w:ind w:left="4680" w:hanging="360"/>
      </w:pPr>
      <w:rPr>
        <w:rFonts w:ascii="Wingdings" w:hAnsi="Wingdings" w:hint="default"/>
      </w:rPr>
    </w:lvl>
    <w:lvl w:ilvl="6" w:tplc="BCFCC940" w:tentative="1">
      <w:start w:val="1"/>
      <w:numFmt w:val="bullet"/>
      <w:lvlText w:val=""/>
      <w:lvlJc w:val="left"/>
      <w:pPr>
        <w:ind w:left="5400" w:hanging="360"/>
      </w:pPr>
      <w:rPr>
        <w:rFonts w:ascii="Symbol" w:hAnsi="Symbol" w:hint="default"/>
      </w:rPr>
    </w:lvl>
    <w:lvl w:ilvl="7" w:tplc="13447EA0" w:tentative="1">
      <w:start w:val="1"/>
      <w:numFmt w:val="bullet"/>
      <w:lvlText w:val="o"/>
      <w:lvlJc w:val="left"/>
      <w:pPr>
        <w:ind w:left="6120" w:hanging="360"/>
      </w:pPr>
      <w:rPr>
        <w:rFonts w:ascii="Courier New" w:hAnsi="Courier New" w:cs="Courier New" w:hint="default"/>
      </w:rPr>
    </w:lvl>
    <w:lvl w:ilvl="8" w:tplc="53C87390" w:tentative="1">
      <w:start w:val="1"/>
      <w:numFmt w:val="bullet"/>
      <w:lvlText w:val=""/>
      <w:lvlJc w:val="left"/>
      <w:pPr>
        <w:ind w:left="6840" w:hanging="360"/>
      </w:pPr>
      <w:rPr>
        <w:rFonts w:ascii="Wingdings" w:hAnsi="Wingdings" w:hint="default"/>
      </w:rPr>
    </w:lvl>
  </w:abstractNum>
  <w:abstractNum w:abstractNumId="9" w15:restartNumberingAfterBreak="0">
    <w:nsid w:val="762B1BA8"/>
    <w:multiLevelType w:val="hybridMultilevel"/>
    <w:tmpl w:val="BACA5702"/>
    <w:lvl w:ilvl="0" w:tplc="833032EC">
      <w:start w:val="1"/>
      <w:numFmt w:val="bullet"/>
      <w:lvlText w:val=""/>
      <w:lvlJc w:val="left"/>
      <w:pPr>
        <w:ind w:left="1200" w:hanging="360"/>
      </w:pPr>
      <w:rPr>
        <w:rFonts w:ascii="Symbol" w:hAnsi="Symbol" w:hint="default"/>
      </w:rPr>
    </w:lvl>
    <w:lvl w:ilvl="1" w:tplc="E55C8114" w:tentative="1">
      <w:start w:val="1"/>
      <w:numFmt w:val="bullet"/>
      <w:lvlText w:val="o"/>
      <w:lvlJc w:val="left"/>
      <w:pPr>
        <w:ind w:left="1920" w:hanging="360"/>
      </w:pPr>
      <w:rPr>
        <w:rFonts w:ascii="Courier New" w:hAnsi="Courier New" w:cs="Courier New" w:hint="default"/>
      </w:rPr>
    </w:lvl>
    <w:lvl w:ilvl="2" w:tplc="7186868A" w:tentative="1">
      <w:start w:val="1"/>
      <w:numFmt w:val="bullet"/>
      <w:lvlText w:val=""/>
      <w:lvlJc w:val="left"/>
      <w:pPr>
        <w:ind w:left="2640" w:hanging="360"/>
      </w:pPr>
      <w:rPr>
        <w:rFonts w:ascii="Wingdings" w:hAnsi="Wingdings" w:hint="default"/>
      </w:rPr>
    </w:lvl>
    <w:lvl w:ilvl="3" w:tplc="DA300F78" w:tentative="1">
      <w:start w:val="1"/>
      <w:numFmt w:val="bullet"/>
      <w:lvlText w:val=""/>
      <w:lvlJc w:val="left"/>
      <w:pPr>
        <w:ind w:left="3360" w:hanging="360"/>
      </w:pPr>
      <w:rPr>
        <w:rFonts w:ascii="Symbol" w:hAnsi="Symbol" w:hint="default"/>
      </w:rPr>
    </w:lvl>
    <w:lvl w:ilvl="4" w:tplc="BB2C3684" w:tentative="1">
      <w:start w:val="1"/>
      <w:numFmt w:val="bullet"/>
      <w:lvlText w:val="o"/>
      <w:lvlJc w:val="left"/>
      <w:pPr>
        <w:ind w:left="4080" w:hanging="360"/>
      </w:pPr>
      <w:rPr>
        <w:rFonts w:ascii="Courier New" w:hAnsi="Courier New" w:cs="Courier New" w:hint="default"/>
      </w:rPr>
    </w:lvl>
    <w:lvl w:ilvl="5" w:tplc="D130BFBC" w:tentative="1">
      <w:start w:val="1"/>
      <w:numFmt w:val="bullet"/>
      <w:lvlText w:val=""/>
      <w:lvlJc w:val="left"/>
      <w:pPr>
        <w:ind w:left="4800" w:hanging="360"/>
      </w:pPr>
      <w:rPr>
        <w:rFonts w:ascii="Wingdings" w:hAnsi="Wingdings" w:hint="default"/>
      </w:rPr>
    </w:lvl>
    <w:lvl w:ilvl="6" w:tplc="0ED680AC" w:tentative="1">
      <w:start w:val="1"/>
      <w:numFmt w:val="bullet"/>
      <w:lvlText w:val=""/>
      <w:lvlJc w:val="left"/>
      <w:pPr>
        <w:ind w:left="5520" w:hanging="360"/>
      </w:pPr>
      <w:rPr>
        <w:rFonts w:ascii="Symbol" w:hAnsi="Symbol" w:hint="default"/>
      </w:rPr>
    </w:lvl>
    <w:lvl w:ilvl="7" w:tplc="ED9C0C76" w:tentative="1">
      <w:start w:val="1"/>
      <w:numFmt w:val="bullet"/>
      <w:lvlText w:val="o"/>
      <w:lvlJc w:val="left"/>
      <w:pPr>
        <w:ind w:left="6240" w:hanging="360"/>
      </w:pPr>
      <w:rPr>
        <w:rFonts w:ascii="Courier New" w:hAnsi="Courier New" w:cs="Courier New" w:hint="default"/>
      </w:rPr>
    </w:lvl>
    <w:lvl w:ilvl="8" w:tplc="584025AE" w:tentative="1">
      <w:start w:val="1"/>
      <w:numFmt w:val="bullet"/>
      <w:lvlText w:val=""/>
      <w:lvlJc w:val="left"/>
      <w:pPr>
        <w:ind w:left="6960" w:hanging="360"/>
      </w:pPr>
      <w:rPr>
        <w:rFonts w:ascii="Wingdings" w:hAnsi="Wingdings" w:hint="default"/>
      </w:rPr>
    </w:lvl>
  </w:abstractNum>
  <w:num w:numId="1" w16cid:durableId="762410585">
    <w:abstractNumId w:val="4"/>
  </w:num>
  <w:num w:numId="2" w16cid:durableId="1230192489">
    <w:abstractNumId w:val="7"/>
  </w:num>
  <w:num w:numId="3" w16cid:durableId="1521895845">
    <w:abstractNumId w:val="1"/>
  </w:num>
  <w:num w:numId="4" w16cid:durableId="1082481974">
    <w:abstractNumId w:val="2"/>
  </w:num>
  <w:num w:numId="5" w16cid:durableId="1282103851">
    <w:abstractNumId w:val="5"/>
  </w:num>
  <w:num w:numId="6" w16cid:durableId="1968313307">
    <w:abstractNumId w:val="6"/>
  </w:num>
  <w:num w:numId="7" w16cid:durableId="479422970">
    <w:abstractNumId w:val="9"/>
  </w:num>
  <w:num w:numId="8" w16cid:durableId="1577131386">
    <w:abstractNumId w:val="0"/>
  </w:num>
  <w:num w:numId="9" w16cid:durableId="701899237">
    <w:abstractNumId w:val="8"/>
  </w:num>
  <w:num w:numId="10" w16cid:durableId="794056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76"/>
    <w:rsid w:val="000125CD"/>
    <w:rsid w:val="00015504"/>
    <w:rsid w:val="0002183B"/>
    <w:rsid w:val="000247D7"/>
    <w:rsid w:val="00031A45"/>
    <w:rsid w:val="00032743"/>
    <w:rsid w:val="00067B39"/>
    <w:rsid w:val="000714E5"/>
    <w:rsid w:val="00080F97"/>
    <w:rsid w:val="000A0B11"/>
    <w:rsid w:val="000A7054"/>
    <w:rsid w:val="000B55CE"/>
    <w:rsid w:val="000B7BD4"/>
    <w:rsid w:val="000E129F"/>
    <w:rsid w:val="000F40CD"/>
    <w:rsid w:val="00112D76"/>
    <w:rsid w:val="001507BB"/>
    <w:rsid w:val="00166AA1"/>
    <w:rsid w:val="00172BF2"/>
    <w:rsid w:val="001B7E41"/>
    <w:rsid w:val="001C7AD6"/>
    <w:rsid w:val="001D6012"/>
    <w:rsid w:val="001F3F3F"/>
    <w:rsid w:val="00200DFE"/>
    <w:rsid w:val="0020487C"/>
    <w:rsid w:val="0021522C"/>
    <w:rsid w:val="002157A6"/>
    <w:rsid w:val="002177EC"/>
    <w:rsid w:val="00223B69"/>
    <w:rsid w:val="00243C60"/>
    <w:rsid w:val="002464BA"/>
    <w:rsid w:val="00256DEC"/>
    <w:rsid w:val="0026569A"/>
    <w:rsid w:val="00267C1F"/>
    <w:rsid w:val="002804E8"/>
    <w:rsid w:val="002956AB"/>
    <w:rsid w:val="002A40DC"/>
    <w:rsid w:val="002B2A3A"/>
    <w:rsid w:val="002B3092"/>
    <w:rsid w:val="002B3F73"/>
    <w:rsid w:val="002C5806"/>
    <w:rsid w:val="002C6705"/>
    <w:rsid w:val="002D2D11"/>
    <w:rsid w:val="002D46E9"/>
    <w:rsid w:val="002E1E47"/>
    <w:rsid w:val="00301CFE"/>
    <w:rsid w:val="00304BD8"/>
    <w:rsid w:val="00320D60"/>
    <w:rsid w:val="00322023"/>
    <w:rsid w:val="00327173"/>
    <w:rsid w:val="0033733C"/>
    <w:rsid w:val="00337C83"/>
    <w:rsid w:val="003402B4"/>
    <w:rsid w:val="00372D74"/>
    <w:rsid w:val="003C7BF5"/>
    <w:rsid w:val="003D1E80"/>
    <w:rsid w:val="003E6DB3"/>
    <w:rsid w:val="003F49E1"/>
    <w:rsid w:val="004067EF"/>
    <w:rsid w:val="00412D1E"/>
    <w:rsid w:val="0041434C"/>
    <w:rsid w:val="00420310"/>
    <w:rsid w:val="00424A95"/>
    <w:rsid w:val="00433F50"/>
    <w:rsid w:val="00437E15"/>
    <w:rsid w:val="0044162A"/>
    <w:rsid w:val="004510EF"/>
    <w:rsid w:val="00492D8F"/>
    <w:rsid w:val="004957CC"/>
    <w:rsid w:val="004A1A59"/>
    <w:rsid w:val="004A6955"/>
    <w:rsid w:val="004D1DF2"/>
    <w:rsid w:val="004D7641"/>
    <w:rsid w:val="004E081C"/>
    <w:rsid w:val="004E38CC"/>
    <w:rsid w:val="004E5CD8"/>
    <w:rsid w:val="004F102E"/>
    <w:rsid w:val="004F2CBB"/>
    <w:rsid w:val="0050281A"/>
    <w:rsid w:val="005143AE"/>
    <w:rsid w:val="00535355"/>
    <w:rsid w:val="00551A1B"/>
    <w:rsid w:val="00552F47"/>
    <w:rsid w:val="0056264F"/>
    <w:rsid w:val="00566076"/>
    <w:rsid w:val="00577996"/>
    <w:rsid w:val="00587CA9"/>
    <w:rsid w:val="005911AD"/>
    <w:rsid w:val="005A2DAE"/>
    <w:rsid w:val="005B1132"/>
    <w:rsid w:val="005D0205"/>
    <w:rsid w:val="005D1282"/>
    <w:rsid w:val="005D553F"/>
    <w:rsid w:val="005D7D38"/>
    <w:rsid w:val="005F26AA"/>
    <w:rsid w:val="00600705"/>
    <w:rsid w:val="00611EC6"/>
    <w:rsid w:val="006215FA"/>
    <w:rsid w:val="006251BB"/>
    <w:rsid w:val="00636C13"/>
    <w:rsid w:val="00643D3A"/>
    <w:rsid w:val="00682C72"/>
    <w:rsid w:val="00687423"/>
    <w:rsid w:val="006D308B"/>
    <w:rsid w:val="006E7DD5"/>
    <w:rsid w:val="006F407A"/>
    <w:rsid w:val="006FCA93"/>
    <w:rsid w:val="007018A4"/>
    <w:rsid w:val="00727A98"/>
    <w:rsid w:val="00736CE6"/>
    <w:rsid w:val="007518AB"/>
    <w:rsid w:val="0075657B"/>
    <w:rsid w:val="007630BF"/>
    <w:rsid w:val="0076560D"/>
    <w:rsid w:val="00767DF4"/>
    <w:rsid w:val="00770E99"/>
    <w:rsid w:val="00775E2F"/>
    <w:rsid w:val="00784CAD"/>
    <w:rsid w:val="00796116"/>
    <w:rsid w:val="007D4134"/>
    <w:rsid w:val="007D753D"/>
    <w:rsid w:val="007E02FF"/>
    <w:rsid w:val="007E12F6"/>
    <w:rsid w:val="00801CA6"/>
    <w:rsid w:val="00811744"/>
    <w:rsid w:val="00815B5D"/>
    <w:rsid w:val="008166DB"/>
    <w:rsid w:val="00823595"/>
    <w:rsid w:val="0082641A"/>
    <w:rsid w:val="00835104"/>
    <w:rsid w:val="008378E8"/>
    <w:rsid w:val="00840B64"/>
    <w:rsid w:val="0084591E"/>
    <w:rsid w:val="00852625"/>
    <w:rsid w:val="008861E0"/>
    <w:rsid w:val="008905E3"/>
    <w:rsid w:val="00891912"/>
    <w:rsid w:val="008A2688"/>
    <w:rsid w:val="008AADFA"/>
    <w:rsid w:val="008B1D10"/>
    <w:rsid w:val="008B7E5E"/>
    <w:rsid w:val="008D5063"/>
    <w:rsid w:val="008F4ECE"/>
    <w:rsid w:val="009157D6"/>
    <w:rsid w:val="00917600"/>
    <w:rsid w:val="00971297"/>
    <w:rsid w:val="00974D29"/>
    <w:rsid w:val="00991769"/>
    <w:rsid w:val="00992C0A"/>
    <w:rsid w:val="00997B14"/>
    <w:rsid w:val="009A49AC"/>
    <w:rsid w:val="009A4A82"/>
    <w:rsid w:val="009B0F59"/>
    <w:rsid w:val="009B3E8C"/>
    <w:rsid w:val="009B4C7B"/>
    <w:rsid w:val="009B7498"/>
    <w:rsid w:val="00A10419"/>
    <w:rsid w:val="00A114AC"/>
    <w:rsid w:val="00A329DF"/>
    <w:rsid w:val="00A338D0"/>
    <w:rsid w:val="00A3720A"/>
    <w:rsid w:val="00A436CE"/>
    <w:rsid w:val="00A51831"/>
    <w:rsid w:val="00A51FF2"/>
    <w:rsid w:val="00A613E6"/>
    <w:rsid w:val="00A77BA2"/>
    <w:rsid w:val="00A8117A"/>
    <w:rsid w:val="00A84380"/>
    <w:rsid w:val="00A8761E"/>
    <w:rsid w:val="00AB26D9"/>
    <w:rsid w:val="00AD0513"/>
    <w:rsid w:val="00AD2F31"/>
    <w:rsid w:val="00AF1BD2"/>
    <w:rsid w:val="00AF44C3"/>
    <w:rsid w:val="00B01A49"/>
    <w:rsid w:val="00B03721"/>
    <w:rsid w:val="00B0561B"/>
    <w:rsid w:val="00B17064"/>
    <w:rsid w:val="00B3308E"/>
    <w:rsid w:val="00B40211"/>
    <w:rsid w:val="00B61D17"/>
    <w:rsid w:val="00B679C9"/>
    <w:rsid w:val="00B7083C"/>
    <w:rsid w:val="00B70DCB"/>
    <w:rsid w:val="00B769BA"/>
    <w:rsid w:val="00B778E1"/>
    <w:rsid w:val="00B943FC"/>
    <w:rsid w:val="00BA1397"/>
    <w:rsid w:val="00BA465A"/>
    <w:rsid w:val="00BA71AA"/>
    <w:rsid w:val="00BC6740"/>
    <w:rsid w:val="00BD3607"/>
    <w:rsid w:val="00BD3AE2"/>
    <w:rsid w:val="00BD405D"/>
    <w:rsid w:val="00BE0958"/>
    <w:rsid w:val="00BE4558"/>
    <w:rsid w:val="00BF1989"/>
    <w:rsid w:val="00BF2675"/>
    <w:rsid w:val="00BF5894"/>
    <w:rsid w:val="00BF66CA"/>
    <w:rsid w:val="00C21BE2"/>
    <w:rsid w:val="00C23B69"/>
    <w:rsid w:val="00C26A3A"/>
    <w:rsid w:val="00C32614"/>
    <w:rsid w:val="00C368D9"/>
    <w:rsid w:val="00C47C1D"/>
    <w:rsid w:val="00C51B83"/>
    <w:rsid w:val="00C645DD"/>
    <w:rsid w:val="00C75555"/>
    <w:rsid w:val="00C762E8"/>
    <w:rsid w:val="00C9132D"/>
    <w:rsid w:val="00C94D1D"/>
    <w:rsid w:val="00CB0B09"/>
    <w:rsid w:val="00CC3A3F"/>
    <w:rsid w:val="00CF60C2"/>
    <w:rsid w:val="00D122DD"/>
    <w:rsid w:val="00D126FF"/>
    <w:rsid w:val="00D17C70"/>
    <w:rsid w:val="00D20B90"/>
    <w:rsid w:val="00D25B9F"/>
    <w:rsid w:val="00D549F4"/>
    <w:rsid w:val="00D55CC1"/>
    <w:rsid w:val="00D6571F"/>
    <w:rsid w:val="00D65844"/>
    <w:rsid w:val="00D6680D"/>
    <w:rsid w:val="00D6702E"/>
    <w:rsid w:val="00D75814"/>
    <w:rsid w:val="00D82DFA"/>
    <w:rsid w:val="00DB6335"/>
    <w:rsid w:val="00DB686E"/>
    <w:rsid w:val="00DD091D"/>
    <w:rsid w:val="00DD3A91"/>
    <w:rsid w:val="00DD6C58"/>
    <w:rsid w:val="00E14EDA"/>
    <w:rsid w:val="00E16F17"/>
    <w:rsid w:val="00E204F0"/>
    <w:rsid w:val="00E2357B"/>
    <w:rsid w:val="00E31E87"/>
    <w:rsid w:val="00E37AC1"/>
    <w:rsid w:val="00E62778"/>
    <w:rsid w:val="00E7679F"/>
    <w:rsid w:val="00E86EBF"/>
    <w:rsid w:val="00E93C3E"/>
    <w:rsid w:val="00EA7DEF"/>
    <w:rsid w:val="00ED28F3"/>
    <w:rsid w:val="00ED51B9"/>
    <w:rsid w:val="00ED7B7C"/>
    <w:rsid w:val="00EF7979"/>
    <w:rsid w:val="00F003C0"/>
    <w:rsid w:val="00F012C4"/>
    <w:rsid w:val="00F03D11"/>
    <w:rsid w:val="00F14C59"/>
    <w:rsid w:val="00F24E9D"/>
    <w:rsid w:val="00F27B45"/>
    <w:rsid w:val="00F3117F"/>
    <w:rsid w:val="00F33F74"/>
    <w:rsid w:val="00F5217F"/>
    <w:rsid w:val="00F55D01"/>
    <w:rsid w:val="00F75B0B"/>
    <w:rsid w:val="00FA1A47"/>
    <w:rsid w:val="00FA6FA6"/>
    <w:rsid w:val="00FB67F5"/>
    <w:rsid w:val="00FC22B5"/>
    <w:rsid w:val="00FC2AB7"/>
    <w:rsid w:val="00FC4414"/>
    <w:rsid w:val="00FD5CDF"/>
    <w:rsid w:val="00FF125F"/>
    <w:rsid w:val="018C0C6A"/>
    <w:rsid w:val="019A97BD"/>
    <w:rsid w:val="019AB49D"/>
    <w:rsid w:val="01DF81EA"/>
    <w:rsid w:val="0268F31B"/>
    <w:rsid w:val="03801360"/>
    <w:rsid w:val="0389AE6E"/>
    <w:rsid w:val="03ABB6D6"/>
    <w:rsid w:val="03CAD39E"/>
    <w:rsid w:val="041254B8"/>
    <w:rsid w:val="051B89D3"/>
    <w:rsid w:val="052EE1CE"/>
    <w:rsid w:val="05A3EED1"/>
    <w:rsid w:val="05CD7D05"/>
    <w:rsid w:val="05DA3EEF"/>
    <w:rsid w:val="0713443A"/>
    <w:rsid w:val="07447876"/>
    <w:rsid w:val="075E666E"/>
    <w:rsid w:val="07D1BBF6"/>
    <w:rsid w:val="07EC56A2"/>
    <w:rsid w:val="08B4F106"/>
    <w:rsid w:val="08CC4664"/>
    <w:rsid w:val="0997ED1E"/>
    <w:rsid w:val="09DB4DDF"/>
    <w:rsid w:val="0A591176"/>
    <w:rsid w:val="0AE01FE5"/>
    <w:rsid w:val="0B0FB71A"/>
    <w:rsid w:val="0B2E2078"/>
    <w:rsid w:val="0B78E549"/>
    <w:rsid w:val="0BA00771"/>
    <w:rsid w:val="0BA4DFE7"/>
    <w:rsid w:val="0BE9B5F0"/>
    <w:rsid w:val="0C617A6D"/>
    <w:rsid w:val="0CA29884"/>
    <w:rsid w:val="0D35A85B"/>
    <w:rsid w:val="0D967C39"/>
    <w:rsid w:val="0DD168AA"/>
    <w:rsid w:val="0E2D74AE"/>
    <w:rsid w:val="0EE898D8"/>
    <w:rsid w:val="0F4D55B1"/>
    <w:rsid w:val="103D3A25"/>
    <w:rsid w:val="11A34694"/>
    <w:rsid w:val="127B0A6C"/>
    <w:rsid w:val="1321DDB2"/>
    <w:rsid w:val="13402D2C"/>
    <w:rsid w:val="14141234"/>
    <w:rsid w:val="145A1527"/>
    <w:rsid w:val="146CF236"/>
    <w:rsid w:val="1487E748"/>
    <w:rsid w:val="14B0CC92"/>
    <w:rsid w:val="154BC0BA"/>
    <w:rsid w:val="1727A5C6"/>
    <w:rsid w:val="176A6529"/>
    <w:rsid w:val="182B734A"/>
    <w:rsid w:val="19479AD5"/>
    <w:rsid w:val="19DA374C"/>
    <w:rsid w:val="1A14B713"/>
    <w:rsid w:val="1AA2EAF2"/>
    <w:rsid w:val="1ADD8002"/>
    <w:rsid w:val="1B287C8B"/>
    <w:rsid w:val="1B60059D"/>
    <w:rsid w:val="1BA923F0"/>
    <w:rsid w:val="1BB9C22F"/>
    <w:rsid w:val="1BC60903"/>
    <w:rsid w:val="1C0F1E64"/>
    <w:rsid w:val="1C34F75C"/>
    <w:rsid w:val="1C830570"/>
    <w:rsid w:val="1CC00605"/>
    <w:rsid w:val="1D5392DC"/>
    <w:rsid w:val="1DDD8583"/>
    <w:rsid w:val="1DEAE977"/>
    <w:rsid w:val="1E4E5C57"/>
    <w:rsid w:val="1E4F45E2"/>
    <w:rsid w:val="1EAD8B3B"/>
    <w:rsid w:val="1F00FF90"/>
    <w:rsid w:val="20531141"/>
    <w:rsid w:val="210AB8F8"/>
    <w:rsid w:val="21A9ED83"/>
    <w:rsid w:val="22CF579F"/>
    <w:rsid w:val="234E7C8E"/>
    <w:rsid w:val="23AE9E11"/>
    <w:rsid w:val="24318724"/>
    <w:rsid w:val="243C6574"/>
    <w:rsid w:val="24481334"/>
    <w:rsid w:val="24D0D290"/>
    <w:rsid w:val="24F6576A"/>
    <w:rsid w:val="250701A6"/>
    <w:rsid w:val="2584582D"/>
    <w:rsid w:val="25A24128"/>
    <w:rsid w:val="2669B2B5"/>
    <w:rsid w:val="267342B3"/>
    <w:rsid w:val="26B972E6"/>
    <w:rsid w:val="26D20E37"/>
    <w:rsid w:val="26FEB288"/>
    <w:rsid w:val="285B5D68"/>
    <w:rsid w:val="2893551E"/>
    <w:rsid w:val="28A3ADAD"/>
    <w:rsid w:val="28D3EBF2"/>
    <w:rsid w:val="2985D2CF"/>
    <w:rsid w:val="2A6564A1"/>
    <w:rsid w:val="2B21D204"/>
    <w:rsid w:val="2CAC00D3"/>
    <w:rsid w:val="2CD1A32E"/>
    <w:rsid w:val="2CD94ABC"/>
    <w:rsid w:val="2E75D0A1"/>
    <w:rsid w:val="2F4E60F6"/>
    <w:rsid w:val="2F6F50EC"/>
    <w:rsid w:val="2FA01B65"/>
    <w:rsid w:val="2FE1B3A6"/>
    <w:rsid w:val="304EE9CA"/>
    <w:rsid w:val="30596D63"/>
    <w:rsid w:val="3067FEA3"/>
    <w:rsid w:val="30732127"/>
    <w:rsid w:val="30787269"/>
    <w:rsid w:val="309F8084"/>
    <w:rsid w:val="30A5560B"/>
    <w:rsid w:val="30A63239"/>
    <w:rsid w:val="30C349FA"/>
    <w:rsid w:val="31023419"/>
    <w:rsid w:val="31376240"/>
    <w:rsid w:val="31A133E2"/>
    <w:rsid w:val="31DDDC85"/>
    <w:rsid w:val="31EC6888"/>
    <w:rsid w:val="31EEED70"/>
    <w:rsid w:val="3255D10E"/>
    <w:rsid w:val="32936E33"/>
    <w:rsid w:val="32CA4696"/>
    <w:rsid w:val="33C3D97A"/>
    <w:rsid w:val="33EA6D6B"/>
    <w:rsid w:val="343A44C3"/>
    <w:rsid w:val="34576158"/>
    <w:rsid w:val="3614CF26"/>
    <w:rsid w:val="361F4EA6"/>
    <w:rsid w:val="366097B9"/>
    <w:rsid w:val="37698FEE"/>
    <w:rsid w:val="380944D1"/>
    <w:rsid w:val="38275712"/>
    <w:rsid w:val="38912630"/>
    <w:rsid w:val="38F73CEC"/>
    <w:rsid w:val="394BC361"/>
    <w:rsid w:val="39C361CC"/>
    <w:rsid w:val="3AD48CFE"/>
    <w:rsid w:val="3C22529E"/>
    <w:rsid w:val="3C827D7E"/>
    <w:rsid w:val="3E002C10"/>
    <w:rsid w:val="3E59FC96"/>
    <w:rsid w:val="3F8A504C"/>
    <w:rsid w:val="3F93F4E7"/>
    <w:rsid w:val="40091130"/>
    <w:rsid w:val="4045AB5B"/>
    <w:rsid w:val="405C81A2"/>
    <w:rsid w:val="40DDFAE3"/>
    <w:rsid w:val="40DE78EA"/>
    <w:rsid w:val="4182CA63"/>
    <w:rsid w:val="43EE2973"/>
    <w:rsid w:val="4419A42E"/>
    <w:rsid w:val="44E9F6AA"/>
    <w:rsid w:val="44EFF604"/>
    <w:rsid w:val="4575305E"/>
    <w:rsid w:val="45A87408"/>
    <w:rsid w:val="45D98E3B"/>
    <w:rsid w:val="45F4879A"/>
    <w:rsid w:val="46919883"/>
    <w:rsid w:val="475C751B"/>
    <w:rsid w:val="47605B7F"/>
    <w:rsid w:val="47855A0D"/>
    <w:rsid w:val="479687CC"/>
    <w:rsid w:val="48CD869D"/>
    <w:rsid w:val="49AFF291"/>
    <w:rsid w:val="49F8ACA5"/>
    <w:rsid w:val="4A17E217"/>
    <w:rsid w:val="4A194D91"/>
    <w:rsid w:val="4AC27DEE"/>
    <w:rsid w:val="4BB4E48C"/>
    <w:rsid w:val="4BD87933"/>
    <w:rsid w:val="4CB868C7"/>
    <w:rsid w:val="4CEE6299"/>
    <w:rsid w:val="4D08D0F3"/>
    <w:rsid w:val="4DAF505E"/>
    <w:rsid w:val="4DDCB804"/>
    <w:rsid w:val="4E777CB3"/>
    <w:rsid w:val="4EB6912E"/>
    <w:rsid w:val="4FEABBF0"/>
    <w:rsid w:val="50438602"/>
    <w:rsid w:val="51140204"/>
    <w:rsid w:val="51603130"/>
    <w:rsid w:val="51853B7D"/>
    <w:rsid w:val="52B72F69"/>
    <w:rsid w:val="53687453"/>
    <w:rsid w:val="54822094"/>
    <w:rsid w:val="55818C35"/>
    <w:rsid w:val="55A5C4E5"/>
    <w:rsid w:val="561CA7D5"/>
    <w:rsid w:val="568AB052"/>
    <w:rsid w:val="5745E682"/>
    <w:rsid w:val="59987D6E"/>
    <w:rsid w:val="5A7AE209"/>
    <w:rsid w:val="5CBEC5AD"/>
    <w:rsid w:val="5CEDED22"/>
    <w:rsid w:val="5CF2A102"/>
    <w:rsid w:val="5D86D80D"/>
    <w:rsid w:val="5E2947B2"/>
    <w:rsid w:val="5EEE3EA2"/>
    <w:rsid w:val="5F75236D"/>
    <w:rsid w:val="5F913BE4"/>
    <w:rsid w:val="6087100E"/>
    <w:rsid w:val="609A1274"/>
    <w:rsid w:val="621142E0"/>
    <w:rsid w:val="629FDA3A"/>
    <w:rsid w:val="62B782D6"/>
    <w:rsid w:val="63617B8D"/>
    <w:rsid w:val="63B257AC"/>
    <w:rsid w:val="645A85D6"/>
    <w:rsid w:val="64BE3DEB"/>
    <w:rsid w:val="64E883DC"/>
    <w:rsid w:val="65099322"/>
    <w:rsid w:val="651E3751"/>
    <w:rsid w:val="658087A2"/>
    <w:rsid w:val="658B4DE4"/>
    <w:rsid w:val="65AF0117"/>
    <w:rsid w:val="66390AB6"/>
    <w:rsid w:val="6742F30F"/>
    <w:rsid w:val="67A6D002"/>
    <w:rsid w:val="686145AB"/>
    <w:rsid w:val="692AEBB5"/>
    <w:rsid w:val="69525D3E"/>
    <w:rsid w:val="69D1A83E"/>
    <w:rsid w:val="6A3CF8FD"/>
    <w:rsid w:val="6A67ECB3"/>
    <w:rsid w:val="6BEE966D"/>
    <w:rsid w:val="6C4FBF4C"/>
    <w:rsid w:val="6CC6EA6E"/>
    <w:rsid w:val="6CE1D966"/>
    <w:rsid w:val="6E4AE9E9"/>
    <w:rsid w:val="6E706C1C"/>
    <w:rsid w:val="6ED8DF3D"/>
    <w:rsid w:val="6F432FE3"/>
    <w:rsid w:val="6F6F6D4D"/>
    <w:rsid w:val="70443913"/>
    <w:rsid w:val="70EE969A"/>
    <w:rsid w:val="716A4731"/>
    <w:rsid w:val="71A1BEBA"/>
    <w:rsid w:val="71F2A535"/>
    <w:rsid w:val="720030D8"/>
    <w:rsid w:val="722C9DAE"/>
    <w:rsid w:val="724EF2AD"/>
    <w:rsid w:val="73910FB7"/>
    <w:rsid w:val="739B7D6A"/>
    <w:rsid w:val="73E724C8"/>
    <w:rsid w:val="740BB6F4"/>
    <w:rsid w:val="744F7BB8"/>
    <w:rsid w:val="76496EFF"/>
    <w:rsid w:val="76561603"/>
    <w:rsid w:val="76BA9A49"/>
    <w:rsid w:val="76D5EB8D"/>
    <w:rsid w:val="77917BF4"/>
    <w:rsid w:val="77C8DEA8"/>
    <w:rsid w:val="77F410D2"/>
    <w:rsid w:val="781CAED2"/>
    <w:rsid w:val="78489C33"/>
    <w:rsid w:val="78B6527F"/>
    <w:rsid w:val="78D7055A"/>
    <w:rsid w:val="791DEC9A"/>
    <w:rsid w:val="79BE101E"/>
    <w:rsid w:val="7A33562E"/>
    <w:rsid w:val="7A7035FA"/>
    <w:rsid w:val="7ADDB49A"/>
    <w:rsid w:val="7AE52BBF"/>
    <w:rsid w:val="7B9F9D1D"/>
    <w:rsid w:val="7C3B3033"/>
    <w:rsid w:val="7C62F168"/>
    <w:rsid w:val="7C83C81D"/>
    <w:rsid w:val="7CF5674B"/>
    <w:rsid w:val="7F8D7759"/>
    <w:rsid w:val="7F90FA0F"/>
    <w:rsid w:val="7FEC9F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0E82"/>
  <w15:docId w15:val="{9F34FC3F-B2AA-4D80-B185-CDDE97EC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4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3"/>
      <w:ind w:left="480"/>
    </w:pPr>
    <w:rPr>
      <w:b/>
      <w:bCs/>
      <w:sz w:val="56"/>
      <w:szCs w:val="56"/>
      <w:u w:val="single" w:color="00000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pPr>
      <w:spacing w:before="1"/>
      <w:ind w:left="10"/>
      <w:jc w:val="center"/>
    </w:pPr>
  </w:style>
  <w:style w:type="table" w:styleId="TableGrid">
    <w:name w:val="Table Grid"/>
    <w:basedOn w:val="TableNormal"/>
    <w:uiPriority w:val="39"/>
    <w:rsid w:val="00BC6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2B4"/>
    <w:pPr>
      <w:tabs>
        <w:tab w:val="center" w:pos="4680"/>
        <w:tab w:val="right" w:pos="9360"/>
      </w:tabs>
    </w:pPr>
  </w:style>
  <w:style w:type="character" w:customStyle="1" w:styleId="HeaderChar">
    <w:name w:val="Header Char"/>
    <w:basedOn w:val="DefaultParagraphFont"/>
    <w:link w:val="Header"/>
    <w:uiPriority w:val="99"/>
    <w:rsid w:val="003402B4"/>
    <w:rPr>
      <w:rFonts w:ascii="Century Gothic" w:eastAsia="Century Gothic" w:hAnsi="Century Gothic" w:cs="Century Gothic"/>
    </w:rPr>
  </w:style>
  <w:style w:type="paragraph" w:styleId="Footer">
    <w:name w:val="footer"/>
    <w:basedOn w:val="Normal"/>
    <w:link w:val="FooterChar"/>
    <w:uiPriority w:val="99"/>
    <w:unhideWhenUsed/>
    <w:rsid w:val="003402B4"/>
    <w:pPr>
      <w:tabs>
        <w:tab w:val="center" w:pos="4680"/>
        <w:tab w:val="right" w:pos="9360"/>
      </w:tabs>
    </w:pPr>
  </w:style>
  <w:style w:type="character" w:customStyle="1" w:styleId="FooterChar">
    <w:name w:val="Footer Char"/>
    <w:basedOn w:val="DefaultParagraphFont"/>
    <w:link w:val="Footer"/>
    <w:uiPriority w:val="99"/>
    <w:rsid w:val="003402B4"/>
    <w:rPr>
      <w:rFonts w:ascii="Century Gothic" w:eastAsia="Century Gothic" w:hAnsi="Century Gothic" w:cs="Century Gothic"/>
    </w:rPr>
  </w:style>
  <w:style w:type="paragraph" w:styleId="FootnoteText">
    <w:name w:val="footnote text"/>
    <w:basedOn w:val="Normal"/>
    <w:link w:val="FootnoteTextChar"/>
    <w:uiPriority w:val="99"/>
    <w:semiHidden/>
    <w:unhideWhenUsed/>
    <w:rsid w:val="00FF125F"/>
    <w:rPr>
      <w:sz w:val="20"/>
      <w:szCs w:val="20"/>
    </w:rPr>
  </w:style>
  <w:style w:type="character" w:customStyle="1" w:styleId="FootnoteTextChar">
    <w:name w:val="Footnote Text Char"/>
    <w:basedOn w:val="DefaultParagraphFont"/>
    <w:link w:val="FootnoteText"/>
    <w:uiPriority w:val="99"/>
    <w:semiHidden/>
    <w:rsid w:val="00FF125F"/>
    <w:rPr>
      <w:rFonts w:ascii="Century Gothic" w:eastAsia="Century Gothic" w:hAnsi="Century Gothic" w:cs="Century Gothic"/>
      <w:sz w:val="20"/>
      <w:szCs w:val="20"/>
    </w:rPr>
  </w:style>
  <w:style w:type="character" w:styleId="FootnoteReference">
    <w:name w:val="footnote reference"/>
    <w:basedOn w:val="DefaultParagraphFont"/>
    <w:uiPriority w:val="99"/>
    <w:semiHidden/>
    <w:unhideWhenUsed/>
    <w:rsid w:val="00FF125F"/>
    <w:rPr>
      <w:vertAlign w:val="superscript"/>
    </w:rPr>
  </w:style>
  <w:style w:type="character" w:customStyle="1" w:styleId="bold">
    <w:name w:val="bold"/>
    <w:basedOn w:val="DefaultParagraphFont"/>
    <w:rsid w:val="00891912"/>
  </w:style>
  <w:style w:type="character" w:customStyle="1" w:styleId="ng-star-inserted">
    <w:name w:val="ng-star-inserted"/>
    <w:basedOn w:val="DefaultParagraphFont"/>
    <w:rsid w:val="00891912"/>
  </w:style>
  <w:style w:type="character" w:styleId="CommentReference">
    <w:name w:val="annotation reference"/>
    <w:basedOn w:val="DefaultParagraphFont"/>
    <w:uiPriority w:val="99"/>
    <w:semiHidden/>
    <w:unhideWhenUsed/>
    <w:rsid w:val="005D0205"/>
    <w:rPr>
      <w:sz w:val="16"/>
      <w:szCs w:val="16"/>
    </w:rPr>
  </w:style>
  <w:style w:type="paragraph" w:styleId="CommentText">
    <w:name w:val="annotation text"/>
    <w:basedOn w:val="Normal"/>
    <w:link w:val="CommentTextChar"/>
    <w:uiPriority w:val="99"/>
    <w:unhideWhenUsed/>
    <w:rsid w:val="005D0205"/>
    <w:rPr>
      <w:sz w:val="20"/>
      <w:szCs w:val="20"/>
    </w:rPr>
  </w:style>
  <w:style w:type="character" w:customStyle="1" w:styleId="CommentTextChar">
    <w:name w:val="Comment Text Char"/>
    <w:basedOn w:val="DefaultParagraphFont"/>
    <w:link w:val="CommentText"/>
    <w:uiPriority w:val="99"/>
    <w:rsid w:val="005D0205"/>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5D0205"/>
    <w:rPr>
      <w:b/>
      <w:bCs/>
    </w:rPr>
  </w:style>
  <w:style w:type="character" w:customStyle="1" w:styleId="CommentSubjectChar">
    <w:name w:val="Comment Subject Char"/>
    <w:basedOn w:val="CommentTextChar"/>
    <w:link w:val="CommentSubject"/>
    <w:uiPriority w:val="99"/>
    <w:semiHidden/>
    <w:rsid w:val="005D0205"/>
    <w:rPr>
      <w:rFonts w:ascii="Century Gothic" w:eastAsia="Century Gothic" w:hAnsi="Century Gothic" w:cs="Century Gothic"/>
      <w:b/>
      <w:bCs/>
      <w:sz w:val="20"/>
      <w:szCs w:val="20"/>
    </w:rPr>
  </w:style>
  <w:style w:type="character" w:styleId="Hyperlink">
    <w:name w:val="Hyperlink"/>
    <w:basedOn w:val="DefaultParagraphFont"/>
    <w:uiPriority w:val="99"/>
    <w:unhideWhenUsed/>
    <w:rsid w:val="1DDD8583"/>
    <w:rPr>
      <w:color w:val="0000FF"/>
      <w:u w:val="single"/>
    </w:rPr>
  </w:style>
  <w:style w:type="character" w:styleId="Mention">
    <w:name w:val="Mention"/>
    <w:basedOn w:val="DefaultParagraphFont"/>
    <w:uiPriority w:val="99"/>
    <w:unhideWhenUsed/>
    <w:rsid w:val="00C26A3A"/>
    <w:rPr>
      <w:color w:val="2B579A"/>
      <w:shd w:val="clear" w:color="auto" w:fill="E1DFDD"/>
    </w:rPr>
  </w:style>
  <w:style w:type="paragraph" w:styleId="Revision">
    <w:name w:val="Revision"/>
    <w:hidden/>
    <w:uiPriority w:val="99"/>
    <w:semiHidden/>
    <w:rsid w:val="005A2DAE"/>
    <w:pPr>
      <w:widowControl/>
      <w:autoSpaceDE/>
      <w:autoSpaceDN/>
    </w:pPr>
    <w:rPr>
      <w:rFonts w:ascii="Century Gothic" w:eastAsia="Century Gothic" w:hAnsi="Century Gothic" w:cs="Century Gothic"/>
    </w:rPr>
  </w:style>
  <w:style w:type="character" w:styleId="UnresolvedMention">
    <w:name w:val="Unresolved Mention"/>
    <w:basedOn w:val="DefaultParagraphFont"/>
    <w:uiPriority w:val="99"/>
    <w:semiHidden/>
    <w:unhideWhenUsed/>
    <w:rsid w:val="00587CA9"/>
    <w:rPr>
      <w:color w:val="605E5C"/>
      <w:shd w:val="clear" w:color="auto" w:fill="E1DFDD"/>
    </w:rPr>
  </w:style>
  <w:style w:type="character" w:styleId="FollowedHyperlink">
    <w:name w:val="FollowedHyperlink"/>
    <w:basedOn w:val="DefaultParagraphFont"/>
    <w:uiPriority w:val="99"/>
    <w:semiHidden/>
    <w:unhideWhenUsed/>
    <w:rsid w:val="00587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uc.ca.gov/pp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brand.ly/libertygrc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s.cpuc.ca.gov/apex/f?p=401:65:0::NO:RP,57,RIR:P5_PROCEEDING_SELECT:A2409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cpuc.ca.gov/apex/f?p=401:56::::RP,57,RIR:P5_PROCEEDING_SELECT:A2409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0656F60C96454E8EAB1419744F4489" ma:contentTypeVersion="4" ma:contentTypeDescription="Create a new document." ma:contentTypeScope="" ma:versionID="b6a46b1097dd478655943940f1c681e2">
  <xsd:schema xmlns:xsd="http://www.w3.org/2001/XMLSchema" xmlns:xs="http://www.w3.org/2001/XMLSchema" xmlns:p="http://schemas.microsoft.com/office/2006/metadata/properties" xmlns:ns2="857a8677-9293-4dea-85d8-009bac98f857" targetNamespace="http://schemas.microsoft.com/office/2006/metadata/properties" ma:root="true" ma:fieldsID="8a9461ea89f855f616b776784507673f" ns2:_="">
    <xsd:import namespace="857a8677-9293-4dea-85d8-009bac98f8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8677-9293-4dea-85d8-009bac98f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B4408-51B3-4140-81C4-DD536A6B8677}">
  <ds:schemaRefs>
    <ds:schemaRef ds:uri="http://schemas.microsoft.com/sharepoint/v3/contenttype/forms"/>
  </ds:schemaRefs>
</ds:datastoreItem>
</file>

<file path=customXml/itemProps2.xml><?xml version="1.0" encoding="utf-8"?>
<ds:datastoreItem xmlns:ds="http://schemas.openxmlformats.org/officeDocument/2006/customXml" ds:itemID="{6F45FF9A-A7A3-419A-AE73-B5A157E2AF7B}">
  <ds:schemaRefs>
    <ds:schemaRef ds:uri="http://schemas.openxmlformats.org/officeDocument/2006/bibliography"/>
  </ds:schemaRefs>
</ds:datastoreItem>
</file>

<file path=customXml/itemProps3.xml><?xml version="1.0" encoding="utf-8"?>
<ds:datastoreItem xmlns:ds="http://schemas.openxmlformats.org/officeDocument/2006/customXml" ds:itemID="{DBE308D1-5312-4CA4-8A76-BE76BD82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8677-9293-4dea-85d8-009bac98f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4338D-B4E8-4D39-8DC7-653206C19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creator>Masoud Foudeh</dc:creator>
  <cp:lastModifiedBy>Focus Interpreting</cp:lastModifiedBy>
  <cp:revision>5</cp:revision>
  <dcterms:created xsi:type="dcterms:W3CDTF">2025-07-11T20:58:00Z</dcterms:created>
  <dcterms:modified xsi:type="dcterms:W3CDTF">2025-07-16T15:12:00Z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0x0101000E0656F60C96454E8EAB1419744F4489</vt:lpwstr>
  </property>
  <property fmtid="{D5CDD505-2E9C-101B-9397-08002B2CF9AE}" pid="3" name="Created">
    <vt:filetime>2023-10-19T00:00:00Z</vt:filetime>
  </property>
  <property fmtid="{D5CDD505-2E9C-101B-9397-08002B2CF9AE}" pid="4" name="Creator">
    <vt:lpwstr>Acrobat PDFMaker 23 for Word</vt:lpwstr>
  </property>
  <property fmtid="{D5CDD505-2E9C-101B-9397-08002B2CF9AE}" pid="5" name="LastSaved">
    <vt:filetime>2024-11-15T00:00:00Z</vt:filetime>
  </property>
  <property fmtid="{D5CDD505-2E9C-101B-9397-08002B2CF9AE}" pid="6" name="Producer">
    <vt:lpwstr>Adobe PDF Library 23.6.136</vt:lpwstr>
  </property>
  <property fmtid="{D5CDD505-2E9C-101B-9397-08002B2CF9AE}" pid="7" name="SourceModified">
    <vt:lpwstr>D:20231018172500</vt:lpwstr>
  </property>
</Properties>
</file>